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fontTable+xml" PartName="/word/fontTable.xml"/>
  <Override ContentType="application/vnd.openxmlformats-officedocument.theme+xml" PartName="/word/theme/theme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pStyle w:val="Heading1"/>
      </w:pPr>
      <w:r>
        <w:rPr>
          <w:rFonts w:ascii="Calibri" w:cs="Calibri" w:eastAsia="Calibri" w:hAnsi="Calibri"/>
        </w:rPr>
        <w:t xml:space="preserve">Chronos: verhuisplan naar Azure</w:t>
      </w:r>
    </w:p>
    <w:p>
      <w:pPr>
        <w:spacing w:after="140"/>
      </w:pPr>
      <w:r>
        <w:rPr>
          <w:rFonts w:ascii="Calibri" w:cs="Calibri" w:eastAsia="Calibri" w:hAnsi="Calibri"/>
          <w:i/>
          <w:iCs/>
        </w:rPr>
        <w:t xml:space="preserve">Opgesteld 2026-10-23, deel 2 van het tweestappenplan. Deel 1 (hoe het nu in elkaar zit) staat in [`azure-overdracht.md`](azure-overdracht.md); dit plan bouwt daarop voort.</w:t>
      </w:r>
    </w:p>
    <w:p>
      <w:pPr>
        <w:pStyle w:val="Heading2"/>
      </w:pPr>
      <w:r>
        <w:rPr>
          <w:rFonts w:ascii="Calibri" w:cs="Calibri" w:eastAsia="Calibri" w:hAnsi="Calibri"/>
        </w:rPr>
        <w:t xml:space="preserve">1. Advies in het kort</w:t>
      </w:r>
    </w:p>
    <w:p>
      <w:pPr>
        <w:pStyle w:val="ListParagraph"/>
        <w:numPr>
          <w:ilvl w:val="0"/>
          <w:numId w:val="2"/>
        </w:numPr>
        <w:spacing w:after="60"/>
      </w:pPr>
      <w:r>
        <w:rPr>
          <w:rFonts w:ascii="Calibri" w:cs="Calibri" w:eastAsia="Calibri" w:hAnsi="Calibri"/>
        </w:rPr>
        <w:t xml:space="preserve">Verhuis in twee stappen: eerst de infrastructuur (app, database, inloggen, bestanden) met zo min mogelijk codewijzigingen, daarna Entra ID. Niet tegelijk.</w:t>
      </w:r>
    </w:p>
    <w:p>
      <w:pPr>
        <w:pStyle w:val="ListParagraph"/>
        <w:numPr>
          <w:ilvl w:val="0"/>
          <w:numId w:val="2"/>
        </w:numPr>
        <w:spacing w:after="60"/>
      </w:pPr>
      <w:r>
        <w:rPr>
          <w:rFonts w:ascii="Calibri" w:cs="Calibri" w:eastAsia="Calibri" w:hAnsi="Calibri"/>
        </w:rPr>
        <w:t xml:space="preserve">Houd de Supabase-diensten (API-laag, Auth, Storage) aan voor de verhuizing, draai ze zelf op Azure en gebruik Azure Database for PostgreSQL als database, mits een korte proef bevestigt dat dat technisch kan. Zie hoofdstuk 2.</w:t>
      </w:r>
    </w:p>
    <w:p>
      <w:pPr>
        <w:pStyle w:val="ListParagraph"/>
        <w:numPr>
          <w:ilvl w:val="0"/>
          <w:numId w:val="2"/>
        </w:numPr>
        <w:spacing w:after="60"/>
      </w:pPr>
      <w:r>
        <w:rPr>
          <w:rFonts w:ascii="Calibri" w:cs="Calibri" w:eastAsia="Calibri" w:hAnsi="Calibri"/>
        </w:rPr>
        <w:t xml:space="preserve">Bouw een testfase in, in twee rondes: eerst een lege omgeving met dummydata om de inrichting en de koppeling met Patricia te valideren, daarna een volledige generale repetitie met een kopie van de echte data, inclusief tijdmeting van de overstap.</w:t>
      </w:r>
    </w:p>
    <w:p>
      <w:pPr>
        <w:pStyle w:val="ListParagraph"/>
        <w:numPr>
          <w:ilvl w:val="0"/>
          <w:numId w:val="2"/>
        </w:numPr>
        <w:spacing w:after="60"/>
      </w:pPr>
      <w:r>
        <w:rPr>
          <w:rFonts w:ascii="Calibri" w:cs="Calibri" w:eastAsia="Calibri" w:hAnsi="Calibri"/>
        </w:rPr>
        <w:t xml:space="preserve">Voor de overstap zelf is een korte onderhoudsvenster (verwacht 30 tot 60 minuten, buiten kantoortijd) beter dan een gecompliceerde zero-downtime-constructie. De database is klein genoeg, de gebruikers zijn intern en het terugdraaien blijft eenvoudig.</w:t>
      </w:r>
    </w:p>
    <w:p>
      <w:pPr>
        <w:pStyle w:val="ListParagraph"/>
        <w:numPr>
          <w:ilvl w:val="0"/>
          <w:numId w:val="2"/>
        </w:numPr>
        <w:spacing w:after="60"/>
      </w:pPr>
      <w:r>
        <w:rPr>
          <w:rFonts w:ascii="Calibri" w:cs="Calibri" w:eastAsia="Calibri" w:hAnsi="Calibri"/>
        </w:rPr>
        <w:t xml:space="preserve">Laat Vercel en Supabase na de overstap een tijd ongewijzigd staan, als terugvaloptie.</w:t>
      </w:r>
    </w:p>
    <w:p>
      <w:pPr>
        <w:pStyle w:val="Heading2"/>
      </w:pPr>
      <w:r>
        <w:rPr>
          <w:rFonts w:ascii="Calibri" w:cs="Calibri" w:eastAsia="Calibri" w:hAnsi="Calibri"/>
        </w:rPr>
        <w:t xml:space="preserve">2. De beslissing waar alles van afhangt</w:t>
      </w:r>
    </w:p>
    <w:p>
      <w:pPr>
        <w:spacing w:after="140"/>
      </w:pPr>
      <w:r>
        <w:rPr>
          <w:rFonts w:ascii="Calibri" w:cs="Calibri" w:eastAsia="Calibri" w:hAnsi="Calibri"/>
        </w:rPr>
        <w:t xml:space="preserve">Chronos praat voor al zijn data, inloggen en bestanden met Supabase (zie overdracht, hoofdstuk 1 en 3). Een gewone beheerde PostgreSQL op Azure is daarom niet voldoende om de applicatie ongewijzigd te laten draaien. Er zijn twee routes:</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1999"/>
        <w:gridCol w:w="3392"/>
        <w:gridCol w:w="3635"/>
      </w:tblGrid>
      <w:tr>
        <w:trPr>
          <w:cantSplit/>
          <w:tblHeader/>
        </w:trPr>
        <w:tc>
          <w:tcPr>
            <w:tcW w:type="dxa" w:w="1999"/>
            <w:tcBorders>
              <w:top w:val="single" w:color="C9CED8" w:sz="4"/>
              <w:left w:val="single" w:color="C9CED8" w:sz="4"/>
              <w:bottom w:val="single" w:color="C9CED8" w:sz="4"/>
              <w:right w:val="single" w:color="C9CED8" w:sz="4"/>
            </w:tcBorders>
            <w:shd w:fill="0F1B3D" w:color="auto" w:val="clear"/>
            <w:tcMar>
              <w:top w:type="dxa" w:w="60"/>
              <w:left w:type="dxa" w:w="100"/>
              <w:bottom w:type="dxa" w:w="60"/>
              <w:right w:type="dxa" w:w="100"/>
            </w:tcMar>
          </w:tcPr>
          <w:p>
            <w:pPr>
              <w:spacing w:after="0"/>
            </w:pPr>
          </w:p>
        </w:tc>
        <w:tc>
          <w:tcPr>
            <w:tcW w:type="dxa" w:w="3392"/>
            <w:tcBorders>
              <w:top w:val="single" w:color="C9CED8" w:sz="4"/>
              <w:left w:val="single" w:color="C9CED8" w:sz="4"/>
              <w:bottom w:val="single" w:color="C9CED8" w:sz="4"/>
              <w:right w:val="single" w:color="C9CED8" w:sz="4"/>
            </w:tcBorders>
            <w:shd w:fill="0F1B3D" w:color="auto" w:val="clear"/>
            <w:tcMar>
              <w:top w:type="dxa" w:w="60"/>
              <w:left w:type="dxa" w:w="100"/>
              <w:bottom w:type="dxa" w:w="60"/>
              <w:right w:type="dxa" w:w="100"/>
            </w:tcMar>
          </w:tcPr>
          <w:p>
            <w:pPr>
              <w:spacing w:after="0"/>
            </w:pPr>
            <w:r>
              <w:rPr>
                <w:rFonts w:ascii="Calibri" w:cs="Calibri" w:eastAsia="Calibri" w:hAnsi="Calibri"/>
                <w:b/>
                <w:bCs/>
                <w:color w:val="FFFFFF"/>
                <w:sz w:val="19"/>
                <w:szCs w:val="19"/>
              </w:rPr>
              <w:t xml:space="preserve">Route A: Supabase-diensten zelf draaien</w:t>
            </w:r>
          </w:p>
        </w:tc>
        <w:tc>
          <w:tcPr>
            <w:tcW w:type="dxa" w:w="3635"/>
            <w:tcBorders>
              <w:top w:val="single" w:color="C9CED8" w:sz="4"/>
              <w:left w:val="single" w:color="C9CED8" w:sz="4"/>
              <w:bottom w:val="single" w:color="C9CED8" w:sz="4"/>
              <w:right w:val="single" w:color="C9CED8" w:sz="4"/>
            </w:tcBorders>
            <w:shd w:fill="0F1B3D" w:color="auto" w:val="clear"/>
            <w:tcMar>
              <w:top w:type="dxa" w:w="60"/>
              <w:left w:type="dxa" w:w="100"/>
              <w:bottom w:type="dxa" w:w="60"/>
              <w:right w:type="dxa" w:w="100"/>
            </w:tcMar>
          </w:tcPr>
          <w:p>
            <w:pPr>
              <w:spacing w:after="0"/>
            </w:pPr>
            <w:r>
              <w:rPr>
                <w:rFonts w:ascii="Calibri" w:cs="Calibri" w:eastAsia="Calibri" w:hAnsi="Calibri"/>
                <w:b/>
                <w:bCs/>
                <w:color w:val="FFFFFF"/>
                <w:sz w:val="19"/>
                <w:szCs w:val="19"/>
              </w:rPr>
              <w:t xml:space="preserve">Route B: gewone PostgreSQL, app aanpassen</w:t>
            </w:r>
          </w:p>
        </w:tc>
      </w:tr>
      <w:tr>
        <w:trPr>
          <w:cantSplit/>
          <w:tblHeader w:val="off"/>
        </w:trPr>
        <w:tc>
          <w:tcPr>
            <w:tcW w:type="dxa" w:w="1999"/>
            <w:tcBorders>
              <w:top w:val="single" w:color="C9CED8" w:sz="4"/>
              <w:left w:val="single" w:color="C9CED8" w:sz="4"/>
              <w:bottom w:val="single" w:color="C9CED8" w:sz="4"/>
              <w:right w:val="single" w:color="C9CED8" w:sz="4"/>
            </w:tcBorders>
            <w:tcMar>
              <w:top w:type="dxa" w:w="60"/>
              <w:left w:type="dxa" w:w="100"/>
              <w:bottom w:type="dxa" w:w="60"/>
              <w:right w:type="dxa" w:w="100"/>
            </w:tcMar>
          </w:tcPr>
          <w:p>
            <w:pPr>
              <w:spacing w:after="0"/>
            </w:pPr>
            <w:r>
              <w:rPr>
                <w:rFonts w:ascii="Calibri" w:cs="Calibri" w:eastAsia="Calibri" w:hAnsi="Calibri"/>
                <w:sz w:val="19"/>
                <w:szCs w:val="19"/>
              </w:rPr>
              <w:t xml:space="preserve">Wat verandert in de code</w:t>
            </w:r>
          </w:p>
        </w:tc>
        <w:tc>
          <w:tcPr>
            <w:tcW w:type="dxa" w:w="3392"/>
            <w:tcBorders>
              <w:top w:val="single" w:color="C9CED8" w:sz="4"/>
              <w:left w:val="single" w:color="C9CED8" w:sz="4"/>
              <w:bottom w:val="single" w:color="C9CED8" w:sz="4"/>
              <w:right w:val="single" w:color="C9CED8" w:sz="4"/>
            </w:tcBorders>
            <w:tcMar>
              <w:top w:type="dxa" w:w="60"/>
              <w:left w:type="dxa" w:w="100"/>
              <w:bottom w:type="dxa" w:w="60"/>
              <w:right w:type="dxa" w:w="100"/>
            </w:tcMar>
          </w:tcPr>
          <w:p>
            <w:pPr>
              <w:spacing w:after="0"/>
            </w:pPr>
            <w:r>
              <w:rPr>
                <w:rFonts w:ascii="Calibri" w:cs="Calibri" w:eastAsia="Calibri" w:hAnsi="Calibri"/>
                <w:sz w:val="19"/>
                <w:szCs w:val="19"/>
              </w:rPr>
              <w:t xml:space="preserve">Vrijwel niets (adressen en sleutels)</w:t>
            </w:r>
          </w:p>
        </w:tc>
        <w:tc>
          <w:tcPr>
            <w:tcW w:type="dxa" w:w="3635"/>
            <w:tcBorders>
              <w:top w:val="single" w:color="C9CED8" w:sz="4"/>
              <w:left w:val="single" w:color="C9CED8" w:sz="4"/>
              <w:bottom w:val="single" w:color="C9CED8" w:sz="4"/>
              <w:right w:val="single" w:color="C9CED8" w:sz="4"/>
            </w:tcBorders>
            <w:tcMar>
              <w:top w:type="dxa" w:w="60"/>
              <w:left w:type="dxa" w:w="100"/>
              <w:bottom w:type="dxa" w:w="60"/>
              <w:right w:type="dxa" w:w="100"/>
            </w:tcMar>
          </w:tcPr>
          <w:p>
            <w:pPr>
              <w:spacing w:after="0"/>
            </w:pPr>
            <w:r>
              <w:rPr>
                <w:rFonts w:ascii="Calibri" w:cs="Calibri" w:eastAsia="Calibri" w:hAnsi="Calibri"/>
                <w:sz w:val="19"/>
                <w:szCs w:val="19"/>
              </w:rPr>
              <w:t xml:space="preserve">Datatoegang in 27 bestanden, alle inlogschermen, avatar-upload</w:t>
            </w:r>
          </w:p>
        </w:tc>
      </w:tr>
      <w:tr>
        <w:trPr>
          <w:cantSplit/>
          <w:tblHeader w:val="off"/>
        </w:trPr>
        <w:tc>
          <w:tcPr>
            <w:tcW w:type="dxa" w:w="1999"/>
            <w:tcBorders>
              <w:top w:val="single" w:color="C9CED8" w:sz="4"/>
              <w:left w:val="single" w:color="C9CED8" w:sz="4"/>
              <w:bottom w:val="single" w:color="C9CED8" w:sz="4"/>
              <w:right w:val="single" w:color="C9CED8" w:sz="4"/>
            </w:tcBorders>
            <w:tcMar>
              <w:top w:type="dxa" w:w="60"/>
              <w:left w:type="dxa" w:w="100"/>
              <w:bottom w:type="dxa" w:w="60"/>
              <w:right w:type="dxa" w:w="100"/>
            </w:tcMar>
          </w:tcPr>
          <w:p>
            <w:pPr>
              <w:spacing w:after="0"/>
            </w:pPr>
            <w:r>
              <w:rPr>
                <w:rFonts w:ascii="Calibri" w:cs="Calibri" w:eastAsia="Calibri" w:hAnsi="Calibri"/>
                <w:sz w:val="19"/>
                <w:szCs w:val="19"/>
              </w:rPr>
              <w:t xml:space="preserve">Wat de beheerder erbij krijgt</w:t>
            </w:r>
          </w:p>
        </w:tc>
        <w:tc>
          <w:tcPr>
            <w:tcW w:type="dxa" w:w="3392"/>
            <w:tcBorders>
              <w:top w:val="single" w:color="C9CED8" w:sz="4"/>
              <w:left w:val="single" w:color="C9CED8" w:sz="4"/>
              <w:bottom w:val="single" w:color="C9CED8" w:sz="4"/>
              <w:right w:val="single" w:color="C9CED8" w:sz="4"/>
            </w:tcBorders>
            <w:tcMar>
              <w:top w:type="dxa" w:w="60"/>
              <w:left w:type="dxa" w:w="100"/>
              <w:bottom w:type="dxa" w:w="60"/>
              <w:right w:type="dxa" w:w="100"/>
            </w:tcMar>
          </w:tcPr>
          <w:p>
            <w:pPr>
              <w:spacing w:after="0"/>
            </w:pPr>
            <w:r>
              <w:rPr>
                <w:rFonts w:ascii="Calibri" w:cs="Calibri" w:eastAsia="Calibri" w:hAnsi="Calibri"/>
                <w:sz w:val="19"/>
                <w:szCs w:val="19"/>
              </w:rPr>
              <w:t xml:space="preserve">Vier extra containers (API-laag, Auth, Storage, gateway)</w:t>
            </w:r>
          </w:p>
        </w:tc>
        <w:tc>
          <w:tcPr>
            <w:tcW w:type="dxa" w:w="3635"/>
            <w:tcBorders>
              <w:top w:val="single" w:color="C9CED8" w:sz="4"/>
              <w:left w:val="single" w:color="C9CED8" w:sz="4"/>
              <w:bottom w:val="single" w:color="C9CED8" w:sz="4"/>
              <w:right w:val="single" w:color="C9CED8" w:sz="4"/>
            </w:tcBorders>
            <w:tcMar>
              <w:top w:type="dxa" w:w="60"/>
              <w:left w:type="dxa" w:w="100"/>
              <w:bottom w:type="dxa" w:w="60"/>
              <w:right w:type="dxa" w:w="100"/>
            </w:tcMar>
          </w:tcPr>
          <w:p>
            <w:pPr>
              <w:spacing w:after="0"/>
            </w:pPr>
            <w:r>
              <w:rPr>
                <w:rFonts w:ascii="Calibri" w:cs="Calibri" w:eastAsia="Calibri" w:hAnsi="Calibri"/>
                <w:sz w:val="19"/>
                <w:szCs w:val="19"/>
              </w:rPr>
              <w:t xml:space="preserve">Alleen app en database</w:t>
            </w:r>
          </w:p>
        </w:tc>
      </w:tr>
      <w:tr>
        <w:trPr>
          <w:cantSplit/>
          <w:tblHeader w:val="off"/>
        </w:trPr>
        <w:tc>
          <w:tcPr>
            <w:tcW w:type="dxa" w:w="1999"/>
            <w:tcBorders>
              <w:top w:val="single" w:color="C9CED8" w:sz="4"/>
              <w:left w:val="single" w:color="C9CED8" w:sz="4"/>
              <w:bottom w:val="single" w:color="C9CED8" w:sz="4"/>
              <w:right w:val="single" w:color="C9CED8" w:sz="4"/>
            </w:tcBorders>
            <w:tcMar>
              <w:top w:type="dxa" w:w="60"/>
              <w:left w:type="dxa" w:w="100"/>
              <w:bottom w:type="dxa" w:w="60"/>
              <w:right w:type="dxa" w:w="100"/>
            </w:tcMar>
          </w:tcPr>
          <w:p>
            <w:pPr>
              <w:spacing w:after="0"/>
            </w:pPr>
            <w:r>
              <w:rPr>
                <w:rFonts w:ascii="Calibri" w:cs="Calibri" w:eastAsia="Calibri" w:hAnsi="Calibri"/>
                <w:sz w:val="19"/>
                <w:szCs w:val="19"/>
              </w:rPr>
              <w:t xml:space="preserve">Entra ID later</w:t>
            </w:r>
          </w:p>
        </w:tc>
        <w:tc>
          <w:tcPr>
            <w:tcW w:type="dxa" w:w="3392"/>
            <w:tcBorders>
              <w:top w:val="single" w:color="C9CED8" w:sz="4"/>
              <w:left w:val="single" w:color="C9CED8" w:sz="4"/>
              <w:bottom w:val="single" w:color="C9CED8" w:sz="4"/>
              <w:right w:val="single" w:color="C9CED8" w:sz="4"/>
            </w:tcBorders>
            <w:tcMar>
              <w:top w:type="dxa" w:w="60"/>
              <w:left w:type="dxa" w:w="100"/>
              <w:bottom w:type="dxa" w:w="60"/>
              <w:right w:type="dxa" w:w="100"/>
            </w:tcMar>
          </w:tcPr>
          <w:p>
            <w:pPr>
              <w:spacing w:after="0"/>
            </w:pPr>
            <w:r>
              <w:rPr>
                <w:rFonts w:ascii="Calibri" w:cs="Calibri" w:eastAsia="Calibri" w:hAnsi="Calibri"/>
                <w:sz w:val="19"/>
                <w:szCs w:val="19"/>
              </w:rPr>
              <w:t xml:space="preserve">Configuratie van de ingebouwde Azure-provider</w:t>
            </w:r>
          </w:p>
        </w:tc>
        <w:tc>
          <w:tcPr>
            <w:tcW w:type="dxa" w:w="3635"/>
            <w:tcBorders>
              <w:top w:val="single" w:color="C9CED8" w:sz="4"/>
              <w:left w:val="single" w:color="C9CED8" w:sz="4"/>
              <w:bottom w:val="single" w:color="C9CED8" w:sz="4"/>
              <w:right w:val="single" w:color="C9CED8" w:sz="4"/>
            </w:tcBorders>
            <w:tcMar>
              <w:top w:type="dxa" w:w="60"/>
              <w:left w:type="dxa" w:w="100"/>
              <w:bottom w:type="dxa" w:w="60"/>
              <w:right w:type="dxa" w:w="100"/>
            </w:tcMar>
          </w:tcPr>
          <w:p>
            <w:pPr>
              <w:spacing w:after="0"/>
            </w:pPr>
            <w:r>
              <w:rPr>
                <w:rFonts w:ascii="Calibri" w:cs="Calibri" w:eastAsia="Calibri" w:hAnsi="Calibri"/>
                <w:sz w:val="19"/>
                <w:szCs w:val="19"/>
              </w:rPr>
              <w:t xml:space="preserve">Onderdeel van de herbouw</w:t>
            </w:r>
          </w:p>
        </w:tc>
      </w:tr>
      <w:tr>
        <w:trPr>
          <w:cantSplit/>
          <w:tblHeader w:val="off"/>
        </w:trPr>
        <w:tc>
          <w:tcPr>
            <w:tcW w:type="dxa" w:w="1999"/>
            <w:tcBorders>
              <w:top w:val="single" w:color="C9CED8" w:sz="4"/>
              <w:left w:val="single" w:color="C9CED8" w:sz="4"/>
              <w:bottom w:val="single" w:color="C9CED8" w:sz="4"/>
              <w:right w:val="single" w:color="C9CED8" w:sz="4"/>
            </w:tcBorders>
            <w:tcMar>
              <w:top w:type="dxa" w:w="60"/>
              <w:left w:type="dxa" w:w="100"/>
              <w:bottom w:type="dxa" w:w="60"/>
              <w:right w:type="dxa" w:w="100"/>
            </w:tcMar>
          </w:tcPr>
          <w:p>
            <w:pPr>
              <w:spacing w:after="0"/>
            </w:pPr>
            <w:r>
              <w:rPr>
                <w:rFonts w:ascii="Calibri" w:cs="Calibri" w:eastAsia="Calibri" w:hAnsi="Calibri"/>
                <w:sz w:val="19"/>
                <w:szCs w:val="19"/>
              </w:rPr>
              <w:t xml:space="preserve">Risico</w:t>
            </w:r>
          </w:p>
        </w:tc>
        <w:tc>
          <w:tcPr>
            <w:tcW w:type="dxa" w:w="3392"/>
            <w:tcBorders>
              <w:top w:val="single" w:color="C9CED8" w:sz="4"/>
              <w:left w:val="single" w:color="C9CED8" w:sz="4"/>
              <w:bottom w:val="single" w:color="C9CED8" w:sz="4"/>
              <w:right w:val="single" w:color="C9CED8" w:sz="4"/>
            </w:tcBorders>
            <w:tcMar>
              <w:top w:type="dxa" w:w="60"/>
              <w:left w:type="dxa" w:w="100"/>
              <w:bottom w:type="dxa" w:w="60"/>
              <w:right w:type="dxa" w:w="100"/>
            </w:tcMar>
          </w:tcPr>
          <w:p>
            <w:pPr>
              <w:spacing w:after="0"/>
            </w:pPr>
            <w:r>
              <w:rPr>
                <w:rFonts w:ascii="Calibri" w:cs="Calibri" w:eastAsia="Calibri" w:hAnsi="Calibri"/>
                <w:sz w:val="19"/>
                <w:szCs w:val="19"/>
              </w:rPr>
              <w:t xml:space="preserve">Past Supabase op Azure Flexible Server? (proef nodig)</w:t>
            </w:r>
          </w:p>
        </w:tc>
        <w:tc>
          <w:tcPr>
            <w:tcW w:type="dxa" w:w="3635"/>
            <w:tcBorders>
              <w:top w:val="single" w:color="C9CED8" w:sz="4"/>
              <w:left w:val="single" w:color="C9CED8" w:sz="4"/>
              <w:bottom w:val="single" w:color="C9CED8" w:sz="4"/>
              <w:right w:val="single" w:color="C9CED8" w:sz="4"/>
            </w:tcBorders>
            <w:tcMar>
              <w:top w:type="dxa" w:w="60"/>
              <w:left w:type="dxa" w:w="100"/>
              <w:bottom w:type="dxa" w:w="60"/>
              <w:right w:type="dxa" w:w="100"/>
            </w:tcMar>
          </w:tcPr>
          <w:p>
            <w:pPr>
              <w:spacing w:after="0"/>
            </w:pPr>
            <w:r>
              <w:rPr>
                <w:rFonts w:ascii="Calibri" w:cs="Calibri" w:eastAsia="Calibri" w:hAnsi="Calibri"/>
                <w:sz w:val="19"/>
                <w:szCs w:val="19"/>
              </w:rPr>
              <w:t xml:space="preserve">Veel werk, regressierisico in rechten (52 RLS-policies)</w:t>
            </w:r>
          </w:p>
        </w:tc>
      </w:tr>
      <w:tr>
        <w:trPr>
          <w:cantSplit/>
          <w:tblHeader w:val="off"/>
        </w:trPr>
        <w:tc>
          <w:tcPr>
            <w:tcW w:type="dxa" w:w="1999"/>
            <w:tcBorders>
              <w:top w:val="single" w:color="C9CED8" w:sz="4"/>
              <w:left w:val="single" w:color="C9CED8" w:sz="4"/>
              <w:bottom w:val="single" w:color="C9CED8" w:sz="4"/>
              <w:right w:val="single" w:color="C9CED8" w:sz="4"/>
            </w:tcBorders>
            <w:tcMar>
              <w:top w:type="dxa" w:w="60"/>
              <w:left w:type="dxa" w:w="100"/>
              <w:bottom w:type="dxa" w:w="60"/>
              <w:right w:type="dxa" w:w="100"/>
            </w:tcMar>
          </w:tcPr>
          <w:p>
            <w:pPr>
              <w:spacing w:after="0"/>
            </w:pPr>
            <w:r>
              <w:rPr>
                <w:rFonts w:ascii="Calibri" w:cs="Calibri" w:eastAsia="Calibri" w:hAnsi="Calibri"/>
                <w:sz w:val="19"/>
                <w:szCs w:val="19"/>
              </w:rPr>
              <w:t xml:space="preserve">Geschatte doorlooptijd verhuizing</w:t>
            </w:r>
          </w:p>
        </w:tc>
        <w:tc>
          <w:tcPr>
            <w:tcW w:type="dxa" w:w="3392"/>
            <w:tcBorders>
              <w:top w:val="single" w:color="C9CED8" w:sz="4"/>
              <w:left w:val="single" w:color="C9CED8" w:sz="4"/>
              <w:bottom w:val="single" w:color="C9CED8" w:sz="4"/>
              <w:right w:val="single" w:color="C9CED8" w:sz="4"/>
            </w:tcBorders>
            <w:tcMar>
              <w:top w:type="dxa" w:w="60"/>
              <w:left w:type="dxa" w:w="100"/>
              <w:bottom w:type="dxa" w:w="60"/>
              <w:right w:type="dxa" w:w="100"/>
            </w:tcMar>
          </w:tcPr>
          <w:p>
            <w:pPr>
              <w:spacing w:after="0"/>
            </w:pPr>
            <w:r>
              <w:rPr>
                <w:rFonts w:ascii="Calibri" w:cs="Calibri" w:eastAsia="Calibri" w:hAnsi="Calibri"/>
                <w:sz w:val="19"/>
                <w:szCs w:val="19"/>
              </w:rPr>
              <w:t xml:space="preserve">Weken</w:t>
            </w:r>
          </w:p>
        </w:tc>
        <w:tc>
          <w:tcPr>
            <w:tcW w:type="dxa" w:w="3635"/>
            <w:tcBorders>
              <w:top w:val="single" w:color="C9CED8" w:sz="4"/>
              <w:left w:val="single" w:color="C9CED8" w:sz="4"/>
              <w:bottom w:val="single" w:color="C9CED8" w:sz="4"/>
              <w:right w:val="single" w:color="C9CED8" w:sz="4"/>
            </w:tcBorders>
            <w:tcMar>
              <w:top w:type="dxa" w:w="60"/>
              <w:left w:type="dxa" w:w="100"/>
              <w:bottom w:type="dxa" w:w="60"/>
              <w:right w:type="dxa" w:w="100"/>
            </w:tcMar>
          </w:tcPr>
          <w:p>
            <w:pPr>
              <w:spacing w:after="0"/>
            </w:pPr>
            <w:r>
              <w:rPr>
                <w:rFonts w:ascii="Calibri" w:cs="Calibri" w:eastAsia="Calibri" w:hAnsi="Calibri"/>
                <w:sz w:val="19"/>
                <w:szCs w:val="19"/>
              </w:rPr>
              <w:t xml:space="preserve">Maanden</w:t>
            </w:r>
          </w:p>
        </w:tc>
      </w:tr>
      <w:tr>
        <w:trPr>
          <w:cantSplit/>
          <w:tblHeader w:val="off"/>
        </w:trPr>
        <w:tc>
          <w:tcPr>
            <w:tcW w:type="dxa" w:w="1999"/>
            <w:tcBorders>
              <w:top w:val="single" w:color="C9CED8" w:sz="4"/>
              <w:left w:val="single" w:color="C9CED8" w:sz="4"/>
              <w:bottom w:val="single" w:color="C9CED8" w:sz="4"/>
              <w:right w:val="single" w:color="C9CED8" w:sz="4"/>
            </w:tcBorders>
            <w:tcMar>
              <w:top w:type="dxa" w:w="60"/>
              <w:left w:type="dxa" w:w="100"/>
              <w:bottom w:type="dxa" w:w="60"/>
              <w:right w:type="dxa" w:w="100"/>
            </w:tcMar>
          </w:tcPr>
          <w:p>
            <w:pPr>
              <w:spacing w:after="0"/>
            </w:pPr>
            <w:r>
              <w:rPr>
                <w:rFonts w:ascii="Calibri" w:cs="Calibri" w:eastAsia="Calibri" w:hAnsi="Calibri"/>
                <w:sz w:val="19"/>
                <w:szCs w:val="19"/>
              </w:rPr>
              <w:t xml:space="preserve">Terugdraaien</w:t>
            </w:r>
          </w:p>
        </w:tc>
        <w:tc>
          <w:tcPr>
            <w:tcW w:type="dxa" w:w="3392"/>
            <w:tcBorders>
              <w:top w:val="single" w:color="C9CED8" w:sz="4"/>
              <w:left w:val="single" w:color="C9CED8" w:sz="4"/>
              <w:bottom w:val="single" w:color="C9CED8" w:sz="4"/>
              <w:right w:val="single" w:color="C9CED8" w:sz="4"/>
            </w:tcBorders>
            <w:tcMar>
              <w:top w:type="dxa" w:w="60"/>
              <w:left w:type="dxa" w:w="100"/>
              <w:bottom w:type="dxa" w:w="60"/>
              <w:right w:type="dxa" w:w="100"/>
            </w:tcMar>
          </w:tcPr>
          <w:p>
            <w:pPr>
              <w:spacing w:after="0"/>
            </w:pPr>
            <w:r>
              <w:rPr>
                <w:rFonts w:ascii="Calibri" w:cs="Calibri" w:eastAsia="Calibri" w:hAnsi="Calibri"/>
                <w:sz w:val="19"/>
                <w:szCs w:val="19"/>
              </w:rPr>
              <w:t xml:space="preserve">Eenvoudig</w:t>
            </w:r>
          </w:p>
        </w:tc>
        <w:tc>
          <w:tcPr>
            <w:tcW w:type="dxa" w:w="3635"/>
            <w:tcBorders>
              <w:top w:val="single" w:color="C9CED8" w:sz="4"/>
              <w:left w:val="single" w:color="C9CED8" w:sz="4"/>
              <w:bottom w:val="single" w:color="C9CED8" w:sz="4"/>
              <w:right w:val="single" w:color="C9CED8" w:sz="4"/>
            </w:tcBorders>
            <w:tcMar>
              <w:top w:type="dxa" w:w="60"/>
              <w:left w:type="dxa" w:w="100"/>
              <w:bottom w:type="dxa" w:w="60"/>
              <w:right w:type="dxa" w:w="100"/>
            </w:tcMar>
          </w:tcPr>
          <w:p>
            <w:pPr>
              <w:spacing w:after="0"/>
            </w:pPr>
            <w:r>
              <w:rPr>
                <w:rFonts w:ascii="Calibri" w:cs="Calibri" w:eastAsia="Calibri" w:hAnsi="Calibri"/>
                <w:sz w:val="19"/>
                <w:szCs w:val="19"/>
              </w:rPr>
              <w:t xml:space="preserve">Moeilijker, want de code verandert mee</w:t>
            </w:r>
          </w:p>
        </w:tc>
      </w:tr>
    </w:tbl>
    <w:p>
      <w:pPr>
        <w:spacing w:after="120"/>
      </w:pPr>
    </w:p>
    <w:p>
      <w:pPr>
        <w:spacing w:after="140"/>
      </w:pPr>
      <w:r>
        <w:rPr>
          <w:rFonts w:ascii="Calibri" w:cs="Calibri" w:eastAsia="Calibri" w:hAnsi="Calibri"/>
        </w:rPr>
        <w:t xml:space="preserve">Aanbeveling: route A. Route B is een goede eindstaat als Knijff geen containers wil beheren, maar dan is het een eigen project na de verhuizing en niet iets om in dezelfde beweging te doen.</w:t>
      </w:r>
    </w:p>
    <w:p>
      <w:pPr>
        <w:spacing w:after="140"/>
      </w:pPr>
      <w:r>
        <w:rPr>
          <w:rFonts w:ascii="Calibri" w:cs="Calibri" w:eastAsia="Calibri" w:hAnsi="Calibri"/>
        </w:rPr>
        <w:t xml:space="preserve">De proef die route A bevestigt of afwijst staat in het stappenplan als stap 1.</w:t>
      </w:r>
    </w:p>
    <w:p>
      <w:pPr>
        <w:pStyle w:val="Heading2"/>
      </w:pPr>
      <w:r>
        <w:rPr>
          <w:rFonts w:ascii="Calibri" w:cs="Calibri" w:eastAsia="Calibri" w:hAnsi="Calibri"/>
        </w:rPr>
        <w:t xml:space="preserve">3. Fasering</w:t>
      </w:r>
    </w:p>
    <w:p>
      <w:pPr>
        <w:pStyle w:val="Heading3"/>
      </w:pPr>
      <w:r>
        <w:rPr>
          <w:rFonts w:ascii="Calibri" w:cs="Calibri" w:eastAsia="Calibri" w:hAnsi="Calibri"/>
        </w:rPr>
        <w:t xml:space="preserve">Fase 0. Voorbereiding (Erwin en de beheerder, parallel)</w:t>
      </w:r>
    </w:p>
    <w:p>
      <w:pPr>
        <w:pStyle w:val="ListParagraph"/>
        <w:numPr>
          <w:ilvl w:val="0"/>
          <w:numId w:val="2"/>
        </w:numPr>
        <w:spacing w:after="60"/>
      </w:pPr>
      <w:r>
        <w:rPr>
          <w:rFonts w:ascii="Calibri" w:cs="Calibri" w:eastAsia="Calibri" w:hAnsi="Calibri"/>
        </w:rPr>
        <w:t xml:space="preserve">Vul de gegevens uit hoofdstuk 12 van het overdrachtsdocument in (databasegrootte, rijen, gebruikers, SMTP, domein, plannen).</w:t>
      </w:r>
    </w:p>
    <w:p>
      <w:pPr>
        <w:pStyle w:val="ListParagraph"/>
        <w:numPr>
          <w:ilvl w:val="0"/>
          <w:numId w:val="2"/>
        </w:numPr>
        <w:spacing w:after="60"/>
      </w:pPr>
      <w:r>
        <w:rPr>
          <w:rFonts w:ascii="Calibri" w:cs="Calibri" w:eastAsia="Calibri" w:hAnsi="Calibri"/>
        </w:rPr>
        <w:t xml:space="preserve">Besluit route A of B (hoofdstuk 2) en wie wat beheert.</w:t>
      </w:r>
    </w:p>
    <w:p>
      <w:pPr>
        <w:pStyle w:val="ListParagraph"/>
        <w:numPr>
          <w:ilvl w:val="0"/>
          <w:numId w:val="2"/>
        </w:numPr>
        <w:spacing w:after="60"/>
      </w:pPr>
      <w:r>
        <w:rPr>
          <w:rFonts w:ascii="Calibri" w:cs="Calibri" w:eastAsia="Calibri" w:hAnsi="Calibri"/>
        </w:rPr>
        <w:t xml:space="preserve">Zet de broncode over van het persoonlijke GitHub-account naar een organisatie van Knijff (of Azure DevOps), zodat de pijplijn van het bedrijf is en niet van een persoon.</w:t>
      </w:r>
    </w:p>
    <w:p>
      <w:pPr>
        <w:pStyle w:val="ListParagraph"/>
        <w:numPr>
          <w:ilvl w:val="0"/>
          <w:numId w:val="2"/>
        </w:numPr>
        <w:spacing w:after="60"/>
      </w:pPr>
      <w:r>
        <w:rPr>
          <w:rFonts w:ascii="Calibri" w:cs="Calibri" w:eastAsia="Calibri" w:hAnsi="Calibri"/>
        </w:rPr>
        <w:t xml:space="preserve">Maak servicesaccounts voor HubSpot en Patricia (alleen-lezen) in plaats van persoonlijke accounts.</w:t>
      </w:r>
    </w:p>
    <w:p>
      <w:pPr>
        <w:pStyle w:val="ListParagraph"/>
        <w:numPr>
          <w:ilvl w:val="0"/>
          <w:numId w:val="2"/>
        </w:numPr>
        <w:spacing w:after="60"/>
      </w:pPr>
      <w:r>
        <w:rPr>
          <w:rFonts w:ascii="Calibri" w:cs="Calibri" w:eastAsia="Calibri" w:hAnsi="Calibri"/>
        </w:rPr>
        <w:t xml:space="preserve">Kies en regel het domein: wie beheert de DNS, kan de TTL vooraf naar 5 minuten.</w:t>
      </w:r>
    </w:p>
    <w:p>
      <w:pPr>
        <w:pStyle w:val="Heading3"/>
      </w:pPr>
      <w:r>
        <w:rPr>
          <w:rFonts w:ascii="Calibri" w:cs="Calibri" w:eastAsia="Calibri" w:hAnsi="Calibri"/>
        </w:rPr>
        <w:t xml:space="preserve">Fase 1. Proef met de infrastructuur (route A), 2 tot 3 dagen</w:t>
      </w:r>
    </w:p>
    <w:p>
      <w:pPr>
        <w:spacing w:after="140"/>
      </w:pPr>
      <w:r>
        <w:rPr>
          <w:rFonts w:ascii="Calibri" w:cs="Calibri" w:eastAsia="Calibri" w:hAnsi="Calibri"/>
        </w:rPr>
        <w:t xml:space="preserve">Doel: bevestigen dat het kan, voordat er meer wordt gebouwd.</w:t>
      </w:r>
    </w:p>
    <w:p>
      <w:pPr>
        <w:pStyle w:val="ListParagraph"/>
        <w:numPr>
          <w:ilvl w:val="0"/>
          <w:numId w:val="2"/>
        </w:numPr>
        <w:spacing w:after="60"/>
      </w:pPr>
      <w:r>
        <w:rPr>
          <w:rFonts w:ascii="Calibri" w:cs="Calibri" w:eastAsia="Calibri" w:hAnsi="Calibri"/>
        </w:rPr>
        <w:t xml:space="preserve">Maak in een testabonnement een Azure Database for PostgreSQL Flexible Server aan.</w:t>
      </w:r>
    </w:p>
    <w:p>
      <w:pPr>
        <w:pStyle w:val="ListParagraph"/>
        <w:numPr>
          <w:ilvl w:val="0"/>
          <w:numId w:val="2"/>
        </w:numPr>
        <w:spacing w:after="60"/>
      </w:pPr>
      <w:r>
        <w:rPr>
          <w:rFonts w:ascii="Calibri" w:cs="Calibri" w:eastAsia="Calibri" w:hAnsi="Calibri"/>
        </w:rPr>
        <w:t xml:space="preserve">Draai de Supabase-diensten (API-laag, Auth, Storage, gateway) in containers ernaast.</w:t>
      </w:r>
    </w:p>
    <w:p>
      <w:pPr>
        <w:pStyle w:val="ListParagraph"/>
        <w:numPr>
          <w:ilvl w:val="0"/>
          <w:numId w:val="2"/>
        </w:numPr>
        <w:spacing w:after="60"/>
      </w:pPr>
      <w:r>
        <w:rPr>
          <w:rFonts w:ascii="Calibri" w:cs="Calibri" w:eastAsia="Calibri" w:hAnsi="Calibri"/>
        </w:rPr>
        <w:t xml:space="preserve">Controleer: extensies </w:t>
      </w:r>
      <w:r>
        <w:rPr>
          <w:rFonts w:ascii="Consolas" w:cs="Consolas" w:eastAsia="Consolas" w:hAnsi="Consolas"/>
          <w:sz w:val="19"/>
          <w:szCs w:val="19"/>
        </w:rPr>
        <w:t xml:space="preserve">pgcrypto</w:t>
      </w:r>
      <w:r>
        <w:rPr>
          <w:rFonts w:ascii="Calibri" w:cs="Calibri" w:eastAsia="Calibri" w:hAnsi="Calibri"/>
        </w:rPr>
        <w:t xml:space="preserve"> en </w:t>
      </w:r>
      <w:r>
        <w:rPr>
          <w:rFonts w:ascii="Consolas" w:cs="Consolas" w:eastAsia="Consolas" w:hAnsi="Consolas"/>
          <w:sz w:val="19"/>
          <w:szCs w:val="19"/>
        </w:rPr>
        <w:t xml:space="preserve">pg_cron</w:t>
      </w:r>
      <w:r>
        <w:rPr>
          <w:rFonts w:ascii="Calibri" w:cs="Calibri" w:eastAsia="Calibri" w:hAnsi="Calibri"/>
        </w:rPr>
        <w:t xml:space="preserve">, de rollen </w:t>
      </w:r>
      <w:r>
        <w:rPr>
          <w:rFonts w:ascii="Consolas" w:cs="Consolas" w:eastAsia="Consolas" w:hAnsi="Consolas"/>
          <w:sz w:val="19"/>
          <w:szCs w:val="19"/>
        </w:rPr>
        <w:t xml:space="preserve">anon</w:t>
      </w:r>
      <w:r>
        <w:rPr>
          <w:rFonts w:ascii="Calibri" w:cs="Calibri" w:eastAsia="Calibri" w:hAnsi="Calibri"/>
        </w:rPr>
        <w:t xml:space="preserve">, </w:t>
      </w:r>
      <w:r>
        <w:rPr>
          <w:rFonts w:ascii="Consolas" w:cs="Consolas" w:eastAsia="Consolas" w:hAnsi="Consolas"/>
          <w:sz w:val="19"/>
          <w:szCs w:val="19"/>
        </w:rPr>
        <w:t xml:space="preserve">authenticated</w:t>
      </w:r>
      <w:r>
        <w:rPr>
          <w:rFonts w:ascii="Calibri" w:cs="Calibri" w:eastAsia="Calibri" w:hAnsi="Calibri"/>
        </w:rPr>
        <w:t xml:space="preserve">, </w:t>
      </w:r>
      <w:r>
        <w:rPr>
          <w:rFonts w:ascii="Consolas" w:cs="Consolas" w:eastAsia="Consolas" w:hAnsi="Consolas"/>
          <w:sz w:val="19"/>
          <w:szCs w:val="19"/>
        </w:rPr>
        <w:t xml:space="preserve">service_role</w:t>
      </w:r>
      <w:r>
        <w:rPr>
          <w:rFonts w:ascii="Calibri" w:cs="Calibri" w:eastAsia="Calibri" w:hAnsi="Calibri"/>
        </w:rPr>
        <w:t xml:space="preserve">, de schema's </w:t>
      </w:r>
      <w:r>
        <w:rPr>
          <w:rFonts w:ascii="Consolas" w:cs="Consolas" w:eastAsia="Consolas" w:hAnsi="Consolas"/>
          <w:sz w:val="19"/>
          <w:szCs w:val="19"/>
        </w:rPr>
        <w:t xml:space="preserve">auth</w:t>
      </w:r>
      <w:r>
        <w:rPr>
          <w:rFonts w:ascii="Calibri" w:cs="Calibri" w:eastAsia="Calibri" w:hAnsi="Calibri"/>
        </w:rPr>
        <w:t xml:space="preserve"> en </w:t>
      </w:r>
      <w:r>
        <w:rPr>
          <w:rFonts w:ascii="Consolas" w:cs="Consolas" w:eastAsia="Consolas" w:hAnsi="Consolas"/>
          <w:sz w:val="19"/>
          <w:szCs w:val="19"/>
        </w:rPr>
        <w:t xml:space="preserve">storage</w:t>
      </w:r>
      <w:r>
        <w:rPr>
          <w:rFonts w:ascii="Calibri" w:cs="Calibri" w:eastAsia="Calibri" w:hAnsi="Calibri"/>
        </w:rPr>
        <w:t xml:space="preserve">, en </w:t>
      </w:r>
      <w:r>
        <w:rPr>
          <w:rFonts w:ascii="Consolas" w:cs="Consolas" w:eastAsia="Consolas" w:hAnsi="Consolas"/>
          <w:sz w:val="19"/>
          <w:szCs w:val="19"/>
        </w:rPr>
        <w:t xml:space="preserve">SECURITY DEFINER</w:t>
      </w:r>
      <w:r>
        <w:rPr>
          <w:rFonts w:ascii="Calibri" w:cs="Calibri" w:eastAsia="Calibri" w:hAnsi="Calibri"/>
        </w:rPr>
        <w:t xml:space="preserve">-functies.</w:t>
      </w:r>
    </w:p>
    <w:p>
      <w:pPr>
        <w:pStyle w:val="ListParagraph"/>
        <w:numPr>
          <w:ilvl w:val="0"/>
          <w:numId w:val="2"/>
        </w:numPr>
        <w:spacing w:after="60"/>
      </w:pPr>
      <w:r>
        <w:rPr>
          <w:rFonts w:ascii="Calibri" w:cs="Calibri" w:eastAsia="Calibri" w:hAnsi="Calibri"/>
        </w:rPr>
        <w:t xml:space="preserve">Voer alle 53 migraties uit op de lege database en laat een rooktest slagen.</w:t>
      </w:r>
    </w:p>
    <w:p>
      <w:pPr>
        <w:pStyle w:val="ListParagraph"/>
        <w:numPr>
          <w:ilvl w:val="0"/>
          <w:numId w:val="2"/>
        </w:numPr>
        <w:spacing w:after="60"/>
      </w:pPr>
      <w:r>
        <w:rPr>
          <w:rFonts w:ascii="Calibri" w:cs="Calibri" w:eastAsia="Calibri" w:hAnsi="Calibri"/>
        </w:rPr>
        <w:t xml:space="preserve">Uitkomst: ja (verder met route A), of nee (terugval: dezelfde stack met Postgres in een container of op een VM met beheerde schijf, of route B).</w:t>
      </w:r>
    </w:p>
    <w:p>
      <w:pPr>
        <w:pStyle w:val="Heading3"/>
      </w:pPr>
      <w:r>
        <w:rPr>
          <w:rFonts w:ascii="Calibri" w:cs="Calibri" w:eastAsia="Calibri" w:hAnsi="Calibri"/>
        </w:rPr>
        <w:t xml:space="preserve">Fase 2. TEST-omgeving met dummydata, 1 tot 2 weken</w:t>
      </w:r>
    </w:p>
    <w:p>
      <w:pPr>
        <w:spacing w:after="140"/>
      </w:pPr>
      <w:r>
        <w:rPr>
          <w:rFonts w:ascii="Calibri" w:cs="Calibri" w:eastAsia="Calibri" w:hAnsi="Calibri"/>
        </w:rPr>
        <w:t xml:space="preserve">Doel: de hele keten werkend krijgen zonder dat echte klantdata in het spel is.</w:t>
      </w:r>
    </w:p>
    <w:p>
      <w:pPr>
        <w:pStyle w:val="ListParagraph"/>
        <w:numPr>
          <w:ilvl w:val="0"/>
          <w:numId w:val="2"/>
        </w:numPr>
        <w:spacing w:after="60"/>
      </w:pPr>
      <w:r>
        <w:rPr>
          <w:rFonts w:ascii="Calibri" w:cs="Calibri" w:eastAsia="Calibri" w:hAnsi="Calibri"/>
        </w:rPr>
        <w:t xml:space="preserve">Richt de omgeving in zoals LIVE straks wordt (hoofdstuk 5 van de overdracht): app-hosting, database, containers, Key Vault, VNet, domein met testcertificaat.</w:t>
      </w:r>
    </w:p>
    <w:p>
      <w:pPr>
        <w:pStyle w:val="ListParagraph"/>
        <w:numPr>
          <w:ilvl w:val="0"/>
          <w:numId w:val="2"/>
        </w:numPr>
        <w:spacing w:after="60"/>
      </w:pPr>
      <w:r>
        <w:rPr>
          <w:rFonts w:ascii="Calibri" w:cs="Calibri" w:eastAsia="Calibri" w:hAnsi="Calibri"/>
        </w:rPr>
        <w:t xml:space="preserve">Bouw de pijplijn: bouwen, containerimage, databasemigraties, uitrollen. De huidige </w:t>
      </w:r>
      <w:r>
        <w:rPr>
          <w:rFonts w:ascii="Consolas" w:cs="Consolas" w:eastAsia="Consolas" w:hAnsi="Consolas"/>
          <w:sz w:val="19"/>
          <w:szCs w:val="19"/>
        </w:rPr>
        <w:t xml:space="preserve">vercel-build</w:t>
      </w:r>
      <w:r>
        <w:rPr>
          <w:rFonts w:ascii="Calibri" w:cs="Calibri" w:eastAsia="Calibri" w:hAnsi="Calibri"/>
        </w:rPr>
        <w:t xml:space="preserve">-stappen (migraties, changelog-script, build) worden stappen in deze pijplijn.</w:t>
      </w:r>
    </w:p>
    <w:p>
      <w:pPr>
        <w:pStyle w:val="ListParagraph"/>
        <w:numPr>
          <w:ilvl w:val="0"/>
          <w:numId w:val="2"/>
        </w:numPr>
        <w:spacing w:after="60"/>
      </w:pPr>
      <w:r>
        <w:rPr>
          <w:rFonts w:ascii="Calibri" w:cs="Calibri" w:eastAsia="Calibri" w:hAnsi="Calibri"/>
        </w:rPr>
        <w:t xml:space="preserve">Voeg aan de repo toe: een Dockerfile en </w:t>
      </w:r>
      <w:r>
        <w:rPr>
          <w:rFonts w:ascii="Consolas" w:cs="Consolas" w:eastAsia="Consolas" w:hAnsi="Consolas"/>
          <w:sz w:val="19"/>
          <w:szCs w:val="19"/>
        </w:rPr>
        <w:t xml:space="preserve">output: "standalone"</w:t>
      </w:r>
      <w:r>
        <w:rPr>
          <w:rFonts w:ascii="Calibri" w:cs="Calibri" w:eastAsia="Calibri" w:hAnsi="Calibri"/>
        </w:rPr>
        <w:t xml:space="preserve"> in </w:t>
      </w:r>
      <w:r>
        <w:rPr>
          <w:rFonts w:ascii="Consolas" w:cs="Consolas" w:eastAsia="Consolas" w:hAnsi="Consolas"/>
          <w:sz w:val="19"/>
          <w:szCs w:val="19"/>
        </w:rPr>
        <w:t xml:space="preserve">next.config.ts</w:t>
      </w:r>
      <w:r>
        <w:rPr>
          <w:rFonts w:ascii="Calibri" w:cs="Calibri" w:eastAsia="Calibri" w:hAnsi="Calibri"/>
        </w:rPr>
        <w:t xml:space="preserve">.</w:t>
      </w:r>
    </w:p>
    <w:p>
      <w:pPr>
        <w:pStyle w:val="ListParagraph"/>
        <w:numPr>
          <w:ilvl w:val="0"/>
          <w:numId w:val="2"/>
        </w:numPr>
        <w:spacing w:after="60"/>
      </w:pPr>
      <w:r>
        <w:rPr>
          <w:rFonts w:ascii="Calibri" w:cs="Calibri" w:eastAsia="Calibri" w:hAnsi="Calibri"/>
        </w:rPr>
        <w:t xml:space="preserve">Vul de database met </w:t>
      </w:r>
      <w:r>
        <w:rPr>
          <w:rFonts w:ascii="Consolas" w:cs="Consolas" w:eastAsia="Consolas" w:hAnsi="Consolas"/>
          <w:sz w:val="19"/>
          <w:szCs w:val="19"/>
        </w:rPr>
        <w:t xml:space="preserve">scripts/seed.mjs</w:t>
      </w:r>
      <w:r>
        <w:rPr>
          <w:rFonts w:ascii="Calibri" w:cs="Calibri" w:eastAsia="Calibri" w:hAnsi="Calibri"/>
        </w:rPr>
        <w:t xml:space="preserve"> (7 demogebruikers, 2 teams, 2 klanten).</w:t>
      </w:r>
    </w:p>
    <w:p>
      <w:pPr>
        <w:pStyle w:val="ListParagraph"/>
        <w:numPr>
          <w:ilvl w:val="0"/>
          <w:numId w:val="2"/>
        </w:numPr>
        <w:spacing w:after="60"/>
      </w:pPr>
      <w:r>
        <w:rPr>
          <w:rFonts w:ascii="Calibri" w:cs="Calibri" w:eastAsia="Calibri" w:hAnsi="Calibri"/>
        </w:rPr>
        <w:t xml:space="preserve">Test: inloggen (wachtwoord, magic link, wachtwoord vergeten, uitnodigen), alle rollen, factuuritems aanmaken, specificatie-PDF genereren, avatar uploaden, e-mail ontvangen.</w:t>
      </w:r>
    </w:p>
    <w:p>
      <w:pPr>
        <w:pStyle w:val="ListParagraph"/>
        <w:numPr>
          <w:ilvl w:val="0"/>
          <w:numId w:val="2"/>
        </w:numPr>
        <w:spacing w:after="60"/>
      </w:pPr>
      <w:r>
        <w:rPr>
          <w:rFonts w:ascii="Calibri" w:cs="Calibri" w:eastAsia="Calibri" w:hAnsi="Calibri"/>
        </w:rPr>
        <w:t xml:space="preserve">Test de koppeling met Patricia vanaf de app-server (zie hoofdstuk 4) en met HubSpot.</w:t>
      </w:r>
    </w:p>
    <w:p>
      <w:pPr>
        <w:pStyle w:val="ListParagraph"/>
        <w:numPr>
          <w:ilvl w:val="0"/>
          <w:numId w:val="2"/>
        </w:numPr>
        <w:spacing w:after="60"/>
      </w:pPr>
      <w:r>
        <w:rPr>
          <w:rFonts w:ascii="Calibri" w:cs="Calibri" w:eastAsia="Calibri" w:hAnsi="Calibri"/>
        </w:rPr>
        <w:t xml:space="preserve">Laat de beheerder toegangsbeheer, logging en netwerkregels beoordelen.</w:t>
      </w:r>
    </w:p>
    <w:p>
      <w:pPr>
        <w:spacing w:after="140"/>
      </w:pPr>
      <w:r>
        <w:rPr>
          <w:rFonts w:ascii="Calibri" w:cs="Calibri" w:eastAsia="Calibri" w:hAnsi="Calibri"/>
        </w:rPr>
        <w:t xml:space="preserve">Uitkomst: een werkende TEST-omgeving, een beproefde pijplijn en een lijst met bevindingen voor de beheerder.</w:t>
      </w:r>
    </w:p>
    <w:p>
      <w:pPr>
        <w:pStyle w:val="Heading3"/>
      </w:pPr>
      <w:r>
        <w:rPr>
          <w:rFonts w:ascii="Calibri" w:cs="Calibri" w:eastAsia="Calibri" w:hAnsi="Calibri"/>
        </w:rPr>
        <w:t xml:space="preserve">Fase 3. BETA op Azure met een kopie van productiedata, 1 tot 2 weken</w:t>
      </w:r>
    </w:p>
    <w:p>
      <w:pPr>
        <w:spacing w:after="140"/>
      </w:pPr>
      <w:r>
        <w:rPr>
          <w:rFonts w:ascii="Calibri" w:cs="Calibri" w:eastAsia="Calibri" w:hAnsi="Calibri"/>
        </w:rPr>
        <w:t xml:space="preserve">Doel: de generale repetitie, met echte data en echte gebruikers uit een kleine groep.</w:t>
      </w:r>
    </w:p>
    <w:p>
      <w:pPr>
        <w:pStyle w:val="ListParagraph"/>
        <w:numPr>
          <w:ilvl w:val="0"/>
          <w:numId w:val="2"/>
        </w:numPr>
        <w:spacing w:after="60"/>
      </w:pPr>
      <w:r>
        <w:rPr>
          <w:rFonts w:ascii="Calibri" w:cs="Calibri" w:eastAsia="Calibri" w:hAnsi="Calibri"/>
        </w:rPr>
        <w:t xml:space="preserve">Neem een volledige kopie van LIVE: databasedump, auth-schema (gebruikers en wachtwoord-hashes) en de Storage-bestanden (stappen in hoofdstuk 6). Doe dit alleen in een omgeving met dezelfde beveiliging als LIVE, want de kopie bevat klantgegevens. Anonimiseren is niet nodig als de omgeving even streng is ingericht; wel nodig als de testers extern zijn of de omgeving losser beveiligd is.</w:t>
      </w:r>
    </w:p>
    <w:p>
      <w:pPr>
        <w:pStyle w:val="ListParagraph"/>
        <w:numPr>
          <w:ilvl w:val="0"/>
          <w:numId w:val="2"/>
        </w:numPr>
        <w:spacing w:after="60"/>
      </w:pPr>
      <w:r>
        <w:rPr>
          <w:rFonts w:ascii="Calibri" w:cs="Calibri" w:eastAsia="Calibri" w:hAnsi="Calibri"/>
        </w:rPr>
        <w:t xml:space="preserve">Zet de BETA-omgeving op Azure (de branch </w:t>
      </w:r>
      <w:r>
        <w:rPr>
          <w:rFonts w:ascii="Consolas" w:cs="Consolas" w:eastAsia="Consolas" w:hAnsi="Consolas"/>
          <w:sz w:val="19"/>
          <w:szCs w:val="19"/>
        </w:rPr>
        <w:t xml:space="preserve">beta</w:t>
      </w:r>
      <w:r>
        <w:rPr>
          <w:rFonts w:ascii="Calibri" w:cs="Calibri" w:eastAsia="Calibri" w:hAnsi="Calibri"/>
        </w:rPr>
        <w:t xml:space="preserve"> gaat voortaan naar Azure), met een kopie van de productiedata.</w:t>
      </w:r>
    </w:p>
    <w:p>
      <w:pPr>
        <w:pStyle w:val="ListParagraph"/>
        <w:numPr>
          <w:ilvl w:val="0"/>
          <w:numId w:val="2"/>
        </w:numPr>
        <w:spacing w:after="60"/>
      </w:pPr>
      <w:r>
        <w:rPr>
          <w:rFonts w:ascii="Calibri" w:cs="Calibri" w:eastAsia="Calibri" w:hAnsi="Calibri"/>
        </w:rPr>
        <w:t xml:space="preserve">Laat een paar gebruikers ten minste een week normaal werken en vergelijk: kloppen de totalen op het dashboard, de specificaties, de auditlog en de rechten per rol met wat in LIVE staat?</w:t>
      </w:r>
    </w:p>
    <w:p>
      <w:pPr>
        <w:pStyle w:val="ListParagraph"/>
        <w:numPr>
          <w:ilvl w:val="0"/>
          <w:numId w:val="2"/>
        </w:numPr>
        <w:spacing w:after="60"/>
      </w:pPr>
      <w:r>
        <w:rPr>
          <w:rFonts w:ascii="Calibri" w:cs="Calibri" w:eastAsia="Calibri" w:hAnsi="Calibri"/>
        </w:rPr>
        <w:t xml:space="preserve">Doe de overstap-procedure uit hoofdstuk 6 één keer volledig als repetitie en meet de tijd per stap. Die tijden bepalen de lengte van het onderhoudsvenster.</w:t>
      </w:r>
    </w:p>
    <w:p>
      <w:pPr>
        <w:pStyle w:val="ListParagraph"/>
        <w:numPr>
          <w:ilvl w:val="0"/>
          <w:numId w:val="2"/>
        </w:numPr>
        <w:spacing w:after="60"/>
      </w:pPr>
      <w:r>
        <w:rPr>
          <w:rFonts w:ascii="Calibri" w:cs="Calibri" w:eastAsia="Calibri" w:hAnsi="Calibri"/>
        </w:rPr>
        <w:t xml:space="preserve">Test het terugdraaien: kunnen we terug naar Vercel en Supabase, en hoe lang kost dat?</w:t>
      </w:r>
    </w:p>
    <w:p>
      <w:pPr>
        <w:spacing w:after="140"/>
      </w:pPr>
      <w:r>
        <w:rPr>
          <w:rFonts w:ascii="Calibri" w:cs="Calibri" w:eastAsia="Calibri" w:hAnsi="Calibri"/>
        </w:rPr>
        <w:t xml:space="preserve">Uitkomst: een gemeten draaiboek, een go/no-go-beslissing en bevestiging dat dashboards en rechten overeenkomen.</w:t>
      </w:r>
    </w:p>
    <w:p>
      <w:pPr>
        <w:pStyle w:val="Heading3"/>
      </w:pPr>
      <w:r>
        <w:rPr>
          <w:rFonts w:ascii="Calibri" w:cs="Calibri" w:eastAsia="Calibri" w:hAnsi="Calibri"/>
        </w:rPr>
        <w:t xml:space="preserve">Fase 4. Overstap LIVE, 1 avond</w:t>
      </w:r>
    </w:p>
    <w:p>
      <w:pPr>
        <w:spacing w:after="140"/>
      </w:pPr>
      <w:r>
        <w:rPr>
          <w:rFonts w:ascii="Calibri" w:cs="Calibri" w:eastAsia="Calibri" w:hAnsi="Calibri"/>
        </w:rPr>
        <w:t xml:space="preserve">Zie hoofdstuk 6 voor het draaiboek.</w:t>
      </w:r>
    </w:p>
    <w:p>
      <w:pPr>
        <w:pStyle w:val="Heading3"/>
      </w:pPr>
      <w:r>
        <w:rPr>
          <w:rFonts w:ascii="Calibri" w:cs="Calibri" w:eastAsia="Calibri" w:hAnsi="Calibri"/>
        </w:rPr>
        <w:t xml:space="preserve">Fase 5. Nazorg en opruimen, 2 tot 4 weken</w:t>
      </w:r>
    </w:p>
    <w:p>
      <w:pPr>
        <w:pStyle w:val="ListParagraph"/>
        <w:numPr>
          <w:ilvl w:val="0"/>
          <w:numId w:val="2"/>
        </w:numPr>
        <w:spacing w:after="60"/>
      </w:pPr>
      <w:r>
        <w:rPr>
          <w:rFonts w:ascii="Calibri" w:cs="Calibri" w:eastAsia="Calibri" w:hAnsi="Calibri"/>
        </w:rPr>
        <w:t xml:space="preserve">Intensief meekijken in logs en bij de gebruikers in de eerste week.</w:t>
      </w:r>
    </w:p>
    <w:p>
      <w:pPr>
        <w:pStyle w:val="ListParagraph"/>
        <w:numPr>
          <w:ilvl w:val="0"/>
          <w:numId w:val="2"/>
        </w:numPr>
        <w:spacing w:after="60"/>
      </w:pPr>
      <w:r>
        <w:rPr>
          <w:rFonts w:ascii="Calibri" w:cs="Calibri" w:eastAsia="Calibri" w:hAnsi="Calibri"/>
        </w:rPr>
        <w:t xml:space="preserve">Vercel en Supabase LIVE ongemoeid laten voor een afgesproken periode, bijvoorbeeld 2 tot 4 weken, de Supabase-database alleen-lezen zetten.</w:t>
      </w:r>
    </w:p>
    <w:p>
      <w:pPr>
        <w:pStyle w:val="ListParagraph"/>
        <w:numPr>
          <w:ilvl w:val="0"/>
          <w:numId w:val="2"/>
        </w:numPr>
        <w:spacing w:after="60"/>
      </w:pPr>
      <w:r>
        <w:rPr>
          <w:rFonts w:ascii="Calibri" w:cs="Calibri" w:eastAsia="Calibri" w:hAnsi="Calibri"/>
        </w:rPr>
        <w:t xml:space="preserve">Daarna Vercel en Supabase afbouwen: definitieve dump bewaren op een veilige plek, projecten pauzeren, dan verwijderen, en de abonnementen beëindigen.</w:t>
      </w:r>
    </w:p>
    <w:p>
      <w:pPr>
        <w:pStyle w:val="ListParagraph"/>
        <w:numPr>
          <w:ilvl w:val="0"/>
          <w:numId w:val="2"/>
        </w:numPr>
        <w:spacing w:after="60"/>
      </w:pPr>
      <w:r>
        <w:rPr>
          <w:rFonts w:ascii="Calibri" w:cs="Calibri" w:eastAsia="Calibri" w:hAnsi="Calibri"/>
        </w:rPr>
        <w:t xml:space="preserve">Bijwerken van </w:t>
      </w:r>
      <w:r>
        <w:rPr>
          <w:rFonts w:ascii="Consolas" w:cs="Consolas" w:eastAsia="Consolas" w:hAnsi="Consolas"/>
          <w:sz w:val="19"/>
          <w:szCs w:val="19"/>
        </w:rPr>
        <w:t xml:space="preserve">documentation.md</w:t>
      </w:r>
      <w:r>
        <w:rPr>
          <w:rFonts w:ascii="Calibri" w:cs="Calibri" w:eastAsia="Calibri" w:hAnsi="Calibri"/>
        </w:rPr>
        <w:t xml:space="preserve"> en het werkproces ("push naar beta" wordt een Azure-uitrol).</w:t>
      </w:r>
    </w:p>
    <w:p>
      <w:pPr>
        <w:pStyle w:val="ListParagraph"/>
        <w:numPr>
          <w:ilvl w:val="0"/>
          <w:numId w:val="2"/>
        </w:numPr>
        <w:spacing w:after="60"/>
      </w:pPr>
      <w:r>
        <w:rPr>
          <w:rFonts w:ascii="Calibri" w:cs="Calibri" w:eastAsia="Calibri" w:hAnsi="Calibri"/>
        </w:rPr>
        <w:t xml:space="preserve">Daarna pas Entra ID (hoofdstuk 7).</w:t>
      </w:r>
    </w:p>
    <w:p>
      <w:pPr>
        <w:pStyle w:val="Heading2"/>
      </w:pPr>
      <w:r>
        <w:rPr>
          <w:rFonts w:ascii="Calibri" w:cs="Calibri" w:eastAsia="Calibri" w:hAnsi="Calibri"/>
        </w:rPr>
        <w:t xml:space="preserve">4. Patricia in de nieuwe situatie</w:t>
      </w:r>
    </w:p>
    <w:p>
      <w:pPr>
        <w:spacing w:after="140"/>
      </w:pPr>
      <w:r>
        <w:rPr>
          <w:rFonts w:ascii="Calibri" w:cs="Calibri" w:eastAsia="Calibri" w:hAnsi="Calibri"/>
        </w:rPr>
        <w:t xml:space="preserve">Dit is de reden voor de verhuizing, dus apart benoemd.</w:t>
      </w:r>
    </w:p>
    <w:p>
      <w:pPr>
        <w:pStyle w:val="ListParagraph"/>
        <w:numPr>
          <w:ilvl w:val="0"/>
          <w:numId w:val="2"/>
        </w:numPr>
        <w:spacing w:after="60"/>
      </w:pPr>
      <w:r>
        <w:rPr>
          <w:rFonts w:ascii="Calibri" w:cs="Calibri" w:eastAsia="Calibri" w:hAnsi="Calibri"/>
        </w:rPr>
        <w:t xml:space="preserve">Zodra de app-server en de Patricia-server in Azure staan, kan Chronos rechtstreeks via het interne netwerk met Patricia praten. De Vercel-beperking (alleen via de VPN of een extra API-laag) vervalt, evenals </w:t>
      </w:r>
      <w:r>
        <w:rPr>
          <w:rFonts w:ascii="Consolas" w:cs="Consolas" w:eastAsia="Consolas" w:hAnsi="Consolas"/>
          <w:sz w:val="19"/>
          <w:szCs w:val="19"/>
        </w:rPr>
        <w:t xml:space="preserve">patricia_api.md</w:t>
      </w:r>
      <w:r>
        <w:rPr>
          <w:rFonts w:ascii="Calibri" w:cs="Calibri" w:eastAsia="Calibri" w:hAnsi="Calibri"/>
        </w:rPr>
        <w:t xml:space="preserve">.</w:t>
      </w:r>
    </w:p>
    <w:p>
      <w:pPr>
        <w:pStyle w:val="ListParagraph"/>
        <w:numPr>
          <w:ilvl w:val="0"/>
          <w:numId w:val="2"/>
        </w:numPr>
        <w:spacing w:after="60"/>
      </w:pPr>
      <w:r>
        <w:rPr>
          <w:rFonts w:ascii="Calibri" w:cs="Calibri" w:eastAsia="Calibri" w:hAnsi="Calibri"/>
        </w:rPr>
        <w:t xml:space="preserve">De Patricia-code staat nu alleen op </w:t>
      </w:r>
      <w:r>
        <w:rPr>
          <w:rFonts w:ascii="Consolas" w:cs="Consolas" w:eastAsia="Consolas" w:hAnsi="Consolas"/>
          <w:sz w:val="19"/>
          <w:szCs w:val="19"/>
        </w:rPr>
        <w:t xml:space="preserve">feature/patricia-koppeling</w:t>
      </w:r>
      <w:r>
        <w:rPr>
          <w:rFonts w:ascii="Calibri" w:cs="Calibri" w:eastAsia="Calibri" w:hAnsi="Calibri"/>
        </w:rPr>
        <w:t xml:space="preserve">, niet op </w:t>
      </w:r>
      <w:r>
        <w:rPr>
          <w:rFonts w:ascii="Consolas" w:cs="Consolas" w:eastAsia="Consolas" w:hAnsi="Consolas"/>
          <w:sz w:val="19"/>
          <w:szCs w:val="19"/>
        </w:rPr>
        <w:t xml:space="preserve">beta</w:t>
      </w:r>
      <w:r>
        <w:rPr>
          <w:rFonts w:ascii="Calibri" w:cs="Calibri" w:eastAsia="Calibri" w:hAnsi="Calibri"/>
        </w:rPr>
        <w:t xml:space="preserve"> of </w:t>
      </w:r>
      <w:r>
        <w:rPr>
          <w:rFonts w:ascii="Consolas" w:cs="Consolas" w:eastAsia="Consolas" w:hAnsi="Consolas"/>
          <w:sz w:val="19"/>
          <w:szCs w:val="19"/>
        </w:rPr>
        <w:t xml:space="preserve">main</w:t>
      </w:r>
      <w:r>
        <w:rPr>
          <w:rFonts w:ascii="Calibri" w:cs="Calibri" w:eastAsia="Calibri" w:hAnsi="Calibri"/>
        </w:rPr>
        <w:t xml:space="preserve">. Op Vercel kan hij niet draaien, want Vercel bereikt Patricia niet. Let op: de code behandelt een ontbrekende of onbereikbare Patricia als validatiefout. Zonder Patricia-verbinding kun je dus geen dossier meer toevoegen. Samenvoegen met </w:t>
      </w:r>
      <w:r>
        <w:rPr>
          <w:rFonts w:ascii="Consolas" w:cs="Consolas" w:eastAsia="Consolas" w:hAnsi="Consolas"/>
          <w:sz w:val="19"/>
          <w:szCs w:val="19"/>
        </w:rPr>
        <w:t xml:space="preserve">beta</w:t>
      </w:r>
      <w:r>
        <w:rPr>
          <w:rFonts w:ascii="Calibri" w:cs="Calibri" w:eastAsia="Calibri" w:hAnsi="Calibri"/>
        </w:rPr>
        <w:t xml:space="preserve"> of </w:t>
      </w:r>
      <w:r>
        <w:rPr>
          <w:rFonts w:ascii="Consolas" w:cs="Consolas" w:eastAsia="Consolas" w:hAnsi="Consolas"/>
          <w:sz w:val="19"/>
          <w:szCs w:val="19"/>
        </w:rPr>
        <w:t xml:space="preserve">main</w:t>
      </w:r>
      <w:r>
        <w:rPr>
          <w:rFonts w:ascii="Calibri" w:cs="Calibri" w:eastAsia="Calibri" w:hAnsi="Calibri"/>
        </w:rPr>
        <w:t xml:space="preserve"> terwijl ze nog op Vercel draaien zou het invoeren van factuuritems breken. Aanbeveling: laat de Patricia-code op de featurebranch staan tot Azure draait. De TEST- en BETA-omgevingen in Azure (fase 2 en 3) draaien die branch of een samenvoeging ervan; LIVE krijgt de Patricia-code pas bij de overstap. Wil Erwin dit toch eerder samenvoegen, dan is een kleine aanpassing nodig: een instelling die Patricia uitzet, zodat dossiers dan zonder controle worden toegevoegd zoals nu.</w:t>
      </w:r>
    </w:p>
    <w:p>
      <w:pPr>
        <w:pStyle w:val="ListParagraph"/>
        <w:numPr>
          <w:ilvl w:val="0"/>
          <w:numId w:val="2"/>
        </w:numPr>
        <w:spacing w:after="60"/>
      </w:pPr>
      <w:r>
        <w:rPr>
          <w:rFonts w:ascii="Calibri" w:cs="Calibri" w:eastAsia="Calibri" w:hAnsi="Calibri"/>
        </w:rPr>
        <w:t xml:space="preserve">Nodig van de beheerder: netwerkroute en firewallregel (alleen app-subnet naar poort 1433), een alleen-lezen SQL-account en bevestiging welke Patricia-database de bron is (er zijn meerdere gelijknamige; </w:t>
      </w:r>
      <w:r>
        <w:rPr>
          <w:rFonts w:ascii="Consolas" w:cs="Consolas" w:eastAsia="Consolas" w:hAnsi="Consolas"/>
          <w:sz w:val="19"/>
          <w:szCs w:val="19"/>
        </w:rPr>
        <w:t xml:space="preserve">Patricia</w:t>
      </w:r>
      <w:r>
        <w:rPr>
          <w:rFonts w:ascii="Calibri" w:cs="Calibri" w:eastAsia="Calibri" w:hAnsi="Calibri"/>
        </w:rPr>
        <w:t xml:space="preserve"> is de live, </w:t>
      </w:r>
      <w:r>
        <w:rPr>
          <w:rFonts w:ascii="Consolas" w:cs="Consolas" w:eastAsia="Consolas" w:hAnsi="Consolas"/>
          <w:sz w:val="19"/>
          <w:szCs w:val="19"/>
        </w:rPr>
        <w:t xml:space="preserve">Patricia_Upgrade</w:t>
      </w:r>
      <w:r>
        <w:rPr>
          <w:rFonts w:ascii="Calibri" w:cs="Calibri" w:eastAsia="Calibri" w:hAnsi="Calibri"/>
        </w:rPr>
        <w:t xml:space="preserve"> een oudere kopie).</w:t>
      </w:r>
    </w:p>
    <w:p>
      <w:pPr>
        <w:pStyle w:val="ListParagraph"/>
        <w:numPr>
          <w:ilvl w:val="0"/>
          <w:numId w:val="2"/>
        </w:numPr>
        <w:spacing w:after="60"/>
      </w:pPr>
      <w:r>
        <w:rPr>
          <w:rFonts w:ascii="Calibri" w:cs="Calibri" w:eastAsia="Calibri" w:hAnsi="Calibri"/>
        </w:rPr>
        <w:t xml:space="preserve">Test in fase 2 en 3 met leesqueries op de echte Patricia, zoals nu lokaal.</w:t>
      </w:r>
    </w:p>
    <w:p>
      <w:pPr>
        <w:pStyle w:val="Heading2"/>
      </w:pPr>
      <w:r>
        <w:rPr>
          <w:rFonts w:ascii="Calibri" w:cs="Calibri" w:eastAsia="Calibri" w:hAnsi="Calibri"/>
        </w:rPr>
        <w:t xml:space="preserve">5. Risico's en wat we eraan doen</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3025"/>
        <w:gridCol w:w="2975"/>
        <w:gridCol w:w="3026"/>
      </w:tblGrid>
      <w:tr>
        <w:trPr>
          <w:cantSplit/>
          <w:tblHeader/>
        </w:trPr>
        <w:tc>
          <w:tcPr>
            <w:tcW w:type="dxa" w:w="3025"/>
            <w:tcBorders>
              <w:top w:val="single" w:color="C9CED8" w:sz="4"/>
              <w:left w:val="single" w:color="C9CED8" w:sz="4"/>
              <w:bottom w:val="single" w:color="C9CED8" w:sz="4"/>
              <w:right w:val="single" w:color="C9CED8" w:sz="4"/>
            </w:tcBorders>
            <w:shd w:fill="0F1B3D" w:color="auto" w:val="clear"/>
            <w:tcMar>
              <w:top w:type="dxa" w:w="60"/>
              <w:left w:type="dxa" w:w="100"/>
              <w:bottom w:type="dxa" w:w="60"/>
              <w:right w:type="dxa" w:w="100"/>
            </w:tcMar>
          </w:tcPr>
          <w:p>
            <w:pPr>
              <w:spacing w:after="0"/>
            </w:pPr>
            <w:r>
              <w:rPr>
                <w:rFonts w:ascii="Calibri" w:cs="Calibri" w:eastAsia="Calibri" w:hAnsi="Calibri"/>
                <w:b/>
                <w:bCs/>
                <w:color w:val="FFFFFF"/>
                <w:sz w:val="19"/>
                <w:szCs w:val="19"/>
              </w:rPr>
              <w:t xml:space="preserve">Risico</w:t>
            </w:r>
          </w:p>
        </w:tc>
        <w:tc>
          <w:tcPr>
            <w:tcW w:type="dxa" w:w="2975"/>
            <w:tcBorders>
              <w:top w:val="single" w:color="C9CED8" w:sz="4"/>
              <w:left w:val="single" w:color="C9CED8" w:sz="4"/>
              <w:bottom w:val="single" w:color="C9CED8" w:sz="4"/>
              <w:right w:val="single" w:color="C9CED8" w:sz="4"/>
            </w:tcBorders>
            <w:shd w:fill="0F1B3D" w:color="auto" w:val="clear"/>
            <w:tcMar>
              <w:top w:type="dxa" w:w="60"/>
              <w:left w:type="dxa" w:w="100"/>
              <w:bottom w:type="dxa" w:w="60"/>
              <w:right w:type="dxa" w:w="100"/>
            </w:tcMar>
          </w:tcPr>
          <w:p>
            <w:pPr>
              <w:spacing w:after="0"/>
            </w:pPr>
            <w:r>
              <w:rPr>
                <w:rFonts w:ascii="Calibri" w:cs="Calibri" w:eastAsia="Calibri" w:hAnsi="Calibri"/>
                <w:b/>
                <w:bCs/>
                <w:color w:val="FFFFFF"/>
                <w:sz w:val="19"/>
                <w:szCs w:val="19"/>
              </w:rPr>
              <w:t xml:space="preserve">Gevolg</w:t>
            </w:r>
          </w:p>
        </w:tc>
        <w:tc>
          <w:tcPr>
            <w:tcW w:type="dxa" w:w="3026"/>
            <w:tcBorders>
              <w:top w:val="single" w:color="C9CED8" w:sz="4"/>
              <w:left w:val="single" w:color="C9CED8" w:sz="4"/>
              <w:bottom w:val="single" w:color="C9CED8" w:sz="4"/>
              <w:right w:val="single" w:color="C9CED8" w:sz="4"/>
            </w:tcBorders>
            <w:shd w:fill="0F1B3D" w:color="auto" w:val="clear"/>
            <w:tcMar>
              <w:top w:type="dxa" w:w="60"/>
              <w:left w:type="dxa" w:w="100"/>
              <w:bottom w:type="dxa" w:w="60"/>
              <w:right w:type="dxa" w:w="100"/>
            </w:tcMar>
          </w:tcPr>
          <w:p>
            <w:pPr>
              <w:spacing w:after="0"/>
            </w:pPr>
            <w:r>
              <w:rPr>
                <w:rFonts w:ascii="Calibri" w:cs="Calibri" w:eastAsia="Calibri" w:hAnsi="Calibri"/>
                <w:b/>
                <w:bCs/>
                <w:color w:val="FFFFFF"/>
                <w:sz w:val="19"/>
                <w:szCs w:val="19"/>
              </w:rPr>
              <w:t xml:space="preserve">Maatregel</w:t>
            </w:r>
          </w:p>
        </w:tc>
      </w:tr>
      <w:tr>
        <w:trPr>
          <w:cantSplit/>
          <w:tblHeader w:val="off"/>
        </w:trPr>
        <w:tc>
          <w:tcPr>
            <w:tcW w:type="dxa" w:w="3025"/>
            <w:tcBorders>
              <w:top w:val="single" w:color="C9CED8" w:sz="4"/>
              <w:left w:val="single" w:color="C9CED8" w:sz="4"/>
              <w:bottom w:val="single" w:color="C9CED8" w:sz="4"/>
              <w:right w:val="single" w:color="C9CED8" w:sz="4"/>
            </w:tcBorders>
            <w:tcMar>
              <w:top w:type="dxa" w:w="60"/>
              <w:left w:type="dxa" w:w="100"/>
              <w:bottom w:type="dxa" w:w="60"/>
              <w:right w:type="dxa" w:w="100"/>
            </w:tcMar>
          </w:tcPr>
          <w:p>
            <w:pPr>
              <w:spacing w:after="0"/>
            </w:pPr>
            <w:r>
              <w:rPr>
                <w:rFonts w:ascii="Calibri" w:cs="Calibri" w:eastAsia="Calibri" w:hAnsi="Calibri"/>
                <w:sz w:val="19"/>
                <w:szCs w:val="19"/>
              </w:rPr>
              <w:t xml:space="preserve">Supabase-diensten werken niet op Azure Flexible Server</w:t>
            </w:r>
          </w:p>
        </w:tc>
        <w:tc>
          <w:tcPr>
            <w:tcW w:type="dxa" w:w="2975"/>
            <w:tcBorders>
              <w:top w:val="single" w:color="C9CED8" w:sz="4"/>
              <w:left w:val="single" w:color="C9CED8" w:sz="4"/>
              <w:bottom w:val="single" w:color="C9CED8" w:sz="4"/>
              <w:right w:val="single" w:color="C9CED8" w:sz="4"/>
            </w:tcBorders>
            <w:tcMar>
              <w:top w:type="dxa" w:w="60"/>
              <w:left w:type="dxa" w:w="100"/>
              <w:bottom w:type="dxa" w:w="60"/>
              <w:right w:type="dxa" w:w="100"/>
            </w:tcMar>
          </w:tcPr>
          <w:p>
            <w:pPr>
              <w:spacing w:after="0"/>
            </w:pPr>
            <w:r>
              <w:rPr>
                <w:rFonts w:ascii="Calibri" w:cs="Calibri" w:eastAsia="Calibri" w:hAnsi="Calibri"/>
                <w:sz w:val="19"/>
                <w:szCs w:val="19"/>
              </w:rPr>
              <w:t xml:space="preserve">Route A vertraagt</w:t>
            </w:r>
          </w:p>
        </w:tc>
        <w:tc>
          <w:tcPr>
            <w:tcW w:type="dxa" w:w="3026"/>
            <w:tcBorders>
              <w:top w:val="single" w:color="C9CED8" w:sz="4"/>
              <w:left w:val="single" w:color="C9CED8" w:sz="4"/>
              <w:bottom w:val="single" w:color="C9CED8" w:sz="4"/>
              <w:right w:val="single" w:color="C9CED8" w:sz="4"/>
            </w:tcBorders>
            <w:tcMar>
              <w:top w:type="dxa" w:w="60"/>
              <w:left w:type="dxa" w:w="100"/>
              <w:bottom w:type="dxa" w:w="60"/>
              <w:right w:type="dxa" w:w="100"/>
            </w:tcMar>
          </w:tcPr>
          <w:p>
            <w:pPr>
              <w:spacing w:after="0"/>
            </w:pPr>
            <w:r>
              <w:rPr>
                <w:rFonts w:ascii="Calibri" w:cs="Calibri" w:eastAsia="Calibri" w:hAnsi="Calibri"/>
                <w:sz w:val="19"/>
                <w:szCs w:val="19"/>
              </w:rPr>
              <w:t xml:space="preserve">Proef in fase 1; terugval Postgres in een container</w:t>
            </w:r>
          </w:p>
        </w:tc>
      </w:tr>
      <w:tr>
        <w:trPr>
          <w:cantSplit/>
          <w:tblHeader w:val="off"/>
        </w:trPr>
        <w:tc>
          <w:tcPr>
            <w:tcW w:type="dxa" w:w="3025"/>
            <w:tcBorders>
              <w:top w:val="single" w:color="C9CED8" w:sz="4"/>
              <w:left w:val="single" w:color="C9CED8" w:sz="4"/>
              <w:bottom w:val="single" w:color="C9CED8" w:sz="4"/>
              <w:right w:val="single" w:color="C9CED8" w:sz="4"/>
            </w:tcBorders>
            <w:tcMar>
              <w:top w:type="dxa" w:w="60"/>
              <w:left w:type="dxa" w:w="100"/>
              <w:bottom w:type="dxa" w:w="60"/>
              <w:right w:type="dxa" w:w="100"/>
            </w:tcMar>
          </w:tcPr>
          <w:p>
            <w:pPr>
              <w:spacing w:after="0"/>
            </w:pPr>
            <w:r>
              <w:rPr>
                <w:rFonts w:ascii="Calibri" w:cs="Calibri" w:eastAsia="Calibri" w:hAnsi="Calibri"/>
                <w:sz w:val="19"/>
                <w:szCs w:val="19"/>
              </w:rPr>
              <w:t xml:space="preserve">RLS-rechten gedragen zich anders na migratie</w:t>
            </w:r>
          </w:p>
        </w:tc>
        <w:tc>
          <w:tcPr>
            <w:tcW w:type="dxa" w:w="2975"/>
            <w:tcBorders>
              <w:top w:val="single" w:color="C9CED8" w:sz="4"/>
              <w:left w:val="single" w:color="C9CED8" w:sz="4"/>
              <w:bottom w:val="single" w:color="C9CED8" w:sz="4"/>
              <w:right w:val="single" w:color="C9CED8" w:sz="4"/>
            </w:tcBorders>
            <w:tcMar>
              <w:top w:type="dxa" w:w="60"/>
              <w:left w:type="dxa" w:w="100"/>
              <w:bottom w:type="dxa" w:w="60"/>
              <w:right w:type="dxa" w:w="100"/>
            </w:tcMar>
          </w:tcPr>
          <w:p>
            <w:pPr>
              <w:spacing w:after="0"/>
            </w:pPr>
            <w:r>
              <w:rPr>
                <w:rFonts w:ascii="Calibri" w:cs="Calibri" w:eastAsia="Calibri" w:hAnsi="Calibri"/>
                <w:sz w:val="19"/>
                <w:szCs w:val="19"/>
              </w:rPr>
              <w:t xml:space="preserve">Gebruikers zien te veel of te weinig</w:t>
            </w:r>
          </w:p>
        </w:tc>
        <w:tc>
          <w:tcPr>
            <w:tcW w:type="dxa" w:w="3026"/>
            <w:tcBorders>
              <w:top w:val="single" w:color="C9CED8" w:sz="4"/>
              <w:left w:val="single" w:color="C9CED8" w:sz="4"/>
              <w:bottom w:val="single" w:color="C9CED8" w:sz="4"/>
              <w:right w:val="single" w:color="C9CED8" w:sz="4"/>
            </w:tcBorders>
            <w:tcMar>
              <w:top w:type="dxa" w:w="60"/>
              <w:left w:type="dxa" w:w="100"/>
              <w:bottom w:type="dxa" w:w="60"/>
              <w:right w:type="dxa" w:w="100"/>
            </w:tcMar>
          </w:tcPr>
          <w:p>
            <w:pPr>
              <w:spacing w:after="0"/>
            </w:pPr>
            <w:r>
              <w:rPr>
                <w:rFonts w:ascii="Calibri" w:cs="Calibri" w:eastAsia="Calibri" w:hAnsi="Calibri"/>
                <w:sz w:val="19"/>
                <w:szCs w:val="19"/>
              </w:rPr>
              <w:t xml:space="preserve">Vergelijkingstest per rol in fase 3 (zelfde acties in oude en nieuwe omgeving)</w:t>
            </w:r>
          </w:p>
        </w:tc>
      </w:tr>
      <w:tr>
        <w:trPr>
          <w:cantSplit/>
          <w:tblHeader w:val="off"/>
        </w:trPr>
        <w:tc>
          <w:tcPr>
            <w:tcW w:type="dxa" w:w="3025"/>
            <w:tcBorders>
              <w:top w:val="single" w:color="C9CED8" w:sz="4"/>
              <w:left w:val="single" w:color="C9CED8" w:sz="4"/>
              <w:bottom w:val="single" w:color="C9CED8" w:sz="4"/>
              <w:right w:val="single" w:color="C9CED8" w:sz="4"/>
            </w:tcBorders>
            <w:tcMar>
              <w:top w:type="dxa" w:w="60"/>
              <w:left w:type="dxa" w:w="100"/>
              <w:bottom w:type="dxa" w:w="60"/>
              <w:right w:type="dxa" w:w="100"/>
            </w:tcMar>
          </w:tcPr>
          <w:p>
            <w:pPr>
              <w:spacing w:after="0"/>
            </w:pPr>
            <w:r>
              <w:rPr>
                <w:rFonts w:ascii="Calibri" w:cs="Calibri" w:eastAsia="Calibri" w:hAnsi="Calibri"/>
                <w:sz w:val="19"/>
                <w:szCs w:val="19"/>
              </w:rPr>
              <w:t xml:space="preserve">Gebruikers-ID's of wachtwoorden gaan verloren</w:t>
            </w:r>
          </w:p>
        </w:tc>
        <w:tc>
          <w:tcPr>
            <w:tcW w:type="dxa" w:w="2975"/>
            <w:tcBorders>
              <w:top w:val="single" w:color="C9CED8" w:sz="4"/>
              <w:left w:val="single" w:color="C9CED8" w:sz="4"/>
              <w:bottom w:val="single" w:color="C9CED8" w:sz="4"/>
              <w:right w:val="single" w:color="C9CED8" w:sz="4"/>
            </w:tcBorders>
            <w:tcMar>
              <w:top w:type="dxa" w:w="60"/>
              <w:left w:type="dxa" w:w="100"/>
              <w:bottom w:type="dxa" w:w="60"/>
              <w:right w:type="dxa" w:w="100"/>
            </w:tcMar>
          </w:tcPr>
          <w:p>
            <w:pPr>
              <w:spacing w:after="0"/>
            </w:pPr>
            <w:r>
              <w:rPr>
                <w:rFonts w:ascii="Calibri" w:cs="Calibri" w:eastAsia="Calibri" w:hAnsi="Calibri"/>
                <w:sz w:val="19"/>
                <w:szCs w:val="19"/>
              </w:rPr>
              <w:t xml:space="preserve">Iedereen moet opnieuw worden aangemaakt, koppelingen breken</w:t>
            </w:r>
          </w:p>
        </w:tc>
        <w:tc>
          <w:tcPr>
            <w:tcW w:type="dxa" w:w="3026"/>
            <w:tcBorders>
              <w:top w:val="single" w:color="C9CED8" w:sz="4"/>
              <w:left w:val="single" w:color="C9CED8" w:sz="4"/>
              <w:bottom w:val="single" w:color="C9CED8" w:sz="4"/>
              <w:right w:val="single" w:color="C9CED8" w:sz="4"/>
            </w:tcBorders>
            <w:tcMar>
              <w:top w:type="dxa" w:w="60"/>
              <w:left w:type="dxa" w:w="100"/>
              <w:bottom w:type="dxa" w:w="60"/>
              <w:right w:type="dxa" w:w="100"/>
            </w:tcMar>
          </w:tcPr>
          <w:p>
            <w:pPr>
              <w:spacing w:after="0"/>
            </w:pPr>
            <w:r>
              <w:rPr>
                <w:rFonts w:ascii="Consolas" w:cs="Consolas" w:eastAsia="Consolas" w:hAnsi="Consolas"/>
                <w:sz w:val="19"/>
                <w:szCs w:val="19"/>
              </w:rPr>
              <w:t xml:space="preserve">auth</w:t>
            </w:r>
            <w:r>
              <w:rPr>
                <w:rFonts w:ascii="Calibri" w:cs="Calibri" w:eastAsia="Calibri" w:hAnsi="Calibri"/>
                <w:sz w:val="19"/>
                <w:szCs w:val="19"/>
              </w:rPr>
              <w:t xml:space="preserve">-schema meeverhuizen in plaats van gebruikers opnieuw aanmaken; steekproefsgewijs inloggen testen</w:t>
            </w:r>
          </w:p>
        </w:tc>
      </w:tr>
      <w:tr>
        <w:trPr>
          <w:cantSplit/>
          <w:tblHeader w:val="off"/>
        </w:trPr>
        <w:tc>
          <w:tcPr>
            <w:tcW w:type="dxa" w:w="3025"/>
            <w:tcBorders>
              <w:top w:val="single" w:color="C9CED8" w:sz="4"/>
              <w:left w:val="single" w:color="C9CED8" w:sz="4"/>
              <w:bottom w:val="single" w:color="C9CED8" w:sz="4"/>
              <w:right w:val="single" w:color="C9CED8" w:sz="4"/>
            </w:tcBorders>
            <w:tcMar>
              <w:top w:type="dxa" w:w="60"/>
              <w:left w:type="dxa" w:w="100"/>
              <w:bottom w:type="dxa" w:w="60"/>
              <w:right w:type="dxa" w:w="100"/>
            </w:tcMar>
          </w:tcPr>
          <w:p>
            <w:pPr>
              <w:spacing w:after="0"/>
            </w:pPr>
            <w:r>
              <w:rPr>
                <w:rFonts w:ascii="Calibri" w:cs="Calibri" w:eastAsia="Calibri" w:hAnsi="Calibri"/>
                <w:sz w:val="19"/>
                <w:szCs w:val="19"/>
              </w:rPr>
              <w:t xml:space="preserve">E-mail van Auth komt niet aan (SPF/DKIM, relay)</w:t>
            </w:r>
          </w:p>
        </w:tc>
        <w:tc>
          <w:tcPr>
            <w:tcW w:type="dxa" w:w="2975"/>
            <w:tcBorders>
              <w:top w:val="single" w:color="C9CED8" w:sz="4"/>
              <w:left w:val="single" w:color="C9CED8" w:sz="4"/>
              <w:bottom w:val="single" w:color="C9CED8" w:sz="4"/>
              <w:right w:val="single" w:color="C9CED8" w:sz="4"/>
            </w:tcBorders>
            <w:tcMar>
              <w:top w:type="dxa" w:w="60"/>
              <w:left w:type="dxa" w:w="100"/>
              <w:bottom w:type="dxa" w:w="60"/>
              <w:right w:type="dxa" w:w="100"/>
            </w:tcMar>
          </w:tcPr>
          <w:p>
            <w:pPr>
              <w:spacing w:after="0"/>
            </w:pPr>
            <w:r>
              <w:rPr>
                <w:rFonts w:ascii="Calibri" w:cs="Calibri" w:eastAsia="Calibri" w:hAnsi="Calibri"/>
                <w:sz w:val="19"/>
                <w:szCs w:val="19"/>
              </w:rPr>
              <w:t xml:space="preserve">Magic link en wachtwoordherstel werken niet</w:t>
            </w:r>
          </w:p>
        </w:tc>
        <w:tc>
          <w:tcPr>
            <w:tcW w:type="dxa" w:w="3026"/>
            <w:tcBorders>
              <w:top w:val="single" w:color="C9CED8" w:sz="4"/>
              <w:left w:val="single" w:color="C9CED8" w:sz="4"/>
              <w:bottom w:val="single" w:color="C9CED8" w:sz="4"/>
              <w:right w:val="single" w:color="C9CED8" w:sz="4"/>
            </w:tcBorders>
            <w:tcMar>
              <w:top w:type="dxa" w:w="60"/>
              <w:left w:type="dxa" w:w="100"/>
              <w:bottom w:type="dxa" w:w="60"/>
              <w:right w:type="dxa" w:w="100"/>
            </w:tcMar>
          </w:tcPr>
          <w:p>
            <w:pPr>
              <w:spacing w:after="0"/>
            </w:pPr>
            <w:r>
              <w:rPr>
                <w:rFonts w:ascii="Calibri" w:cs="Calibri" w:eastAsia="Calibri" w:hAnsi="Calibri"/>
                <w:sz w:val="19"/>
                <w:szCs w:val="19"/>
              </w:rPr>
              <w:t xml:space="preserve">SMTP-relay en afzenderdomein vroeg regelen en testen in fase 2</w:t>
            </w:r>
          </w:p>
        </w:tc>
      </w:tr>
      <w:tr>
        <w:trPr>
          <w:cantSplit/>
          <w:tblHeader w:val="off"/>
        </w:trPr>
        <w:tc>
          <w:tcPr>
            <w:tcW w:type="dxa" w:w="3025"/>
            <w:tcBorders>
              <w:top w:val="single" w:color="C9CED8" w:sz="4"/>
              <w:left w:val="single" w:color="C9CED8" w:sz="4"/>
              <w:bottom w:val="single" w:color="C9CED8" w:sz="4"/>
              <w:right w:val="single" w:color="C9CED8" w:sz="4"/>
            </w:tcBorders>
            <w:tcMar>
              <w:top w:type="dxa" w:w="60"/>
              <w:left w:type="dxa" w:w="100"/>
              <w:bottom w:type="dxa" w:w="60"/>
              <w:right w:type="dxa" w:w="100"/>
            </w:tcMar>
          </w:tcPr>
          <w:p>
            <w:pPr>
              <w:spacing w:after="0"/>
            </w:pPr>
            <w:r>
              <w:rPr>
                <w:rFonts w:ascii="Calibri" w:cs="Calibri" w:eastAsia="Calibri" w:hAnsi="Calibri"/>
                <w:sz w:val="19"/>
                <w:szCs w:val="19"/>
              </w:rPr>
              <w:t xml:space="preserve">Sessies vervallen bij de overstap</w:t>
            </w:r>
          </w:p>
        </w:tc>
        <w:tc>
          <w:tcPr>
            <w:tcW w:type="dxa" w:w="2975"/>
            <w:tcBorders>
              <w:top w:val="single" w:color="C9CED8" w:sz="4"/>
              <w:left w:val="single" w:color="C9CED8" w:sz="4"/>
              <w:bottom w:val="single" w:color="C9CED8" w:sz="4"/>
              <w:right w:val="single" w:color="C9CED8" w:sz="4"/>
            </w:tcBorders>
            <w:tcMar>
              <w:top w:type="dxa" w:w="60"/>
              <w:left w:type="dxa" w:w="100"/>
              <w:bottom w:type="dxa" w:w="60"/>
              <w:right w:type="dxa" w:w="100"/>
            </w:tcMar>
          </w:tcPr>
          <w:p>
            <w:pPr>
              <w:spacing w:after="0"/>
            </w:pPr>
            <w:r>
              <w:rPr>
                <w:rFonts w:ascii="Calibri" w:cs="Calibri" w:eastAsia="Calibri" w:hAnsi="Calibri"/>
                <w:sz w:val="19"/>
                <w:szCs w:val="19"/>
              </w:rPr>
              <w:t xml:space="preserve">Gebruikers zijn uitgelogd</w:t>
            </w:r>
          </w:p>
        </w:tc>
        <w:tc>
          <w:tcPr>
            <w:tcW w:type="dxa" w:w="3026"/>
            <w:tcBorders>
              <w:top w:val="single" w:color="C9CED8" w:sz="4"/>
              <w:left w:val="single" w:color="C9CED8" w:sz="4"/>
              <w:bottom w:val="single" w:color="C9CED8" w:sz="4"/>
              <w:right w:val="single" w:color="C9CED8" w:sz="4"/>
            </w:tcBorders>
            <w:tcMar>
              <w:top w:type="dxa" w:w="60"/>
              <w:left w:type="dxa" w:w="100"/>
              <w:bottom w:type="dxa" w:w="60"/>
              <w:right w:type="dxa" w:w="100"/>
            </w:tcMar>
          </w:tcPr>
          <w:p>
            <w:pPr>
              <w:spacing w:after="0"/>
            </w:pPr>
            <w:r>
              <w:rPr>
                <w:rFonts w:ascii="Calibri" w:cs="Calibri" w:eastAsia="Calibri" w:hAnsi="Calibri"/>
                <w:sz w:val="19"/>
                <w:szCs w:val="19"/>
              </w:rPr>
              <w:t xml:space="preserve">Eén keer aankondigen; geen dataverlies</w:t>
            </w:r>
          </w:p>
        </w:tc>
      </w:tr>
      <w:tr>
        <w:trPr>
          <w:cantSplit/>
          <w:tblHeader w:val="off"/>
        </w:trPr>
        <w:tc>
          <w:tcPr>
            <w:tcW w:type="dxa" w:w="3025"/>
            <w:tcBorders>
              <w:top w:val="single" w:color="C9CED8" w:sz="4"/>
              <w:left w:val="single" w:color="C9CED8" w:sz="4"/>
              <w:bottom w:val="single" w:color="C9CED8" w:sz="4"/>
              <w:right w:val="single" w:color="C9CED8" w:sz="4"/>
            </w:tcBorders>
            <w:tcMar>
              <w:top w:type="dxa" w:w="60"/>
              <w:left w:type="dxa" w:w="100"/>
              <w:bottom w:type="dxa" w:w="60"/>
              <w:right w:type="dxa" w:w="100"/>
            </w:tcMar>
          </w:tcPr>
          <w:p>
            <w:pPr>
              <w:spacing w:after="0"/>
            </w:pPr>
            <w:r>
              <w:rPr>
                <w:rFonts w:ascii="Consolas" w:cs="Consolas" w:eastAsia="Consolas" w:hAnsi="Consolas"/>
                <w:sz w:val="19"/>
                <w:szCs w:val="19"/>
              </w:rPr>
              <w:t xml:space="preserve">NEXT_PUBLIC_*</w:t>
            </w:r>
            <w:r>
              <w:rPr>
                <w:rFonts w:ascii="Calibri" w:cs="Calibri" w:eastAsia="Calibri" w:hAnsi="Calibri"/>
                <w:sz w:val="19"/>
                <w:szCs w:val="19"/>
              </w:rPr>
              <w:t xml:space="preserve">-waarden in de browserbundel verwijzen naar de oude omgeving</w:t>
            </w:r>
          </w:p>
        </w:tc>
        <w:tc>
          <w:tcPr>
            <w:tcW w:type="dxa" w:w="2975"/>
            <w:tcBorders>
              <w:top w:val="single" w:color="C9CED8" w:sz="4"/>
              <w:left w:val="single" w:color="C9CED8" w:sz="4"/>
              <w:bottom w:val="single" w:color="C9CED8" w:sz="4"/>
              <w:right w:val="single" w:color="C9CED8" w:sz="4"/>
            </w:tcBorders>
            <w:tcMar>
              <w:top w:type="dxa" w:w="60"/>
              <w:left w:type="dxa" w:w="100"/>
              <w:bottom w:type="dxa" w:w="60"/>
              <w:right w:type="dxa" w:w="100"/>
            </w:tcMar>
          </w:tcPr>
          <w:p>
            <w:pPr>
              <w:spacing w:after="0"/>
            </w:pPr>
            <w:r>
              <w:rPr>
                <w:rFonts w:ascii="Calibri" w:cs="Calibri" w:eastAsia="Calibri" w:hAnsi="Calibri"/>
                <w:sz w:val="19"/>
                <w:szCs w:val="19"/>
              </w:rPr>
              <w:t xml:space="preserve">App praat met de verkeerde backend</w:t>
            </w:r>
          </w:p>
        </w:tc>
        <w:tc>
          <w:tcPr>
            <w:tcW w:type="dxa" w:w="3026"/>
            <w:tcBorders>
              <w:top w:val="single" w:color="C9CED8" w:sz="4"/>
              <w:left w:val="single" w:color="C9CED8" w:sz="4"/>
              <w:bottom w:val="single" w:color="C9CED8" w:sz="4"/>
              <w:right w:val="single" w:color="C9CED8" w:sz="4"/>
            </w:tcBorders>
            <w:tcMar>
              <w:top w:type="dxa" w:w="60"/>
              <w:left w:type="dxa" w:w="100"/>
              <w:bottom w:type="dxa" w:w="60"/>
              <w:right w:type="dxa" w:w="100"/>
            </w:tcMar>
          </w:tcPr>
          <w:p>
            <w:pPr>
              <w:spacing w:after="0"/>
            </w:pPr>
            <w:r>
              <w:rPr>
                <w:rFonts w:ascii="Calibri" w:cs="Calibri" w:eastAsia="Calibri" w:hAnsi="Calibri"/>
                <w:sz w:val="19"/>
                <w:szCs w:val="19"/>
              </w:rPr>
              <w:t xml:space="preserve">Een omgevingsvariabele is een buildinput: per omgeving een eigen build</w:t>
            </w:r>
          </w:p>
        </w:tc>
      </w:tr>
      <w:tr>
        <w:trPr>
          <w:cantSplit/>
          <w:tblHeader w:val="off"/>
        </w:trPr>
        <w:tc>
          <w:tcPr>
            <w:tcW w:type="dxa" w:w="3025"/>
            <w:tcBorders>
              <w:top w:val="single" w:color="C9CED8" w:sz="4"/>
              <w:left w:val="single" w:color="C9CED8" w:sz="4"/>
              <w:bottom w:val="single" w:color="C9CED8" w:sz="4"/>
              <w:right w:val="single" w:color="C9CED8" w:sz="4"/>
            </w:tcBorders>
            <w:tcMar>
              <w:top w:type="dxa" w:w="60"/>
              <w:left w:type="dxa" w:w="100"/>
              <w:bottom w:type="dxa" w:w="60"/>
              <w:right w:type="dxa" w:w="100"/>
            </w:tcMar>
          </w:tcPr>
          <w:p>
            <w:pPr>
              <w:spacing w:after="0"/>
            </w:pPr>
            <w:r>
              <w:rPr>
                <w:rFonts w:ascii="Calibri" w:cs="Calibri" w:eastAsia="Calibri" w:hAnsi="Calibri"/>
                <w:sz w:val="19"/>
                <w:szCs w:val="19"/>
              </w:rPr>
              <w:t xml:space="preserve">DNS-wijziging duurt lang</w:t>
            </w:r>
          </w:p>
        </w:tc>
        <w:tc>
          <w:tcPr>
            <w:tcW w:type="dxa" w:w="2975"/>
            <w:tcBorders>
              <w:top w:val="single" w:color="C9CED8" w:sz="4"/>
              <w:left w:val="single" w:color="C9CED8" w:sz="4"/>
              <w:bottom w:val="single" w:color="C9CED8" w:sz="4"/>
              <w:right w:val="single" w:color="C9CED8" w:sz="4"/>
            </w:tcBorders>
            <w:tcMar>
              <w:top w:type="dxa" w:w="60"/>
              <w:left w:type="dxa" w:w="100"/>
              <w:bottom w:type="dxa" w:w="60"/>
              <w:right w:type="dxa" w:w="100"/>
            </w:tcMar>
          </w:tcPr>
          <w:p>
            <w:pPr>
              <w:spacing w:after="0"/>
            </w:pPr>
            <w:r>
              <w:rPr>
                <w:rFonts w:ascii="Calibri" w:cs="Calibri" w:eastAsia="Calibri" w:hAnsi="Calibri"/>
                <w:sz w:val="19"/>
                <w:szCs w:val="19"/>
              </w:rPr>
              <w:t xml:space="preserve">Lange overgang met twee omgevingen</w:t>
            </w:r>
          </w:p>
        </w:tc>
        <w:tc>
          <w:tcPr>
            <w:tcW w:type="dxa" w:w="3026"/>
            <w:tcBorders>
              <w:top w:val="single" w:color="C9CED8" w:sz="4"/>
              <w:left w:val="single" w:color="C9CED8" w:sz="4"/>
              <w:bottom w:val="single" w:color="C9CED8" w:sz="4"/>
              <w:right w:val="single" w:color="C9CED8" w:sz="4"/>
            </w:tcBorders>
            <w:tcMar>
              <w:top w:type="dxa" w:w="60"/>
              <w:left w:type="dxa" w:w="100"/>
              <w:bottom w:type="dxa" w:w="60"/>
              <w:right w:type="dxa" w:w="100"/>
            </w:tcMar>
          </w:tcPr>
          <w:p>
            <w:pPr>
              <w:spacing w:after="0"/>
            </w:pPr>
            <w:r>
              <w:rPr>
                <w:rFonts w:ascii="Calibri" w:cs="Calibri" w:eastAsia="Calibri" w:hAnsi="Calibri"/>
                <w:sz w:val="19"/>
                <w:szCs w:val="19"/>
              </w:rPr>
              <w:t xml:space="preserve">TTL vooraf verlagen; DNS-controle door de beheerder</w:t>
            </w:r>
          </w:p>
        </w:tc>
      </w:tr>
      <w:tr>
        <w:trPr>
          <w:cantSplit/>
          <w:tblHeader w:val="off"/>
        </w:trPr>
        <w:tc>
          <w:tcPr>
            <w:tcW w:type="dxa" w:w="3025"/>
            <w:tcBorders>
              <w:top w:val="single" w:color="C9CED8" w:sz="4"/>
              <w:left w:val="single" w:color="C9CED8" w:sz="4"/>
              <w:bottom w:val="single" w:color="C9CED8" w:sz="4"/>
              <w:right w:val="single" w:color="C9CED8" w:sz="4"/>
            </w:tcBorders>
            <w:tcMar>
              <w:top w:type="dxa" w:w="60"/>
              <w:left w:type="dxa" w:w="100"/>
              <w:bottom w:type="dxa" w:w="60"/>
              <w:right w:type="dxa" w:w="100"/>
            </w:tcMar>
          </w:tcPr>
          <w:p>
            <w:pPr>
              <w:spacing w:after="0"/>
            </w:pPr>
            <w:r>
              <w:rPr>
                <w:rFonts w:ascii="Calibri" w:cs="Calibri" w:eastAsia="Calibri" w:hAnsi="Calibri"/>
                <w:sz w:val="19"/>
                <w:szCs w:val="19"/>
              </w:rPr>
              <w:t xml:space="preserve">Databasemigraties lopen tijdens de build (zoals nu) en falen</w:t>
            </w:r>
          </w:p>
        </w:tc>
        <w:tc>
          <w:tcPr>
            <w:tcW w:type="dxa" w:w="2975"/>
            <w:tcBorders>
              <w:top w:val="single" w:color="C9CED8" w:sz="4"/>
              <w:left w:val="single" w:color="C9CED8" w:sz="4"/>
              <w:bottom w:val="single" w:color="C9CED8" w:sz="4"/>
              <w:right w:val="single" w:color="C9CED8" w:sz="4"/>
            </w:tcBorders>
            <w:tcMar>
              <w:top w:type="dxa" w:w="60"/>
              <w:left w:type="dxa" w:w="100"/>
              <w:bottom w:type="dxa" w:w="60"/>
              <w:right w:type="dxa" w:w="100"/>
            </w:tcMar>
          </w:tcPr>
          <w:p>
            <w:pPr>
              <w:spacing w:after="0"/>
            </w:pPr>
            <w:r>
              <w:rPr>
                <w:rFonts w:ascii="Calibri" w:cs="Calibri" w:eastAsia="Calibri" w:hAnsi="Calibri"/>
                <w:sz w:val="19"/>
                <w:szCs w:val="19"/>
              </w:rPr>
              <w:t xml:space="preserve">Deploy mislukt halverwege</w:t>
            </w:r>
          </w:p>
        </w:tc>
        <w:tc>
          <w:tcPr>
            <w:tcW w:type="dxa" w:w="3026"/>
            <w:tcBorders>
              <w:top w:val="single" w:color="C9CED8" w:sz="4"/>
              <w:left w:val="single" w:color="C9CED8" w:sz="4"/>
              <w:bottom w:val="single" w:color="C9CED8" w:sz="4"/>
              <w:right w:val="single" w:color="C9CED8" w:sz="4"/>
            </w:tcBorders>
            <w:tcMar>
              <w:top w:type="dxa" w:w="60"/>
              <w:left w:type="dxa" w:w="100"/>
              <w:bottom w:type="dxa" w:w="60"/>
              <w:right w:type="dxa" w:w="100"/>
            </w:tcMar>
          </w:tcPr>
          <w:p>
            <w:pPr>
              <w:spacing w:after="0"/>
            </w:pPr>
            <w:r>
              <w:rPr>
                <w:rFonts w:ascii="Calibri" w:cs="Calibri" w:eastAsia="Calibri" w:hAnsi="Calibri"/>
                <w:sz w:val="19"/>
                <w:szCs w:val="19"/>
              </w:rPr>
              <w:t xml:space="preserve">Migraties als aparte pijplijnstap met rollback-plan, niet verstopt in de build</w:t>
            </w:r>
          </w:p>
        </w:tc>
      </w:tr>
      <w:tr>
        <w:trPr>
          <w:cantSplit/>
          <w:tblHeader w:val="off"/>
        </w:trPr>
        <w:tc>
          <w:tcPr>
            <w:tcW w:type="dxa" w:w="3025"/>
            <w:tcBorders>
              <w:top w:val="single" w:color="C9CED8" w:sz="4"/>
              <w:left w:val="single" w:color="C9CED8" w:sz="4"/>
              <w:bottom w:val="single" w:color="C9CED8" w:sz="4"/>
              <w:right w:val="single" w:color="C9CED8" w:sz="4"/>
            </w:tcBorders>
            <w:tcMar>
              <w:top w:type="dxa" w:w="60"/>
              <w:left w:type="dxa" w:w="100"/>
              <w:bottom w:type="dxa" w:w="60"/>
              <w:right w:type="dxa" w:w="100"/>
            </w:tcMar>
          </w:tcPr>
          <w:p>
            <w:pPr>
              <w:spacing w:after="0"/>
            </w:pPr>
            <w:r>
              <w:rPr>
                <w:rFonts w:ascii="Calibri" w:cs="Calibri" w:eastAsia="Calibri" w:hAnsi="Calibri"/>
                <w:sz w:val="19"/>
                <w:szCs w:val="19"/>
              </w:rPr>
              <w:t xml:space="preserve">Verschil in tijdzone, collatie of Postgres-versie</w:t>
            </w:r>
          </w:p>
        </w:tc>
        <w:tc>
          <w:tcPr>
            <w:tcW w:type="dxa" w:w="2975"/>
            <w:tcBorders>
              <w:top w:val="single" w:color="C9CED8" w:sz="4"/>
              <w:left w:val="single" w:color="C9CED8" w:sz="4"/>
              <w:bottom w:val="single" w:color="C9CED8" w:sz="4"/>
              <w:right w:val="single" w:color="C9CED8" w:sz="4"/>
            </w:tcBorders>
            <w:tcMar>
              <w:top w:type="dxa" w:w="60"/>
              <w:left w:type="dxa" w:w="100"/>
              <w:bottom w:type="dxa" w:w="60"/>
              <w:right w:type="dxa" w:w="100"/>
            </w:tcMar>
          </w:tcPr>
          <w:p>
            <w:pPr>
              <w:spacing w:after="0"/>
            </w:pPr>
            <w:r>
              <w:rPr>
                <w:rFonts w:ascii="Calibri" w:cs="Calibri" w:eastAsia="Calibri" w:hAnsi="Calibri"/>
                <w:sz w:val="19"/>
                <w:szCs w:val="19"/>
              </w:rPr>
              <w:t xml:space="preserve">Sorteervolgorde, datums of functies wijken af</w:t>
            </w:r>
          </w:p>
        </w:tc>
        <w:tc>
          <w:tcPr>
            <w:tcW w:type="dxa" w:w="3026"/>
            <w:tcBorders>
              <w:top w:val="single" w:color="C9CED8" w:sz="4"/>
              <w:left w:val="single" w:color="C9CED8" w:sz="4"/>
              <w:bottom w:val="single" w:color="C9CED8" w:sz="4"/>
              <w:right w:val="single" w:color="C9CED8" w:sz="4"/>
            </w:tcBorders>
            <w:tcMar>
              <w:top w:type="dxa" w:w="60"/>
              <w:left w:type="dxa" w:w="100"/>
              <w:bottom w:type="dxa" w:w="60"/>
              <w:right w:type="dxa" w:w="100"/>
            </w:tcMar>
          </w:tcPr>
          <w:p>
            <w:pPr>
              <w:spacing w:after="0"/>
            </w:pPr>
            <w:r>
              <w:rPr>
                <w:rFonts w:ascii="Calibri" w:cs="Calibri" w:eastAsia="Calibri" w:hAnsi="Calibri"/>
                <w:sz w:val="19"/>
                <w:szCs w:val="19"/>
              </w:rPr>
              <w:t xml:space="preserve">Dezelfde hoofdversie van Postgres kiezen als Supabase nu draait (controleren in het dashboard) en in fase 3 vergelijken</w:t>
            </w:r>
          </w:p>
        </w:tc>
      </w:tr>
      <w:tr>
        <w:trPr>
          <w:cantSplit/>
          <w:tblHeader w:val="off"/>
        </w:trPr>
        <w:tc>
          <w:tcPr>
            <w:tcW w:type="dxa" w:w="3025"/>
            <w:tcBorders>
              <w:top w:val="single" w:color="C9CED8" w:sz="4"/>
              <w:left w:val="single" w:color="C9CED8" w:sz="4"/>
              <w:bottom w:val="single" w:color="C9CED8" w:sz="4"/>
              <w:right w:val="single" w:color="C9CED8" w:sz="4"/>
            </w:tcBorders>
            <w:tcMar>
              <w:top w:type="dxa" w:w="60"/>
              <w:left w:type="dxa" w:w="100"/>
              <w:bottom w:type="dxa" w:w="60"/>
              <w:right w:type="dxa" w:w="100"/>
            </w:tcMar>
          </w:tcPr>
          <w:p>
            <w:pPr>
              <w:spacing w:after="0"/>
            </w:pPr>
            <w:r>
              <w:rPr>
                <w:rFonts w:ascii="Calibri" w:cs="Calibri" w:eastAsia="Calibri" w:hAnsi="Calibri"/>
                <w:sz w:val="19"/>
                <w:szCs w:val="19"/>
              </w:rPr>
              <w:t xml:space="preserve">Geheimen komen tijdens het overzetten op onveilige plekken</w:t>
            </w:r>
          </w:p>
        </w:tc>
        <w:tc>
          <w:tcPr>
            <w:tcW w:type="dxa" w:w="2975"/>
            <w:tcBorders>
              <w:top w:val="single" w:color="C9CED8" w:sz="4"/>
              <w:left w:val="single" w:color="C9CED8" w:sz="4"/>
              <w:bottom w:val="single" w:color="C9CED8" w:sz="4"/>
              <w:right w:val="single" w:color="C9CED8" w:sz="4"/>
            </w:tcBorders>
            <w:tcMar>
              <w:top w:type="dxa" w:w="60"/>
              <w:left w:type="dxa" w:w="100"/>
              <w:bottom w:type="dxa" w:w="60"/>
              <w:right w:type="dxa" w:w="100"/>
            </w:tcMar>
          </w:tcPr>
          <w:p>
            <w:pPr>
              <w:spacing w:after="0"/>
            </w:pPr>
            <w:r>
              <w:rPr>
                <w:rFonts w:ascii="Calibri" w:cs="Calibri" w:eastAsia="Calibri" w:hAnsi="Calibri"/>
                <w:sz w:val="19"/>
                <w:szCs w:val="19"/>
              </w:rPr>
              <w:t xml:space="preserve">Datalek</w:t>
            </w:r>
          </w:p>
        </w:tc>
        <w:tc>
          <w:tcPr>
            <w:tcW w:type="dxa" w:w="3026"/>
            <w:tcBorders>
              <w:top w:val="single" w:color="C9CED8" w:sz="4"/>
              <w:left w:val="single" w:color="C9CED8" w:sz="4"/>
              <w:bottom w:val="single" w:color="C9CED8" w:sz="4"/>
              <w:right w:val="single" w:color="C9CED8" w:sz="4"/>
            </w:tcBorders>
            <w:tcMar>
              <w:top w:type="dxa" w:w="60"/>
              <w:left w:type="dxa" w:w="100"/>
              <w:bottom w:type="dxa" w:w="60"/>
              <w:right w:type="dxa" w:w="100"/>
            </w:tcMar>
          </w:tcPr>
          <w:p>
            <w:pPr>
              <w:spacing w:after="0"/>
            </w:pPr>
            <w:r>
              <w:rPr>
                <w:rFonts w:ascii="Calibri" w:cs="Calibri" w:eastAsia="Calibri" w:hAnsi="Calibri"/>
                <w:sz w:val="19"/>
                <w:szCs w:val="19"/>
              </w:rPr>
              <w:t xml:space="preserve">Alleen via Key Vault; nooit via chat of e-mail; sleutels roteren bij de overstap</w:t>
            </w:r>
          </w:p>
        </w:tc>
      </w:tr>
      <w:tr>
        <w:trPr>
          <w:cantSplit/>
          <w:tblHeader w:val="off"/>
        </w:trPr>
        <w:tc>
          <w:tcPr>
            <w:tcW w:type="dxa" w:w="3025"/>
            <w:tcBorders>
              <w:top w:val="single" w:color="C9CED8" w:sz="4"/>
              <w:left w:val="single" w:color="C9CED8" w:sz="4"/>
              <w:bottom w:val="single" w:color="C9CED8" w:sz="4"/>
              <w:right w:val="single" w:color="C9CED8" w:sz="4"/>
            </w:tcBorders>
            <w:tcMar>
              <w:top w:type="dxa" w:w="60"/>
              <w:left w:type="dxa" w:w="100"/>
              <w:bottom w:type="dxa" w:w="60"/>
              <w:right w:type="dxa" w:w="100"/>
            </w:tcMar>
          </w:tcPr>
          <w:p>
            <w:pPr>
              <w:spacing w:after="0"/>
            </w:pPr>
            <w:r>
              <w:rPr>
                <w:rFonts w:ascii="Calibri" w:cs="Calibri" w:eastAsia="Calibri" w:hAnsi="Calibri"/>
                <w:sz w:val="19"/>
                <w:szCs w:val="19"/>
              </w:rPr>
              <w:t xml:space="preserve">Data blijft achter bij Supabase of Vercel na afloop</w:t>
            </w:r>
          </w:p>
        </w:tc>
        <w:tc>
          <w:tcPr>
            <w:tcW w:type="dxa" w:w="2975"/>
            <w:tcBorders>
              <w:top w:val="single" w:color="C9CED8" w:sz="4"/>
              <w:left w:val="single" w:color="C9CED8" w:sz="4"/>
              <w:bottom w:val="single" w:color="C9CED8" w:sz="4"/>
              <w:right w:val="single" w:color="C9CED8" w:sz="4"/>
            </w:tcBorders>
            <w:tcMar>
              <w:top w:type="dxa" w:w="60"/>
              <w:left w:type="dxa" w:w="100"/>
              <w:bottom w:type="dxa" w:w="60"/>
              <w:right w:type="dxa" w:w="100"/>
            </w:tcMar>
          </w:tcPr>
          <w:p>
            <w:pPr>
              <w:spacing w:after="0"/>
            </w:pPr>
            <w:r>
              <w:rPr>
                <w:rFonts w:ascii="Calibri" w:cs="Calibri" w:eastAsia="Calibri" w:hAnsi="Calibri"/>
                <w:sz w:val="19"/>
                <w:szCs w:val="19"/>
              </w:rPr>
              <w:t xml:space="preserve">Vertrouwelijke gegevens bij een derde</w:t>
            </w:r>
          </w:p>
        </w:tc>
        <w:tc>
          <w:tcPr>
            <w:tcW w:type="dxa" w:w="3026"/>
            <w:tcBorders>
              <w:top w:val="single" w:color="C9CED8" w:sz="4"/>
              <w:left w:val="single" w:color="C9CED8" w:sz="4"/>
              <w:bottom w:val="single" w:color="C9CED8" w:sz="4"/>
              <w:right w:val="single" w:color="C9CED8" w:sz="4"/>
            </w:tcBorders>
            <w:tcMar>
              <w:top w:type="dxa" w:w="60"/>
              <w:left w:type="dxa" w:w="100"/>
              <w:bottom w:type="dxa" w:w="60"/>
              <w:right w:type="dxa" w:w="100"/>
            </w:tcMar>
          </w:tcPr>
          <w:p>
            <w:pPr>
              <w:spacing w:after="0"/>
            </w:pPr>
            <w:r>
              <w:rPr>
                <w:rFonts w:ascii="Calibri" w:cs="Calibri" w:eastAsia="Calibri" w:hAnsi="Calibri"/>
                <w:sz w:val="19"/>
                <w:szCs w:val="19"/>
              </w:rPr>
              <w:t xml:space="preserve">Aan het eind verwijderen en dat vastleggen (hoofdstuk 3, fase 5)</w:t>
            </w:r>
          </w:p>
        </w:tc>
      </w:tr>
    </w:tbl>
    <w:p>
      <w:pPr>
        <w:spacing w:after="120"/>
      </w:pPr>
    </w:p>
    <w:p>
      <w:pPr>
        <w:pStyle w:val="Heading2"/>
      </w:pPr>
      <w:r>
        <w:rPr>
          <w:rFonts w:ascii="Calibri" w:cs="Calibri" w:eastAsia="Calibri" w:hAnsi="Calibri"/>
        </w:rPr>
        <w:t xml:space="preserve">6. Draaiboek van de overstap (LIVE)</w:t>
      </w:r>
    </w:p>
    <w:p>
      <w:pPr>
        <w:pStyle w:val="Heading3"/>
      </w:pPr>
      <w:r>
        <w:rPr>
          <w:rFonts w:ascii="Calibri" w:cs="Calibri" w:eastAsia="Calibri" w:hAnsi="Calibri"/>
        </w:rPr>
        <w:t xml:space="preserve">Voorbereiding, een tot twee weken ervoor</w:t>
      </w:r>
    </w:p>
    <w:p>
      <w:pPr>
        <w:pStyle w:val="ListParagraph"/>
        <w:numPr>
          <w:ilvl w:val="0"/>
          <w:numId w:val="2"/>
        </w:numPr>
        <w:spacing w:after="60"/>
      </w:pPr>
      <w:r>
        <w:rPr>
          <w:rFonts w:ascii="Calibri" w:cs="Calibri" w:eastAsia="Calibri" w:hAnsi="Calibri"/>
        </w:rPr>
        <w:t xml:space="preserve">Het draaiboek is in fase 3 gemeten en goedgekeurd; het onderhoudsvenster staat vast (bijvoorbeeld zondagavond) en is aangekondigd aan alle gebruikers, met de afspraak dat inloggen daarna één keer opnieuw moet.</w:t>
      </w:r>
    </w:p>
    <w:p>
      <w:pPr>
        <w:pStyle w:val="ListParagraph"/>
        <w:numPr>
          <w:ilvl w:val="0"/>
          <w:numId w:val="2"/>
        </w:numPr>
        <w:spacing w:after="60"/>
      </w:pPr>
      <w:r>
        <w:rPr>
          <w:rFonts w:ascii="Calibri" w:cs="Calibri" w:eastAsia="Calibri" w:hAnsi="Calibri"/>
        </w:rPr>
        <w:t xml:space="preserve">DNS-TTL staat op 5 minuten.</w:t>
      </w:r>
    </w:p>
    <w:p>
      <w:pPr>
        <w:pStyle w:val="ListParagraph"/>
        <w:numPr>
          <w:ilvl w:val="0"/>
          <w:numId w:val="2"/>
        </w:numPr>
        <w:spacing w:after="60"/>
      </w:pPr>
      <w:r>
        <w:rPr>
          <w:rFonts w:ascii="Calibri" w:cs="Calibri" w:eastAsia="Calibri" w:hAnsi="Calibri"/>
        </w:rPr>
        <w:t xml:space="preserve">De nieuwe LIVE-omgeving staat klaar, is leeg en is getest met een rooktest.</w:t>
      </w:r>
    </w:p>
    <w:p>
      <w:pPr>
        <w:pStyle w:val="ListParagraph"/>
        <w:numPr>
          <w:ilvl w:val="0"/>
          <w:numId w:val="2"/>
        </w:numPr>
        <w:spacing w:after="60"/>
      </w:pPr>
      <w:r>
        <w:rPr>
          <w:rFonts w:ascii="Calibri" w:cs="Calibri" w:eastAsia="Calibri" w:hAnsi="Calibri"/>
        </w:rPr>
        <w:t xml:space="preserve">Backup van LIVE bij Supabase is vers gemaakt en uit de laatste dagen is een proefherstel gedaan.</w:t>
      </w:r>
    </w:p>
    <w:p>
      <w:pPr>
        <w:pStyle w:val="ListParagraph"/>
        <w:numPr>
          <w:ilvl w:val="0"/>
          <w:numId w:val="2"/>
        </w:numPr>
        <w:spacing w:after="60"/>
      </w:pPr>
      <w:r>
        <w:rPr>
          <w:rFonts w:ascii="Calibri" w:cs="Calibri" w:eastAsia="Calibri" w:hAnsi="Calibri"/>
        </w:rPr>
        <w:t xml:space="preserve">Geheimen in Key Vault; nieuwe sleutels voor de nieuwe omgeving (de service-role-sleutel en de JWT-sleutel zijn nieuw en dus niet dezelfde als nu).</w:t>
      </w:r>
    </w:p>
    <w:p>
      <w:pPr>
        <w:pStyle w:val="Heading3"/>
      </w:pPr>
      <w:r>
        <w:rPr>
          <w:rFonts w:ascii="Calibri" w:cs="Calibri" w:eastAsia="Calibri" w:hAnsi="Calibri"/>
        </w:rPr>
        <w:t xml:space="preserve">De avond zelf, met geschatte tijd</w:t>
      </w:r>
    </w:p>
    <w:p>
      <w:pPr>
        <w:pStyle w:val="ListParagraph"/>
        <w:numPr>
          <w:ilvl w:val="0"/>
          <w:numId w:val="3"/>
        </w:numPr>
        <w:spacing w:after="60"/>
      </w:pPr>
      <w:r>
        <w:rPr>
          <w:rFonts w:ascii="Calibri" w:cs="Calibri" w:eastAsia="Calibri" w:hAnsi="Calibri"/>
        </w:rPr>
        <w:t xml:space="preserve">Aankondiging bevestigen en de applicatie op Vercel in onderhoudsmodus zetten (alleen-lezen is ook goed). Controleer dat er geen actieve schrijfacties meer zijn. (5 minuten)</w:t>
      </w:r>
    </w:p>
    <w:p>
      <w:pPr>
        <w:pStyle w:val="ListParagraph"/>
        <w:numPr>
          <w:ilvl w:val="0"/>
          <w:numId w:val="3"/>
        </w:numPr>
        <w:spacing w:after="60"/>
      </w:pPr>
      <w:r>
        <w:rPr>
          <w:rFonts w:ascii="Calibri" w:cs="Calibri" w:eastAsia="Calibri" w:hAnsi="Calibri"/>
        </w:rPr>
        <w:t xml:space="preserve">Laatste dump van de LIVE-database: schema </w:t>
      </w:r>
      <w:r>
        <w:rPr>
          <w:rFonts w:ascii="Consolas" w:cs="Consolas" w:eastAsia="Consolas" w:hAnsi="Consolas"/>
          <w:sz w:val="19"/>
          <w:szCs w:val="19"/>
        </w:rPr>
        <w:t xml:space="preserve">public</w:t>
      </w:r>
      <w:r>
        <w:rPr>
          <w:rFonts w:ascii="Calibri" w:cs="Calibri" w:eastAsia="Calibri" w:hAnsi="Calibri"/>
        </w:rPr>
        <w:t xml:space="preserve"> met data, plus het schema </w:t>
      </w:r>
      <w:r>
        <w:rPr>
          <w:rFonts w:ascii="Consolas" w:cs="Consolas" w:eastAsia="Consolas" w:hAnsi="Consolas"/>
          <w:sz w:val="19"/>
          <w:szCs w:val="19"/>
        </w:rPr>
        <w:t xml:space="preserve">auth</w:t>
      </w:r>
      <w:r>
        <w:rPr>
          <w:rFonts w:ascii="Calibri" w:cs="Calibri" w:eastAsia="Calibri" w:hAnsi="Calibri"/>
        </w:rPr>
        <w:t xml:space="preserve"> (gebruikers en wachtwoord-hashes). Bewaar de dump versleuteld. (5 tot 10 minuten bij een kleine database)</w:t>
      </w:r>
    </w:p>
    <w:p>
      <w:pPr>
        <w:pStyle w:val="ListParagraph"/>
        <w:numPr>
          <w:ilvl w:val="0"/>
          <w:numId w:val="3"/>
        </w:numPr>
        <w:spacing w:after="60"/>
      </w:pPr>
      <w:r>
        <w:rPr>
          <w:rFonts w:ascii="Calibri" w:cs="Calibri" w:eastAsia="Calibri" w:hAnsi="Calibri"/>
        </w:rPr>
        <w:t xml:space="preserve">Herstel op Azure: eerst de rollen en schema's, dan </w:t>
      </w:r>
      <w:r>
        <w:rPr>
          <w:rFonts w:ascii="Consolas" w:cs="Consolas" w:eastAsia="Consolas" w:hAnsi="Consolas"/>
          <w:sz w:val="19"/>
          <w:szCs w:val="19"/>
        </w:rPr>
        <w:t xml:space="preserve">auth</w:t>
      </w:r>
      <w:r>
        <w:rPr>
          <w:rFonts w:ascii="Calibri" w:cs="Calibri" w:eastAsia="Calibri" w:hAnsi="Calibri"/>
        </w:rPr>
        <w:t xml:space="preserve">, dan </w:t>
      </w:r>
      <w:r>
        <w:rPr>
          <w:rFonts w:ascii="Consolas" w:cs="Consolas" w:eastAsia="Consolas" w:hAnsi="Consolas"/>
          <w:sz w:val="19"/>
          <w:szCs w:val="19"/>
        </w:rPr>
        <w:t xml:space="preserve">public</w:t>
      </w:r>
      <w:r>
        <w:rPr>
          <w:rFonts w:ascii="Calibri" w:cs="Calibri" w:eastAsia="Calibri" w:hAnsi="Calibri"/>
        </w:rPr>
        <w:t xml:space="preserve"> met data, dan de migratiehistorie bijwerken zodat de pijplijn de juiste stand kent. (10 tot 20 minuten)</w:t>
      </w:r>
    </w:p>
    <w:p>
      <w:pPr>
        <w:pStyle w:val="ListParagraph"/>
        <w:numPr>
          <w:ilvl w:val="0"/>
          <w:numId w:val="3"/>
        </w:numPr>
        <w:spacing w:after="60"/>
      </w:pPr>
      <w:r>
        <w:rPr>
          <w:rFonts w:ascii="Calibri" w:cs="Calibri" w:eastAsia="Calibri" w:hAnsi="Calibri"/>
        </w:rPr>
        <w:t xml:space="preserve">Kopieer de bestanden van de Storage-bucket </w:t>
      </w:r>
      <w:r>
        <w:rPr>
          <w:rFonts w:ascii="Consolas" w:cs="Consolas" w:eastAsia="Consolas" w:hAnsi="Consolas"/>
          <w:sz w:val="19"/>
          <w:szCs w:val="19"/>
        </w:rPr>
        <w:t xml:space="preserve">avatars</w:t>
      </w:r>
      <w:r>
        <w:rPr>
          <w:rFonts w:ascii="Calibri" w:cs="Calibri" w:eastAsia="Calibri" w:hAnsi="Calibri"/>
        </w:rPr>
        <w:t xml:space="preserve"> (en </w:t>
      </w:r>
      <w:r>
        <w:rPr>
          <w:rFonts w:ascii="Consolas" w:cs="Consolas" w:eastAsia="Consolas" w:hAnsi="Consolas"/>
          <w:sz w:val="19"/>
          <w:szCs w:val="19"/>
        </w:rPr>
        <w:t xml:space="preserve">facturen</w:t>
      </w:r>
      <w:r>
        <w:rPr>
          <w:rFonts w:ascii="Calibri" w:cs="Calibri" w:eastAsia="Calibri" w:hAnsi="Calibri"/>
        </w:rPr>
        <w:t xml:space="preserve"> als er iets in staat). (5 minuten)</w:t>
      </w:r>
    </w:p>
    <w:p>
      <w:pPr>
        <w:pStyle w:val="ListParagraph"/>
        <w:numPr>
          <w:ilvl w:val="0"/>
          <w:numId w:val="3"/>
        </w:numPr>
        <w:spacing w:after="60"/>
      </w:pPr>
      <w:r>
        <w:rPr>
          <w:rFonts w:ascii="Calibri" w:cs="Calibri" w:eastAsia="Calibri" w:hAnsi="Calibri"/>
        </w:rPr>
        <w:t xml:space="preserve">Controleer de gegevens: rijtellingen per tabel gelijk aan de bron, controlesommen op de belangrijkste totalen (bijvoorbeeld de som van de bedragen op </w:t>
      </w:r>
      <w:r>
        <w:rPr>
          <w:rFonts w:ascii="Consolas" w:cs="Consolas" w:eastAsia="Consolas" w:hAnsi="Consolas"/>
          <w:sz w:val="19"/>
          <w:szCs w:val="19"/>
        </w:rPr>
        <w:t xml:space="preserve">factuuritems</w:t>
      </w:r>
      <w:r>
        <w:rPr>
          <w:rFonts w:ascii="Calibri" w:cs="Calibri" w:eastAsia="Calibri" w:hAnsi="Calibri"/>
        </w:rPr>
        <w:t xml:space="preserve"> en </w:t>
      </w:r>
      <w:r>
        <w:rPr>
          <w:rFonts w:ascii="Consolas" w:cs="Consolas" w:eastAsia="Consolas" w:hAnsi="Consolas"/>
          <w:sz w:val="19"/>
          <w:szCs w:val="19"/>
        </w:rPr>
        <w:t xml:space="preserve">facturatiebatches</w:t>
      </w:r>
      <w:r>
        <w:rPr>
          <w:rFonts w:ascii="Calibri" w:cs="Calibri" w:eastAsia="Calibri" w:hAnsi="Calibri"/>
        </w:rPr>
        <w:t xml:space="preserve">), aantal gebruikers en rollen gelijk. (10 minuten)</w:t>
      </w:r>
    </w:p>
    <w:p>
      <w:pPr>
        <w:pStyle w:val="ListParagraph"/>
        <w:numPr>
          <w:ilvl w:val="0"/>
          <w:numId w:val="3"/>
        </w:numPr>
        <w:spacing w:after="60"/>
      </w:pPr>
      <w:r>
        <w:rPr>
          <w:rFonts w:ascii="Calibri" w:cs="Calibri" w:eastAsia="Calibri" w:hAnsi="Calibri"/>
        </w:rPr>
        <w:t xml:space="preserve">Rooktest op de nieuwe omgeving via een tijdelijke URL: inloggen met een testaccount per rol, een factuuritem aanmaken en weer verwijderen, een specificatie-PDF genereren, een avatar tonen, Patricia-opzoeking werkt. (10 minuten)</w:t>
      </w:r>
    </w:p>
    <w:p>
      <w:pPr>
        <w:pStyle w:val="ListParagraph"/>
        <w:numPr>
          <w:ilvl w:val="0"/>
          <w:numId w:val="3"/>
        </w:numPr>
        <w:spacing w:after="60"/>
      </w:pPr>
      <w:r>
        <w:rPr>
          <w:rFonts w:ascii="Calibri" w:cs="Calibri" w:eastAsia="Calibri" w:hAnsi="Calibri"/>
        </w:rPr>
        <w:t xml:space="preserve">DNS omzetten naar de nieuwe omgeving; wachten tot de verandering doorgevoerd is. (5 tot 10 minuten)</w:t>
      </w:r>
    </w:p>
    <w:p>
      <w:pPr>
        <w:pStyle w:val="ListParagraph"/>
        <w:numPr>
          <w:ilvl w:val="0"/>
          <w:numId w:val="3"/>
        </w:numPr>
        <w:spacing w:after="60"/>
      </w:pPr>
      <w:r>
        <w:rPr>
          <w:rFonts w:ascii="Calibri" w:cs="Calibri" w:eastAsia="Calibri" w:hAnsi="Calibri"/>
        </w:rPr>
        <w:t xml:space="preserve">Controle op het echte domein; berichten naar de gebruikers dat het weer kan. (5 minuten)</w:t>
      </w:r>
    </w:p>
    <w:p>
      <w:pPr>
        <w:spacing w:after="140"/>
      </w:pPr>
      <w:r>
        <w:rPr>
          <w:rFonts w:ascii="Calibri" w:cs="Calibri" w:eastAsia="Calibri" w:hAnsi="Calibri"/>
        </w:rPr>
        <w:t xml:space="preserve">Totaal circa 1 uur tot 1,5 uur, afhankelijk van de datagrootte. De werkelijke duur komt uit de repetitie in fase 3.</w:t>
      </w:r>
    </w:p>
    <w:p>
      <w:pPr>
        <w:pStyle w:val="Heading3"/>
      </w:pPr>
      <w:r>
        <w:rPr>
          <w:rFonts w:ascii="Calibri" w:cs="Calibri" w:eastAsia="Calibri" w:hAnsi="Calibri"/>
        </w:rPr>
        <w:t xml:space="preserve">Terugdraaien</w:t>
      </w:r>
    </w:p>
    <w:p>
      <w:pPr>
        <w:spacing w:after="140"/>
      </w:pPr>
      <w:r>
        <w:rPr>
          <w:rFonts w:ascii="Calibri" w:cs="Calibri" w:eastAsia="Calibri" w:hAnsi="Calibri"/>
        </w:rPr>
        <w:t xml:space="preserve">Een beslismoment na stap 6, vóór de DNS-wijziging: faalt de rooktest of kloppen de totalen niet, dan stoppen we en blijft de oude omgeving gewoon in gebruik; er is dan niets gewijzigd voor de gebruikers. Na de DNS-wijziging kan nog worden teruggedraaid door de DNS terug te zetten, maar dan gaan wijzigingen die al in Azure zijn gemaakt verloren (of moeten handmatig terug). Daarom is de afspraak: de eerste uren na de overstap kijkt iemand actief mee, en de oude Supabase-database blijft ongewijzigd (alleen-lezen) staan tot de nazorgperiode voorbij is.</w:t>
      </w:r>
    </w:p>
    <w:p>
      <w:pPr>
        <w:pStyle w:val="Heading3"/>
      </w:pPr>
      <w:r>
        <w:rPr>
          <w:rFonts w:ascii="Calibri" w:cs="Calibri" w:eastAsia="Calibri" w:hAnsi="Calibri"/>
        </w:rPr>
        <w:t xml:space="preserve">Waarom een onderhoudsvenster en geen zero-downtime</w:t>
      </w:r>
    </w:p>
    <w:p>
      <w:pPr>
        <w:spacing w:after="140"/>
      </w:pPr>
      <w:r>
        <w:rPr>
          <w:rFonts w:ascii="Calibri" w:cs="Calibri" w:eastAsia="Calibri" w:hAnsi="Calibri"/>
        </w:rPr>
        <w:t xml:space="preserve">Een live replicatie van Supabase naar Azure met een afgeronde, gelijktijdige overstap is technisch mogelijk, maar kost veel extra opzet en risico (replicatie-instellingen, tabelvolgorde, </w:t>
      </w:r>
      <w:r>
        <w:rPr>
          <w:rFonts w:ascii="Consolas" w:cs="Consolas" w:eastAsia="Consolas" w:hAnsi="Consolas"/>
          <w:sz w:val="19"/>
          <w:szCs w:val="19"/>
        </w:rPr>
        <w:t xml:space="preserve">auth</w:t>
      </w:r>
      <w:r>
        <w:rPr>
          <w:rFonts w:ascii="Calibri" w:cs="Calibri" w:eastAsia="Calibri" w:hAnsi="Calibri"/>
        </w:rPr>
        <w:t xml:space="preserve">-schema, sequences). Voor een interne applicatie met een kleine database en bekende piekmomenten is een korte onderhoudsstop geen ramp, en het afgesproken uur levert minder kans op fouten. Als de gemeten datavolume in fase 3 toch grotere verschillen laat zien, kan dit opnieuw worden bekeken.</w:t>
      </w:r>
    </w:p>
    <w:p>
      <w:pPr>
        <w:pStyle w:val="Heading2"/>
      </w:pPr>
      <w:r>
        <w:rPr>
          <w:rFonts w:ascii="Calibri" w:cs="Calibri" w:eastAsia="Calibri" w:hAnsi="Calibri"/>
        </w:rPr>
        <w:t xml:space="preserve">7. Entra ID (stap na de verhuizing)</w:t>
      </w:r>
    </w:p>
    <w:p>
      <w:pPr>
        <w:pStyle w:val="ListParagraph"/>
        <w:numPr>
          <w:ilvl w:val="0"/>
          <w:numId w:val="2"/>
        </w:numPr>
        <w:spacing w:after="60"/>
      </w:pPr>
      <w:r>
        <w:rPr>
          <w:rFonts w:ascii="Calibri" w:cs="Calibri" w:eastAsia="Calibri" w:hAnsi="Calibri"/>
        </w:rPr>
        <w:t xml:space="preserve">Maak een Entra ID app-registratie (de beheerder) en zet de Azure/Entra-provider aan in Auth (bij route A is dat een instelling).</w:t>
      </w:r>
    </w:p>
    <w:p>
      <w:pPr>
        <w:pStyle w:val="ListParagraph"/>
        <w:numPr>
          <w:ilvl w:val="0"/>
          <w:numId w:val="2"/>
        </w:numPr>
        <w:spacing w:after="60"/>
      </w:pPr>
      <w:r>
        <w:rPr>
          <w:rFonts w:ascii="Calibri" w:cs="Calibri" w:eastAsia="Calibri" w:hAnsi="Calibri"/>
        </w:rPr>
        <w:t xml:space="preserve">Koppel bestaande gebruikers op e-mailadres, zodat profielen, rollen en alle historie behouden blijven.</w:t>
      </w:r>
    </w:p>
    <w:p>
      <w:pPr>
        <w:pStyle w:val="ListParagraph"/>
        <w:numPr>
          <w:ilvl w:val="0"/>
          <w:numId w:val="2"/>
        </w:numPr>
        <w:spacing w:after="60"/>
      </w:pPr>
      <w:r>
        <w:rPr>
          <w:rFonts w:ascii="Calibri" w:cs="Calibri" w:eastAsia="Calibri" w:hAnsi="Calibri"/>
        </w:rPr>
        <w:t xml:space="preserve">Eerst een periode waarin wachtwoord én Microsoft-login allebei werken, daarna pas wachtwoord-inloggen uitzetten.</w:t>
      </w:r>
    </w:p>
    <w:p>
      <w:pPr>
        <w:pStyle w:val="ListParagraph"/>
        <w:numPr>
          <w:ilvl w:val="0"/>
          <w:numId w:val="2"/>
        </w:numPr>
        <w:spacing w:after="60"/>
      </w:pPr>
      <w:r>
        <w:rPr>
          <w:rFonts w:ascii="Calibri" w:cs="Calibri" w:eastAsia="Calibri" w:hAnsi="Calibri"/>
        </w:rPr>
        <w:t xml:space="preserve">De gebruiker-aanmaak vanuit het beheerscherm (</w:t>
      </w:r>
      <w:r>
        <w:rPr>
          <w:rFonts w:ascii="Consolas" w:cs="Consolas" w:eastAsia="Consolas" w:hAnsi="Consolas"/>
          <w:sz w:val="19"/>
          <w:szCs w:val="19"/>
        </w:rPr>
        <w:t xml:space="preserve">src/actions/admin.ts</w:t>
      </w:r>
      <w:r>
        <w:rPr>
          <w:rFonts w:ascii="Calibri" w:cs="Calibri" w:eastAsia="Calibri" w:hAnsi="Calibri"/>
        </w:rPr>
        <w:t xml:space="preserve">) wijzigt dan van "account aanmaken met wachtwoord" naar "gebruiker en rol voorbereiden, inloggen via Microsoft". Dat is een aparte, kleine wijziging.</w:t>
      </w:r>
    </w:p>
    <w:p>
      <w:pPr>
        <w:pStyle w:val="ListParagraph"/>
        <w:numPr>
          <w:ilvl w:val="0"/>
          <w:numId w:val="2"/>
        </w:numPr>
        <w:spacing w:after="60"/>
      </w:pPr>
      <w:r>
        <w:rPr>
          <w:rFonts w:ascii="Calibri" w:cs="Calibri" w:eastAsia="Calibri" w:hAnsi="Calibri"/>
        </w:rPr>
        <w:t xml:space="preserve">Later eventueel: rollen koppelen aan Entra-groepen.</w:t>
      </w:r>
    </w:p>
    <w:p>
      <w:pPr>
        <w:pStyle w:val="Heading2"/>
      </w:pPr>
      <w:r>
        <w:rPr>
          <w:rFonts w:ascii="Calibri" w:cs="Calibri" w:eastAsia="Calibri" w:hAnsi="Calibri"/>
        </w:rPr>
        <w:t xml:space="preserve">8. Wie doet wat</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4370"/>
        <w:gridCol w:w="1140"/>
        <w:gridCol w:w="1520"/>
        <w:gridCol w:w="1996"/>
      </w:tblGrid>
      <w:tr>
        <w:trPr>
          <w:cantSplit/>
          <w:tblHeader/>
        </w:trPr>
        <w:tc>
          <w:tcPr>
            <w:tcW w:type="dxa" w:w="4370"/>
            <w:tcBorders>
              <w:top w:val="single" w:color="C9CED8" w:sz="4"/>
              <w:left w:val="single" w:color="C9CED8" w:sz="4"/>
              <w:bottom w:val="single" w:color="C9CED8" w:sz="4"/>
              <w:right w:val="single" w:color="C9CED8" w:sz="4"/>
            </w:tcBorders>
            <w:shd w:fill="0F1B3D" w:color="auto" w:val="clear"/>
            <w:tcMar>
              <w:top w:type="dxa" w:w="60"/>
              <w:left w:type="dxa" w:w="100"/>
              <w:bottom w:type="dxa" w:w="60"/>
              <w:right w:type="dxa" w:w="100"/>
            </w:tcMar>
          </w:tcPr>
          <w:p>
            <w:pPr>
              <w:spacing w:after="0"/>
            </w:pPr>
            <w:r>
              <w:rPr>
                <w:rFonts w:ascii="Calibri" w:cs="Calibri" w:eastAsia="Calibri" w:hAnsi="Calibri"/>
                <w:b/>
                <w:bCs/>
                <w:color w:val="FFFFFF"/>
                <w:sz w:val="19"/>
                <w:szCs w:val="19"/>
              </w:rPr>
              <w:t xml:space="preserve">Onderdeel</w:t>
            </w:r>
          </w:p>
        </w:tc>
        <w:tc>
          <w:tcPr>
            <w:tcW w:type="dxa" w:w="1140"/>
            <w:tcBorders>
              <w:top w:val="single" w:color="C9CED8" w:sz="4"/>
              <w:left w:val="single" w:color="C9CED8" w:sz="4"/>
              <w:bottom w:val="single" w:color="C9CED8" w:sz="4"/>
              <w:right w:val="single" w:color="C9CED8" w:sz="4"/>
            </w:tcBorders>
            <w:shd w:fill="0F1B3D" w:color="auto" w:val="clear"/>
            <w:tcMar>
              <w:top w:type="dxa" w:w="60"/>
              <w:left w:type="dxa" w:w="100"/>
              <w:bottom w:type="dxa" w:w="60"/>
              <w:right w:type="dxa" w:w="100"/>
            </w:tcMar>
          </w:tcPr>
          <w:p>
            <w:pPr>
              <w:spacing w:after="0"/>
            </w:pPr>
            <w:r>
              <w:rPr>
                <w:rFonts w:ascii="Calibri" w:cs="Calibri" w:eastAsia="Calibri" w:hAnsi="Calibri"/>
                <w:b/>
                <w:bCs/>
                <w:color w:val="FFFFFF"/>
                <w:sz w:val="19"/>
                <w:szCs w:val="19"/>
              </w:rPr>
              <w:t xml:space="preserve">Erwin</w:t>
            </w:r>
          </w:p>
        </w:tc>
        <w:tc>
          <w:tcPr>
            <w:tcW w:type="dxa" w:w="1520"/>
            <w:tcBorders>
              <w:top w:val="single" w:color="C9CED8" w:sz="4"/>
              <w:left w:val="single" w:color="C9CED8" w:sz="4"/>
              <w:bottom w:val="single" w:color="C9CED8" w:sz="4"/>
              <w:right w:val="single" w:color="C9CED8" w:sz="4"/>
            </w:tcBorders>
            <w:shd w:fill="0F1B3D" w:color="auto" w:val="clear"/>
            <w:tcMar>
              <w:top w:type="dxa" w:w="60"/>
              <w:left w:type="dxa" w:w="100"/>
              <w:bottom w:type="dxa" w:w="60"/>
              <w:right w:type="dxa" w:w="100"/>
            </w:tcMar>
          </w:tcPr>
          <w:p>
            <w:pPr>
              <w:spacing w:after="0"/>
            </w:pPr>
            <w:r>
              <w:rPr>
                <w:rFonts w:ascii="Calibri" w:cs="Calibri" w:eastAsia="Calibri" w:hAnsi="Calibri"/>
                <w:b/>
                <w:bCs/>
                <w:color w:val="FFFFFF"/>
                <w:sz w:val="19"/>
                <w:szCs w:val="19"/>
              </w:rPr>
              <w:t xml:space="preserve">Systeembeheerder</w:t>
            </w:r>
          </w:p>
        </w:tc>
        <w:tc>
          <w:tcPr>
            <w:tcW w:type="dxa" w:w="1996"/>
            <w:tcBorders>
              <w:top w:val="single" w:color="C9CED8" w:sz="4"/>
              <w:left w:val="single" w:color="C9CED8" w:sz="4"/>
              <w:bottom w:val="single" w:color="C9CED8" w:sz="4"/>
              <w:right w:val="single" w:color="C9CED8" w:sz="4"/>
            </w:tcBorders>
            <w:shd w:fill="0F1B3D" w:color="auto" w:val="clear"/>
            <w:tcMar>
              <w:top w:type="dxa" w:w="60"/>
              <w:left w:type="dxa" w:w="100"/>
              <w:bottom w:type="dxa" w:w="60"/>
              <w:right w:type="dxa" w:w="100"/>
            </w:tcMar>
          </w:tcPr>
          <w:p>
            <w:pPr>
              <w:spacing w:after="0"/>
            </w:pPr>
            <w:r>
              <w:rPr>
                <w:rFonts w:ascii="Calibri" w:cs="Calibri" w:eastAsia="Calibri" w:hAnsi="Calibri"/>
                <w:b/>
                <w:bCs/>
                <w:color w:val="FFFFFF"/>
                <w:sz w:val="19"/>
                <w:szCs w:val="19"/>
              </w:rPr>
              <w:t xml:space="preserve">Claude (ontwikkeling)</w:t>
            </w:r>
          </w:p>
        </w:tc>
      </w:tr>
      <w:tr>
        <w:trPr>
          <w:cantSplit/>
          <w:tblHeader w:val="off"/>
        </w:trPr>
        <w:tc>
          <w:tcPr>
            <w:tcW w:type="dxa" w:w="4370"/>
            <w:tcBorders>
              <w:top w:val="single" w:color="C9CED8" w:sz="4"/>
              <w:left w:val="single" w:color="C9CED8" w:sz="4"/>
              <w:bottom w:val="single" w:color="C9CED8" w:sz="4"/>
              <w:right w:val="single" w:color="C9CED8" w:sz="4"/>
            </w:tcBorders>
            <w:tcMar>
              <w:top w:type="dxa" w:w="60"/>
              <w:left w:type="dxa" w:w="100"/>
              <w:bottom w:type="dxa" w:w="60"/>
              <w:right w:type="dxa" w:w="100"/>
            </w:tcMar>
          </w:tcPr>
          <w:p>
            <w:pPr>
              <w:spacing w:after="0"/>
            </w:pPr>
            <w:r>
              <w:rPr>
                <w:rFonts w:ascii="Calibri" w:cs="Calibri" w:eastAsia="Calibri" w:hAnsi="Calibri"/>
                <w:sz w:val="19"/>
                <w:szCs w:val="19"/>
              </w:rPr>
              <w:t xml:space="preserve">Invullen dashboardgegevens</w:t>
            </w:r>
          </w:p>
        </w:tc>
        <w:tc>
          <w:tcPr>
            <w:tcW w:type="dxa" w:w="1140"/>
            <w:tcBorders>
              <w:top w:val="single" w:color="C9CED8" w:sz="4"/>
              <w:left w:val="single" w:color="C9CED8" w:sz="4"/>
              <w:bottom w:val="single" w:color="C9CED8" w:sz="4"/>
              <w:right w:val="single" w:color="C9CED8" w:sz="4"/>
            </w:tcBorders>
            <w:tcMar>
              <w:top w:type="dxa" w:w="60"/>
              <w:left w:type="dxa" w:w="100"/>
              <w:bottom w:type="dxa" w:w="60"/>
              <w:right w:type="dxa" w:w="100"/>
            </w:tcMar>
          </w:tcPr>
          <w:p>
            <w:pPr>
              <w:spacing w:after="0"/>
            </w:pPr>
            <w:r>
              <w:rPr>
                <w:rFonts w:ascii="Calibri" w:cs="Calibri" w:eastAsia="Calibri" w:hAnsi="Calibri"/>
                <w:sz w:val="19"/>
                <w:szCs w:val="19"/>
              </w:rPr>
              <w:t xml:space="preserve">ja</w:t>
            </w:r>
          </w:p>
        </w:tc>
        <w:tc>
          <w:tcPr>
            <w:tcW w:type="dxa" w:w="1520"/>
            <w:tcBorders>
              <w:top w:val="single" w:color="C9CED8" w:sz="4"/>
              <w:left w:val="single" w:color="C9CED8" w:sz="4"/>
              <w:bottom w:val="single" w:color="C9CED8" w:sz="4"/>
              <w:right w:val="single" w:color="C9CED8" w:sz="4"/>
            </w:tcBorders>
            <w:tcMar>
              <w:top w:type="dxa" w:w="60"/>
              <w:left w:type="dxa" w:w="100"/>
              <w:bottom w:type="dxa" w:w="60"/>
              <w:right w:type="dxa" w:w="100"/>
            </w:tcMar>
          </w:tcPr>
          <w:p>
            <w:pPr>
              <w:spacing w:after="0"/>
            </w:pPr>
            <w:r>
              <w:rPr>
                <w:rFonts w:ascii="Calibri" w:cs="Calibri" w:eastAsia="Calibri" w:hAnsi="Calibri"/>
                <w:sz w:val="19"/>
                <w:szCs w:val="19"/>
              </w:rPr>
              <w:t xml:space="preserve">helpt</w:t>
            </w:r>
          </w:p>
        </w:tc>
        <w:tc>
          <w:tcPr>
            <w:tcW w:type="dxa" w:w="1996"/>
            <w:tcBorders>
              <w:top w:val="single" w:color="C9CED8" w:sz="4"/>
              <w:left w:val="single" w:color="C9CED8" w:sz="4"/>
              <w:bottom w:val="single" w:color="C9CED8" w:sz="4"/>
              <w:right w:val="single" w:color="C9CED8" w:sz="4"/>
            </w:tcBorders>
            <w:tcMar>
              <w:top w:type="dxa" w:w="60"/>
              <w:left w:type="dxa" w:w="100"/>
              <w:bottom w:type="dxa" w:w="60"/>
              <w:right w:type="dxa" w:w="100"/>
            </w:tcMar>
          </w:tcPr>
          <w:p>
            <w:pPr>
              <w:spacing w:after="0"/>
            </w:pPr>
          </w:p>
        </w:tc>
      </w:tr>
      <w:tr>
        <w:trPr>
          <w:cantSplit/>
          <w:tblHeader w:val="off"/>
        </w:trPr>
        <w:tc>
          <w:tcPr>
            <w:tcW w:type="dxa" w:w="4370"/>
            <w:tcBorders>
              <w:top w:val="single" w:color="C9CED8" w:sz="4"/>
              <w:left w:val="single" w:color="C9CED8" w:sz="4"/>
              <w:bottom w:val="single" w:color="C9CED8" w:sz="4"/>
              <w:right w:val="single" w:color="C9CED8" w:sz="4"/>
            </w:tcBorders>
            <w:tcMar>
              <w:top w:type="dxa" w:w="60"/>
              <w:left w:type="dxa" w:w="100"/>
              <w:bottom w:type="dxa" w:w="60"/>
              <w:right w:type="dxa" w:w="100"/>
            </w:tcMar>
          </w:tcPr>
          <w:p>
            <w:pPr>
              <w:spacing w:after="0"/>
            </w:pPr>
            <w:r>
              <w:rPr>
                <w:rFonts w:ascii="Calibri" w:cs="Calibri" w:eastAsia="Calibri" w:hAnsi="Calibri"/>
                <w:sz w:val="19"/>
                <w:szCs w:val="19"/>
              </w:rPr>
              <w:t xml:space="preserve">Keuze route A of B</w:t>
            </w:r>
          </w:p>
        </w:tc>
        <w:tc>
          <w:tcPr>
            <w:tcW w:type="dxa" w:w="1140"/>
            <w:tcBorders>
              <w:top w:val="single" w:color="C9CED8" w:sz="4"/>
              <w:left w:val="single" w:color="C9CED8" w:sz="4"/>
              <w:bottom w:val="single" w:color="C9CED8" w:sz="4"/>
              <w:right w:val="single" w:color="C9CED8" w:sz="4"/>
            </w:tcBorders>
            <w:tcMar>
              <w:top w:type="dxa" w:w="60"/>
              <w:left w:type="dxa" w:w="100"/>
              <w:bottom w:type="dxa" w:w="60"/>
              <w:right w:type="dxa" w:w="100"/>
            </w:tcMar>
          </w:tcPr>
          <w:p>
            <w:pPr>
              <w:spacing w:after="0"/>
            </w:pPr>
            <w:r>
              <w:rPr>
                <w:rFonts w:ascii="Calibri" w:cs="Calibri" w:eastAsia="Calibri" w:hAnsi="Calibri"/>
                <w:sz w:val="19"/>
                <w:szCs w:val="19"/>
              </w:rPr>
              <w:t xml:space="preserve">beslist</w:t>
            </w:r>
          </w:p>
        </w:tc>
        <w:tc>
          <w:tcPr>
            <w:tcW w:type="dxa" w:w="1520"/>
            <w:tcBorders>
              <w:top w:val="single" w:color="C9CED8" w:sz="4"/>
              <w:left w:val="single" w:color="C9CED8" w:sz="4"/>
              <w:bottom w:val="single" w:color="C9CED8" w:sz="4"/>
              <w:right w:val="single" w:color="C9CED8" w:sz="4"/>
            </w:tcBorders>
            <w:tcMar>
              <w:top w:type="dxa" w:w="60"/>
              <w:left w:type="dxa" w:w="100"/>
              <w:bottom w:type="dxa" w:w="60"/>
              <w:right w:type="dxa" w:w="100"/>
            </w:tcMar>
          </w:tcPr>
          <w:p>
            <w:pPr>
              <w:spacing w:after="0"/>
            </w:pPr>
            <w:r>
              <w:rPr>
                <w:rFonts w:ascii="Calibri" w:cs="Calibri" w:eastAsia="Calibri" w:hAnsi="Calibri"/>
                <w:sz w:val="19"/>
                <w:szCs w:val="19"/>
              </w:rPr>
              <w:t xml:space="preserve">adviseert</w:t>
            </w:r>
          </w:p>
        </w:tc>
        <w:tc>
          <w:tcPr>
            <w:tcW w:type="dxa" w:w="1996"/>
            <w:tcBorders>
              <w:top w:val="single" w:color="C9CED8" w:sz="4"/>
              <w:left w:val="single" w:color="C9CED8" w:sz="4"/>
              <w:bottom w:val="single" w:color="C9CED8" w:sz="4"/>
              <w:right w:val="single" w:color="C9CED8" w:sz="4"/>
            </w:tcBorders>
            <w:tcMar>
              <w:top w:type="dxa" w:w="60"/>
              <w:left w:type="dxa" w:w="100"/>
              <w:bottom w:type="dxa" w:w="60"/>
              <w:right w:type="dxa" w:w="100"/>
            </w:tcMar>
          </w:tcPr>
          <w:p>
            <w:pPr>
              <w:spacing w:after="0"/>
            </w:pPr>
            <w:r>
              <w:rPr>
                <w:rFonts w:ascii="Calibri" w:cs="Calibri" w:eastAsia="Calibri" w:hAnsi="Calibri"/>
                <w:sz w:val="19"/>
                <w:szCs w:val="19"/>
              </w:rPr>
              <w:t xml:space="preserve">levert de afweging</w:t>
            </w:r>
          </w:p>
        </w:tc>
      </w:tr>
      <w:tr>
        <w:trPr>
          <w:cantSplit/>
          <w:tblHeader w:val="off"/>
        </w:trPr>
        <w:tc>
          <w:tcPr>
            <w:tcW w:type="dxa" w:w="4370"/>
            <w:tcBorders>
              <w:top w:val="single" w:color="C9CED8" w:sz="4"/>
              <w:left w:val="single" w:color="C9CED8" w:sz="4"/>
              <w:bottom w:val="single" w:color="C9CED8" w:sz="4"/>
              <w:right w:val="single" w:color="C9CED8" w:sz="4"/>
            </w:tcBorders>
            <w:tcMar>
              <w:top w:type="dxa" w:w="60"/>
              <w:left w:type="dxa" w:w="100"/>
              <w:bottom w:type="dxa" w:w="60"/>
              <w:right w:type="dxa" w:w="100"/>
            </w:tcMar>
          </w:tcPr>
          <w:p>
            <w:pPr>
              <w:spacing w:after="0"/>
            </w:pPr>
            <w:r>
              <w:rPr>
                <w:rFonts w:ascii="Calibri" w:cs="Calibri" w:eastAsia="Calibri" w:hAnsi="Calibri"/>
                <w:sz w:val="19"/>
                <w:szCs w:val="19"/>
              </w:rPr>
              <w:t xml:space="preserve">Azure-resources, netwerk, Key Vault, DNS</w:t>
            </w:r>
          </w:p>
        </w:tc>
        <w:tc>
          <w:tcPr>
            <w:tcW w:type="dxa" w:w="1140"/>
            <w:tcBorders>
              <w:top w:val="single" w:color="C9CED8" w:sz="4"/>
              <w:left w:val="single" w:color="C9CED8" w:sz="4"/>
              <w:bottom w:val="single" w:color="C9CED8" w:sz="4"/>
              <w:right w:val="single" w:color="C9CED8" w:sz="4"/>
            </w:tcBorders>
            <w:tcMar>
              <w:top w:type="dxa" w:w="60"/>
              <w:left w:type="dxa" w:w="100"/>
              <w:bottom w:type="dxa" w:w="60"/>
              <w:right w:type="dxa" w:w="100"/>
            </w:tcMar>
          </w:tcPr>
          <w:p>
            <w:pPr>
              <w:spacing w:after="0"/>
            </w:pPr>
          </w:p>
        </w:tc>
        <w:tc>
          <w:tcPr>
            <w:tcW w:type="dxa" w:w="1520"/>
            <w:tcBorders>
              <w:top w:val="single" w:color="C9CED8" w:sz="4"/>
              <w:left w:val="single" w:color="C9CED8" w:sz="4"/>
              <w:bottom w:val="single" w:color="C9CED8" w:sz="4"/>
              <w:right w:val="single" w:color="C9CED8" w:sz="4"/>
            </w:tcBorders>
            <w:tcMar>
              <w:top w:type="dxa" w:w="60"/>
              <w:left w:type="dxa" w:w="100"/>
              <w:bottom w:type="dxa" w:w="60"/>
              <w:right w:type="dxa" w:w="100"/>
            </w:tcMar>
          </w:tcPr>
          <w:p>
            <w:pPr>
              <w:spacing w:after="0"/>
            </w:pPr>
            <w:r>
              <w:rPr>
                <w:rFonts w:ascii="Calibri" w:cs="Calibri" w:eastAsia="Calibri" w:hAnsi="Calibri"/>
                <w:sz w:val="19"/>
                <w:szCs w:val="19"/>
              </w:rPr>
              <w:t xml:space="preserve">ja</w:t>
            </w:r>
          </w:p>
        </w:tc>
        <w:tc>
          <w:tcPr>
            <w:tcW w:type="dxa" w:w="1996"/>
            <w:tcBorders>
              <w:top w:val="single" w:color="C9CED8" w:sz="4"/>
              <w:left w:val="single" w:color="C9CED8" w:sz="4"/>
              <w:bottom w:val="single" w:color="C9CED8" w:sz="4"/>
              <w:right w:val="single" w:color="C9CED8" w:sz="4"/>
            </w:tcBorders>
            <w:tcMar>
              <w:top w:type="dxa" w:w="60"/>
              <w:left w:type="dxa" w:w="100"/>
              <w:bottom w:type="dxa" w:w="60"/>
              <w:right w:type="dxa" w:w="100"/>
            </w:tcMar>
          </w:tcPr>
          <w:p>
            <w:pPr>
              <w:spacing w:after="0"/>
            </w:pPr>
          </w:p>
        </w:tc>
      </w:tr>
      <w:tr>
        <w:trPr>
          <w:cantSplit/>
          <w:tblHeader w:val="off"/>
        </w:trPr>
        <w:tc>
          <w:tcPr>
            <w:tcW w:type="dxa" w:w="4370"/>
            <w:tcBorders>
              <w:top w:val="single" w:color="C9CED8" w:sz="4"/>
              <w:left w:val="single" w:color="C9CED8" w:sz="4"/>
              <w:bottom w:val="single" w:color="C9CED8" w:sz="4"/>
              <w:right w:val="single" w:color="C9CED8" w:sz="4"/>
            </w:tcBorders>
            <w:tcMar>
              <w:top w:type="dxa" w:w="60"/>
              <w:left w:type="dxa" w:w="100"/>
              <w:bottom w:type="dxa" w:w="60"/>
              <w:right w:type="dxa" w:w="100"/>
            </w:tcMar>
          </w:tcPr>
          <w:p>
            <w:pPr>
              <w:spacing w:after="0"/>
            </w:pPr>
            <w:r>
              <w:rPr>
                <w:rFonts w:ascii="Calibri" w:cs="Calibri" w:eastAsia="Calibri" w:hAnsi="Calibri"/>
                <w:sz w:val="19"/>
                <w:szCs w:val="19"/>
              </w:rPr>
              <w:t xml:space="preserve">Patricia-account, netwerkroute, firewall</w:t>
            </w:r>
          </w:p>
        </w:tc>
        <w:tc>
          <w:tcPr>
            <w:tcW w:type="dxa" w:w="1140"/>
            <w:tcBorders>
              <w:top w:val="single" w:color="C9CED8" w:sz="4"/>
              <w:left w:val="single" w:color="C9CED8" w:sz="4"/>
              <w:bottom w:val="single" w:color="C9CED8" w:sz="4"/>
              <w:right w:val="single" w:color="C9CED8" w:sz="4"/>
            </w:tcBorders>
            <w:tcMar>
              <w:top w:type="dxa" w:w="60"/>
              <w:left w:type="dxa" w:w="100"/>
              <w:bottom w:type="dxa" w:w="60"/>
              <w:right w:type="dxa" w:w="100"/>
            </w:tcMar>
          </w:tcPr>
          <w:p>
            <w:pPr>
              <w:spacing w:after="0"/>
            </w:pPr>
          </w:p>
        </w:tc>
        <w:tc>
          <w:tcPr>
            <w:tcW w:type="dxa" w:w="1520"/>
            <w:tcBorders>
              <w:top w:val="single" w:color="C9CED8" w:sz="4"/>
              <w:left w:val="single" w:color="C9CED8" w:sz="4"/>
              <w:bottom w:val="single" w:color="C9CED8" w:sz="4"/>
              <w:right w:val="single" w:color="C9CED8" w:sz="4"/>
            </w:tcBorders>
            <w:tcMar>
              <w:top w:type="dxa" w:w="60"/>
              <w:left w:type="dxa" w:w="100"/>
              <w:bottom w:type="dxa" w:w="60"/>
              <w:right w:type="dxa" w:w="100"/>
            </w:tcMar>
          </w:tcPr>
          <w:p>
            <w:pPr>
              <w:spacing w:after="0"/>
            </w:pPr>
            <w:r>
              <w:rPr>
                <w:rFonts w:ascii="Calibri" w:cs="Calibri" w:eastAsia="Calibri" w:hAnsi="Calibri"/>
                <w:sz w:val="19"/>
                <w:szCs w:val="19"/>
              </w:rPr>
              <w:t xml:space="preserve">ja</w:t>
            </w:r>
          </w:p>
        </w:tc>
        <w:tc>
          <w:tcPr>
            <w:tcW w:type="dxa" w:w="1996"/>
            <w:tcBorders>
              <w:top w:val="single" w:color="C9CED8" w:sz="4"/>
              <w:left w:val="single" w:color="C9CED8" w:sz="4"/>
              <w:bottom w:val="single" w:color="C9CED8" w:sz="4"/>
              <w:right w:val="single" w:color="C9CED8" w:sz="4"/>
            </w:tcBorders>
            <w:tcMar>
              <w:top w:type="dxa" w:w="60"/>
              <w:left w:type="dxa" w:w="100"/>
              <w:bottom w:type="dxa" w:w="60"/>
              <w:right w:type="dxa" w:w="100"/>
            </w:tcMar>
          </w:tcPr>
          <w:p>
            <w:pPr>
              <w:spacing w:after="0"/>
            </w:pPr>
          </w:p>
        </w:tc>
      </w:tr>
      <w:tr>
        <w:trPr>
          <w:cantSplit/>
          <w:tblHeader w:val="off"/>
        </w:trPr>
        <w:tc>
          <w:tcPr>
            <w:tcW w:type="dxa" w:w="4370"/>
            <w:tcBorders>
              <w:top w:val="single" w:color="C9CED8" w:sz="4"/>
              <w:left w:val="single" w:color="C9CED8" w:sz="4"/>
              <w:bottom w:val="single" w:color="C9CED8" w:sz="4"/>
              <w:right w:val="single" w:color="C9CED8" w:sz="4"/>
            </w:tcBorders>
            <w:tcMar>
              <w:top w:type="dxa" w:w="60"/>
              <w:left w:type="dxa" w:w="100"/>
              <w:bottom w:type="dxa" w:w="60"/>
              <w:right w:type="dxa" w:w="100"/>
            </w:tcMar>
          </w:tcPr>
          <w:p>
            <w:pPr>
              <w:spacing w:after="0"/>
            </w:pPr>
            <w:r>
              <w:rPr>
                <w:rFonts w:ascii="Calibri" w:cs="Calibri" w:eastAsia="Calibri" w:hAnsi="Calibri"/>
                <w:sz w:val="19"/>
                <w:szCs w:val="19"/>
              </w:rPr>
              <w:t xml:space="preserve">Dockerfile, standalone-build, pijplijnscripts</w:t>
            </w:r>
          </w:p>
        </w:tc>
        <w:tc>
          <w:tcPr>
            <w:tcW w:type="dxa" w:w="1140"/>
            <w:tcBorders>
              <w:top w:val="single" w:color="C9CED8" w:sz="4"/>
              <w:left w:val="single" w:color="C9CED8" w:sz="4"/>
              <w:bottom w:val="single" w:color="C9CED8" w:sz="4"/>
              <w:right w:val="single" w:color="C9CED8" w:sz="4"/>
            </w:tcBorders>
            <w:tcMar>
              <w:top w:type="dxa" w:w="60"/>
              <w:left w:type="dxa" w:w="100"/>
              <w:bottom w:type="dxa" w:w="60"/>
              <w:right w:type="dxa" w:w="100"/>
            </w:tcMar>
          </w:tcPr>
          <w:p>
            <w:pPr>
              <w:spacing w:after="0"/>
            </w:pPr>
            <w:r>
              <w:rPr>
                <w:rFonts w:ascii="Calibri" w:cs="Calibri" w:eastAsia="Calibri" w:hAnsi="Calibri"/>
                <w:sz w:val="19"/>
                <w:szCs w:val="19"/>
              </w:rPr>
              <w:t xml:space="preserve">reviewt</w:t>
            </w:r>
          </w:p>
        </w:tc>
        <w:tc>
          <w:tcPr>
            <w:tcW w:type="dxa" w:w="1520"/>
            <w:tcBorders>
              <w:top w:val="single" w:color="C9CED8" w:sz="4"/>
              <w:left w:val="single" w:color="C9CED8" w:sz="4"/>
              <w:bottom w:val="single" w:color="C9CED8" w:sz="4"/>
              <w:right w:val="single" w:color="C9CED8" w:sz="4"/>
            </w:tcBorders>
            <w:tcMar>
              <w:top w:type="dxa" w:w="60"/>
              <w:left w:type="dxa" w:w="100"/>
              <w:bottom w:type="dxa" w:w="60"/>
              <w:right w:type="dxa" w:w="100"/>
            </w:tcMar>
          </w:tcPr>
          <w:p>
            <w:pPr>
              <w:spacing w:after="0"/>
            </w:pPr>
            <w:r>
              <w:rPr>
                <w:rFonts w:ascii="Calibri" w:cs="Calibri" w:eastAsia="Calibri" w:hAnsi="Calibri"/>
                <w:sz w:val="19"/>
                <w:szCs w:val="19"/>
              </w:rPr>
              <w:t xml:space="preserve">reviewt</w:t>
            </w:r>
          </w:p>
        </w:tc>
        <w:tc>
          <w:tcPr>
            <w:tcW w:type="dxa" w:w="1996"/>
            <w:tcBorders>
              <w:top w:val="single" w:color="C9CED8" w:sz="4"/>
              <w:left w:val="single" w:color="C9CED8" w:sz="4"/>
              <w:bottom w:val="single" w:color="C9CED8" w:sz="4"/>
              <w:right w:val="single" w:color="C9CED8" w:sz="4"/>
            </w:tcBorders>
            <w:tcMar>
              <w:top w:type="dxa" w:w="60"/>
              <w:left w:type="dxa" w:w="100"/>
              <w:bottom w:type="dxa" w:w="60"/>
              <w:right w:type="dxa" w:w="100"/>
            </w:tcMar>
          </w:tcPr>
          <w:p>
            <w:pPr>
              <w:spacing w:after="0"/>
            </w:pPr>
            <w:r>
              <w:rPr>
                <w:rFonts w:ascii="Calibri" w:cs="Calibri" w:eastAsia="Calibri" w:hAnsi="Calibri"/>
                <w:sz w:val="19"/>
                <w:szCs w:val="19"/>
              </w:rPr>
              <w:t xml:space="preserve">bouwt</w:t>
            </w:r>
          </w:p>
        </w:tc>
      </w:tr>
      <w:tr>
        <w:trPr>
          <w:cantSplit/>
          <w:tblHeader w:val="off"/>
        </w:trPr>
        <w:tc>
          <w:tcPr>
            <w:tcW w:type="dxa" w:w="4370"/>
            <w:tcBorders>
              <w:top w:val="single" w:color="C9CED8" w:sz="4"/>
              <w:left w:val="single" w:color="C9CED8" w:sz="4"/>
              <w:bottom w:val="single" w:color="C9CED8" w:sz="4"/>
              <w:right w:val="single" w:color="C9CED8" w:sz="4"/>
            </w:tcBorders>
            <w:tcMar>
              <w:top w:type="dxa" w:w="60"/>
              <w:left w:type="dxa" w:w="100"/>
              <w:bottom w:type="dxa" w:w="60"/>
              <w:right w:type="dxa" w:w="100"/>
            </w:tcMar>
          </w:tcPr>
          <w:p>
            <w:pPr>
              <w:spacing w:after="0"/>
            </w:pPr>
            <w:r>
              <w:rPr>
                <w:rFonts w:ascii="Calibri" w:cs="Calibri" w:eastAsia="Calibri" w:hAnsi="Calibri"/>
                <w:sz w:val="19"/>
                <w:szCs w:val="19"/>
              </w:rPr>
              <w:t xml:space="preserve">Migratie- en kopieerscripts, controlerapporten</w:t>
            </w:r>
          </w:p>
        </w:tc>
        <w:tc>
          <w:tcPr>
            <w:tcW w:type="dxa" w:w="1140"/>
            <w:tcBorders>
              <w:top w:val="single" w:color="C9CED8" w:sz="4"/>
              <w:left w:val="single" w:color="C9CED8" w:sz="4"/>
              <w:bottom w:val="single" w:color="C9CED8" w:sz="4"/>
              <w:right w:val="single" w:color="C9CED8" w:sz="4"/>
            </w:tcBorders>
            <w:tcMar>
              <w:top w:type="dxa" w:w="60"/>
              <w:left w:type="dxa" w:w="100"/>
              <w:bottom w:type="dxa" w:w="60"/>
              <w:right w:type="dxa" w:w="100"/>
            </w:tcMar>
          </w:tcPr>
          <w:p>
            <w:pPr>
              <w:spacing w:after="0"/>
            </w:pPr>
            <w:r>
              <w:rPr>
                <w:rFonts w:ascii="Calibri" w:cs="Calibri" w:eastAsia="Calibri" w:hAnsi="Calibri"/>
                <w:sz w:val="19"/>
                <w:szCs w:val="19"/>
              </w:rPr>
              <w:t xml:space="preserve">reviewt</w:t>
            </w:r>
          </w:p>
        </w:tc>
        <w:tc>
          <w:tcPr>
            <w:tcW w:type="dxa" w:w="1520"/>
            <w:tcBorders>
              <w:top w:val="single" w:color="C9CED8" w:sz="4"/>
              <w:left w:val="single" w:color="C9CED8" w:sz="4"/>
              <w:bottom w:val="single" w:color="C9CED8" w:sz="4"/>
              <w:right w:val="single" w:color="C9CED8" w:sz="4"/>
            </w:tcBorders>
            <w:tcMar>
              <w:top w:type="dxa" w:w="60"/>
              <w:left w:type="dxa" w:w="100"/>
              <w:bottom w:type="dxa" w:w="60"/>
              <w:right w:type="dxa" w:w="100"/>
            </w:tcMar>
          </w:tcPr>
          <w:p>
            <w:pPr>
              <w:spacing w:after="0"/>
            </w:pPr>
            <w:r>
              <w:rPr>
                <w:rFonts w:ascii="Calibri" w:cs="Calibri" w:eastAsia="Calibri" w:hAnsi="Calibri"/>
                <w:sz w:val="19"/>
                <w:szCs w:val="19"/>
              </w:rPr>
              <w:t xml:space="preserve">reviewt</w:t>
            </w:r>
          </w:p>
        </w:tc>
        <w:tc>
          <w:tcPr>
            <w:tcW w:type="dxa" w:w="1996"/>
            <w:tcBorders>
              <w:top w:val="single" w:color="C9CED8" w:sz="4"/>
              <w:left w:val="single" w:color="C9CED8" w:sz="4"/>
              <w:bottom w:val="single" w:color="C9CED8" w:sz="4"/>
              <w:right w:val="single" w:color="C9CED8" w:sz="4"/>
            </w:tcBorders>
            <w:tcMar>
              <w:top w:type="dxa" w:w="60"/>
              <w:left w:type="dxa" w:w="100"/>
              <w:bottom w:type="dxa" w:w="60"/>
              <w:right w:type="dxa" w:w="100"/>
            </w:tcMar>
          </w:tcPr>
          <w:p>
            <w:pPr>
              <w:spacing w:after="0"/>
            </w:pPr>
            <w:r>
              <w:rPr>
                <w:rFonts w:ascii="Calibri" w:cs="Calibri" w:eastAsia="Calibri" w:hAnsi="Calibri"/>
                <w:sz w:val="19"/>
                <w:szCs w:val="19"/>
              </w:rPr>
              <w:t xml:space="preserve">bouwt</w:t>
            </w:r>
          </w:p>
        </w:tc>
      </w:tr>
      <w:tr>
        <w:trPr>
          <w:cantSplit/>
          <w:tblHeader w:val="off"/>
        </w:trPr>
        <w:tc>
          <w:tcPr>
            <w:tcW w:type="dxa" w:w="4370"/>
            <w:tcBorders>
              <w:top w:val="single" w:color="C9CED8" w:sz="4"/>
              <w:left w:val="single" w:color="C9CED8" w:sz="4"/>
              <w:bottom w:val="single" w:color="C9CED8" w:sz="4"/>
              <w:right w:val="single" w:color="C9CED8" w:sz="4"/>
            </w:tcBorders>
            <w:tcMar>
              <w:top w:type="dxa" w:w="60"/>
              <w:left w:type="dxa" w:w="100"/>
              <w:bottom w:type="dxa" w:w="60"/>
              <w:right w:type="dxa" w:w="100"/>
            </w:tcMar>
          </w:tcPr>
          <w:p>
            <w:pPr>
              <w:spacing w:after="0"/>
            </w:pPr>
            <w:r>
              <w:rPr>
                <w:rFonts w:ascii="Calibri" w:cs="Calibri" w:eastAsia="Calibri" w:hAnsi="Calibri"/>
                <w:sz w:val="19"/>
                <w:szCs w:val="19"/>
              </w:rPr>
              <w:t xml:space="preserve">Gebruikerscommunicatie, onderhoudsvenster</w:t>
            </w:r>
          </w:p>
        </w:tc>
        <w:tc>
          <w:tcPr>
            <w:tcW w:type="dxa" w:w="1140"/>
            <w:tcBorders>
              <w:top w:val="single" w:color="C9CED8" w:sz="4"/>
              <w:left w:val="single" w:color="C9CED8" w:sz="4"/>
              <w:bottom w:val="single" w:color="C9CED8" w:sz="4"/>
              <w:right w:val="single" w:color="C9CED8" w:sz="4"/>
            </w:tcBorders>
            <w:tcMar>
              <w:top w:type="dxa" w:w="60"/>
              <w:left w:type="dxa" w:w="100"/>
              <w:bottom w:type="dxa" w:w="60"/>
              <w:right w:type="dxa" w:w="100"/>
            </w:tcMar>
          </w:tcPr>
          <w:p>
            <w:pPr>
              <w:spacing w:after="0"/>
            </w:pPr>
            <w:r>
              <w:rPr>
                <w:rFonts w:ascii="Calibri" w:cs="Calibri" w:eastAsia="Calibri" w:hAnsi="Calibri"/>
                <w:sz w:val="19"/>
                <w:szCs w:val="19"/>
              </w:rPr>
              <w:t xml:space="preserve">ja</w:t>
            </w:r>
          </w:p>
        </w:tc>
        <w:tc>
          <w:tcPr>
            <w:tcW w:type="dxa" w:w="1520"/>
            <w:tcBorders>
              <w:top w:val="single" w:color="C9CED8" w:sz="4"/>
              <w:left w:val="single" w:color="C9CED8" w:sz="4"/>
              <w:bottom w:val="single" w:color="C9CED8" w:sz="4"/>
              <w:right w:val="single" w:color="C9CED8" w:sz="4"/>
            </w:tcBorders>
            <w:tcMar>
              <w:top w:type="dxa" w:w="60"/>
              <w:left w:type="dxa" w:w="100"/>
              <w:bottom w:type="dxa" w:w="60"/>
              <w:right w:type="dxa" w:w="100"/>
            </w:tcMar>
          </w:tcPr>
          <w:p>
            <w:pPr>
              <w:spacing w:after="0"/>
            </w:pPr>
          </w:p>
        </w:tc>
        <w:tc>
          <w:tcPr>
            <w:tcW w:type="dxa" w:w="1996"/>
            <w:tcBorders>
              <w:top w:val="single" w:color="C9CED8" w:sz="4"/>
              <w:left w:val="single" w:color="C9CED8" w:sz="4"/>
              <w:bottom w:val="single" w:color="C9CED8" w:sz="4"/>
              <w:right w:val="single" w:color="C9CED8" w:sz="4"/>
            </w:tcBorders>
            <w:tcMar>
              <w:top w:type="dxa" w:w="60"/>
              <w:left w:type="dxa" w:w="100"/>
              <w:bottom w:type="dxa" w:w="60"/>
              <w:right w:type="dxa" w:w="100"/>
            </w:tcMar>
          </w:tcPr>
          <w:p>
            <w:pPr>
              <w:spacing w:after="0"/>
            </w:pPr>
            <w:r>
              <w:rPr>
                <w:rFonts w:ascii="Calibri" w:cs="Calibri" w:eastAsia="Calibri" w:hAnsi="Calibri"/>
                <w:sz w:val="19"/>
                <w:szCs w:val="19"/>
              </w:rPr>
              <w:t xml:space="preserve">helpt met teksten</w:t>
            </w:r>
          </w:p>
        </w:tc>
      </w:tr>
      <w:tr>
        <w:trPr>
          <w:cantSplit/>
          <w:tblHeader w:val="off"/>
        </w:trPr>
        <w:tc>
          <w:tcPr>
            <w:tcW w:type="dxa" w:w="4370"/>
            <w:tcBorders>
              <w:top w:val="single" w:color="C9CED8" w:sz="4"/>
              <w:left w:val="single" w:color="C9CED8" w:sz="4"/>
              <w:bottom w:val="single" w:color="C9CED8" w:sz="4"/>
              <w:right w:val="single" w:color="C9CED8" w:sz="4"/>
            </w:tcBorders>
            <w:tcMar>
              <w:top w:type="dxa" w:w="60"/>
              <w:left w:type="dxa" w:w="100"/>
              <w:bottom w:type="dxa" w:w="60"/>
              <w:right w:type="dxa" w:w="100"/>
            </w:tcMar>
          </w:tcPr>
          <w:p>
            <w:pPr>
              <w:spacing w:after="0"/>
            </w:pPr>
            <w:r>
              <w:rPr>
                <w:rFonts w:ascii="Calibri" w:cs="Calibri" w:eastAsia="Calibri" w:hAnsi="Calibri"/>
                <w:sz w:val="19"/>
                <w:szCs w:val="19"/>
              </w:rPr>
              <w:t xml:space="preserve">Rooktests en vergelijking per rol</w:t>
            </w:r>
          </w:p>
        </w:tc>
        <w:tc>
          <w:tcPr>
            <w:tcW w:type="dxa" w:w="1140"/>
            <w:tcBorders>
              <w:top w:val="single" w:color="C9CED8" w:sz="4"/>
              <w:left w:val="single" w:color="C9CED8" w:sz="4"/>
              <w:bottom w:val="single" w:color="C9CED8" w:sz="4"/>
              <w:right w:val="single" w:color="C9CED8" w:sz="4"/>
            </w:tcBorders>
            <w:tcMar>
              <w:top w:type="dxa" w:w="60"/>
              <w:left w:type="dxa" w:w="100"/>
              <w:bottom w:type="dxa" w:w="60"/>
              <w:right w:type="dxa" w:w="100"/>
            </w:tcMar>
          </w:tcPr>
          <w:p>
            <w:pPr>
              <w:spacing w:after="0"/>
            </w:pPr>
            <w:r>
              <w:rPr>
                <w:rFonts w:ascii="Calibri" w:cs="Calibri" w:eastAsia="Calibri" w:hAnsi="Calibri"/>
                <w:sz w:val="19"/>
                <w:szCs w:val="19"/>
              </w:rPr>
              <w:t xml:space="preserve">ja</w:t>
            </w:r>
          </w:p>
        </w:tc>
        <w:tc>
          <w:tcPr>
            <w:tcW w:type="dxa" w:w="1520"/>
            <w:tcBorders>
              <w:top w:val="single" w:color="C9CED8" w:sz="4"/>
              <w:left w:val="single" w:color="C9CED8" w:sz="4"/>
              <w:bottom w:val="single" w:color="C9CED8" w:sz="4"/>
              <w:right w:val="single" w:color="C9CED8" w:sz="4"/>
            </w:tcBorders>
            <w:tcMar>
              <w:top w:type="dxa" w:w="60"/>
              <w:left w:type="dxa" w:w="100"/>
              <w:bottom w:type="dxa" w:w="60"/>
              <w:right w:type="dxa" w:w="100"/>
            </w:tcMar>
          </w:tcPr>
          <w:p>
            <w:pPr>
              <w:spacing w:after="0"/>
            </w:pPr>
          </w:p>
        </w:tc>
        <w:tc>
          <w:tcPr>
            <w:tcW w:type="dxa" w:w="1996"/>
            <w:tcBorders>
              <w:top w:val="single" w:color="C9CED8" w:sz="4"/>
              <w:left w:val="single" w:color="C9CED8" w:sz="4"/>
              <w:bottom w:val="single" w:color="C9CED8" w:sz="4"/>
              <w:right w:val="single" w:color="C9CED8" w:sz="4"/>
            </w:tcBorders>
            <w:tcMar>
              <w:top w:type="dxa" w:w="60"/>
              <w:left w:type="dxa" w:w="100"/>
              <w:bottom w:type="dxa" w:w="60"/>
              <w:right w:type="dxa" w:w="100"/>
            </w:tcMar>
          </w:tcPr>
          <w:p>
            <w:pPr>
              <w:spacing w:after="0"/>
            </w:pPr>
            <w:r>
              <w:rPr>
                <w:rFonts w:ascii="Calibri" w:cs="Calibri" w:eastAsia="Calibri" w:hAnsi="Calibri"/>
                <w:sz w:val="19"/>
                <w:szCs w:val="19"/>
              </w:rPr>
              <w:t xml:space="preserve">helpt met testscripts</w:t>
            </w:r>
          </w:p>
        </w:tc>
      </w:tr>
      <w:tr>
        <w:trPr>
          <w:cantSplit/>
          <w:tblHeader w:val="off"/>
        </w:trPr>
        <w:tc>
          <w:tcPr>
            <w:tcW w:type="dxa" w:w="4370"/>
            <w:tcBorders>
              <w:top w:val="single" w:color="C9CED8" w:sz="4"/>
              <w:left w:val="single" w:color="C9CED8" w:sz="4"/>
              <w:bottom w:val="single" w:color="C9CED8" w:sz="4"/>
              <w:right w:val="single" w:color="C9CED8" w:sz="4"/>
            </w:tcBorders>
            <w:tcMar>
              <w:top w:type="dxa" w:w="60"/>
              <w:left w:type="dxa" w:w="100"/>
              <w:bottom w:type="dxa" w:w="60"/>
              <w:right w:type="dxa" w:w="100"/>
            </w:tcMar>
          </w:tcPr>
          <w:p>
            <w:pPr>
              <w:spacing w:after="0"/>
            </w:pPr>
            <w:r>
              <w:rPr>
                <w:rFonts w:ascii="Calibri" w:cs="Calibri" w:eastAsia="Calibri" w:hAnsi="Calibri"/>
                <w:sz w:val="19"/>
                <w:szCs w:val="19"/>
              </w:rPr>
              <w:t xml:space="preserve">Uitvoering van de overstap</w:t>
            </w:r>
          </w:p>
        </w:tc>
        <w:tc>
          <w:tcPr>
            <w:tcW w:type="dxa" w:w="1140"/>
            <w:tcBorders>
              <w:top w:val="single" w:color="C9CED8" w:sz="4"/>
              <w:left w:val="single" w:color="C9CED8" w:sz="4"/>
              <w:bottom w:val="single" w:color="C9CED8" w:sz="4"/>
              <w:right w:val="single" w:color="C9CED8" w:sz="4"/>
            </w:tcBorders>
            <w:tcMar>
              <w:top w:type="dxa" w:w="60"/>
              <w:left w:type="dxa" w:w="100"/>
              <w:bottom w:type="dxa" w:w="60"/>
              <w:right w:type="dxa" w:w="100"/>
            </w:tcMar>
          </w:tcPr>
          <w:p>
            <w:pPr>
              <w:spacing w:after="0"/>
            </w:pPr>
            <w:r>
              <w:rPr>
                <w:rFonts w:ascii="Calibri" w:cs="Calibri" w:eastAsia="Calibri" w:hAnsi="Calibri"/>
                <w:sz w:val="19"/>
                <w:szCs w:val="19"/>
              </w:rPr>
              <w:t xml:space="preserve">aanwezig</w:t>
            </w:r>
          </w:p>
        </w:tc>
        <w:tc>
          <w:tcPr>
            <w:tcW w:type="dxa" w:w="1520"/>
            <w:tcBorders>
              <w:top w:val="single" w:color="C9CED8" w:sz="4"/>
              <w:left w:val="single" w:color="C9CED8" w:sz="4"/>
              <w:bottom w:val="single" w:color="C9CED8" w:sz="4"/>
              <w:right w:val="single" w:color="C9CED8" w:sz="4"/>
            </w:tcBorders>
            <w:tcMar>
              <w:top w:type="dxa" w:w="60"/>
              <w:left w:type="dxa" w:w="100"/>
              <w:bottom w:type="dxa" w:w="60"/>
              <w:right w:type="dxa" w:w="100"/>
            </w:tcMar>
          </w:tcPr>
          <w:p>
            <w:pPr>
              <w:spacing w:after="0"/>
            </w:pPr>
            <w:r>
              <w:rPr>
                <w:rFonts w:ascii="Calibri" w:cs="Calibri" w:eastAsia="Calibri" w:hAnsi="Calibri"/>
                <w:sz w:val="19"/>
                <w:szCs w:val="19"/>
              </w:rPr>
              <w:t xml:space="preserve">voert uit</w:t>
            </w:r>
          </w:p>
        </w:tc>
        <w:tc>
          <w:tcPr>
            <w:tcW w:type="dxa" w:w="1996"/>
            <w:tcBorders>
              <w:top w:val="single" w:color="C9CED8" w:sz="4"/>
              <w:left w:val="single" w:color="C9CED8" w:sz="4"/>
              <w:bottom w:val="single" w:color="C9CED8" w:sz="4"/>
              <w:right w:val="single" w:color="C9CED8" w:sz="4"/>
            </w:tcBorders>
            <w:tcMar>
              <w:top w:type="dxa" w:w="60"/>
              <w:left w:type="dxa" w:w="100"/>
              <w:bottom w:type="dxa" w:w="60"/>
              <w:right w:type="dxa" w:w="100"/>
            </w:tcMar>
          </w:tcPr>
          <w:p>
            <w:pPr>
              <w:spacing w:after="0"/>
            </w:pPr>
            <w:r>
              <w:rPr>
                <w:rFonts w:ascii="Calibri" w:cs="Calibri" w:eastAsia="Calibri" w:hAnsi="Calibri"/>
                <w:sz w:val="19"/>
                <w:szCs w:val="19"/>
              </w:rPr>
              <w:t xml:space="preserve">ondersteunt</w:t>
            </w:r>
          </w:p>
        </w:tc>
      </w:tr>
      <w:tr>
        <w:trPr>
          <w:cantSplit/>
          <w:tblHeader w:val="off"/>
        </w:trPr>
        <w:tc>
          <w:tcPr>
            <w:tcW w:type="dxa" w:w="4370"/>
            <w:tcBorders>
              <w:top w:val="single" w:color="C9CED8" w:sz="4"/>
              <w:left w:val="single" w:color="C9CED8" w:sz="4"/>
              <w:bottom w:val="single" w:color="C9CED8" w:sz="4"/>
              <w:right w:val="single" w:color="C9CED8" w:sz="4"/>
            </w:tcBorders>
            <w:tcMar>
              <w:top w:type="dxa" w:w="60"/>
              <w:left w:type="dxa" w:w="100"/>
              <w:bottom w:type="dxa" w:w="60"/>
              <w:right w:type="dxa" w:w="100"/>
            </w:tcMar>
          </w:tcPr>
          <w:p>
            <w:pPr>
              <w:spacing w:after="0"/>
            </w:pPr>
            <w:r>
              <w:rPr>
                <w:rFonts w:ascii="Calibri" w:cs="Calibri" w:eastAsia="Calibri" w:hAnsi="Calibri"/>
                <w:sz w:val="19"/>
                <w:szCs w:val="19"/>
              </w:rPr>
              <w:t xml:space="preserve">Afbouw van Vercel en Supabase</w:t>
            </w:r>
          </w:p>
        </w:tc>
        <w:tc>
          <w:tcPr>
            <w:tcW w:type="dxa" w:w="1140"/>
            <w:tcBorders>
              <w:top w:val="single" w:color="C9CED8" w:sz="4"/>
              <w:left w:val="single" w:color="C9CED8" w:sz="4"/>
              <w:bottom w:val="single" w:color="C9CED8" w:sz="4"/>
              <w:right w:val="single" w:color="C9CED8" w:sz="4"/>
            </w:tcBorders>
            <w:tcMar>
              <w:top w:type="dxa" w:w="60"/>
              <w:left w:type="dxa" w:w="100"/>
              <w:bottom w:type="dxa" w:w="60"/>
              <w:right w:type="dxa" w:w="100"/>
            </w:tcMar>
          </w:tcPr>
          <w:p>
            <w:pPr>
              <w:spacing w:after="0"/>
            </w:pPr>
            <w:r>
              <w:rPr>
                <w:rFonts w:ascii="Calibri" w:cs="Calibri" w:eastAsia="Calibri" w:hAnsi="Calibri"/>
                <w:sz w:val="19"/>
                <w:szCs w:val="19"/>
              </w:rPr>
              <w:t xml:space="preserve">ja</w:t>
            </w:r>
          </w:p>
        </w:tc>
        <w:tc>
          <w:tcPr>
            <w:tcW w:type="dxa" w:w="1520"/>
            <w:tcBorders>
              <w:top w:val="single" w:color="C9CED8" w:sz="4"/>
              <w:left w:val="single" w:color="C9CED8" w:sz="4"/>
              <w:bottom w:val="single" w:color="C9CED8" w:sz="4"/>
              <w:right w:val="single" w:color="C9CED8" w:sz="4"/>
            </w:tcBorders>
            <w:tcMar>
              <w:top w:type="dxa" w:w="60"/>
              <w:left w:type="dxa" w:w="100"/>
              <w:bottom w:type="dxa" w:w="60"/>
              <w:right w:type="dxa" w:w="100"/>
            </w:tcMar>
          </w:tcPr>
          <w:p>
            <w:pPr>
              <w:spacing w:after="0"/>
            </w:pPr>
            <w:r>
              <w:rPr>
                <w:rFonts w:ascii="Calibri" w:cs="Calibri" w:eastAsia="Calibri" w:hAnsi="Calibri"/>
                <w:sz w:val="19"/>
                <w:szCs w:val="19"/>
              </w:rPr>
              <w:t xml:space="preserve">helpt</w:t>
            </w:r>
          </w:p>
        </w:tc>
        <w:tc>
          <w:tcPr>
            <w:tcW w:type="dxa" w:w="1996"/>
            <w:tcBorders>
              <w:top w:val="single" w:color="C9CED8" w:sz="4"/>
              <w:left w:val="single" w:color="C9CED8" w:sz="4"/>
              <w:bottom w:val="single" w:color="C9CED8" w:sz="4"/>
              <w:right w:val="single" w:color="C9CED8" w:sz="4"/>
            </w:tcBorders>
            <w:tcMar>
              <w:top w:type="dxa" w:w="60"/>
              <w:left w:type="dxa" w:w="100"/>
              <w:bottom w:type="dxa" w:w="60"/>
              <w:right w:type="dxa" w:w="100"/>
            </w:tcMar>
          </w:tcPr>
          <w:p>
            <w:pPr>
              <w:spacing w:after="0"/>
            </w:pPr>
          </w:p>
        </w:tc>
      </w:tr>
    </w:tbl>
    <w:p>
      <w:pPr>
        <w:spacing w:after="120"/>
      </w:pPr>
    </w:p>
    <w:p>
      <w:pPr>
        <w:pStyle w:val="Heading2"/>
      </w:pPr>
      <w:r>
        <w:rPr>
          <w:rFonts w:ascii="Calibri" w:cs="Calibri" w:eastAsia="Calibri" w:hAnsi="Calibri"/>
        </w:rPr>
        <w:t xml:space="preserve">9. Wat ik aanraad als eerste stappen</w:t>
      </w:r>
    </w:p>
    <w:p>
      <w:pPr>
        <w:pStyle w:val="ListParagraph"/>
        <w:numPr>
          <w:ilvl w:val="0"/>
          <w:numId w:val="4"/>
        </w:numPr>
        <w:spacing w:after="60"/>
      </w:pPr>
      <w:r>
        <w:rPr>
          <w:rFonts w:ascii="Calibri" w:cs="Calibri" w:eastAsia="Calibri" w:hAnsi="Calibri"/>
        </w:rPr>
        <w:t xml:space="preserve">Erwin en de beheerder lezen het overdrachtsdocument en vullen hoofdstuk 12 in.</w:t>
      </w:r>
    </w:p>
    <w:p>
      <w:pPr>
        <w:pStyle w:val="ListParagraph"/>
        <w:numPr>
          <w:ilvl w:val="0"/>
          <w:numId w:val="4"/>
        </w:numPr>
        <w:spacing w:after="60"/>
      </w:pPr>
      <w:r>
        <w:rPr>
          <w:rFonts w:ascii="Calibri" w:cs="Calibri" w:eastAsia="Calibri" w:hAnsi="Calibri"/>
        </w:rPr>
        <w:t xml:space="preserve">Besluit route A of B. Aanbeveling: A.</w:t>
      </w:r>
    </w:p>
    <w:p>
      <w:pPr>
        <w:pStyle w:val="ListParagraph"/>
        <w:numPr>
          <w:ilvl w:val="0"/>
          <w:numId w:val="4"/>
        </w:numPr>
        <w:spacing w:after="60"/>
      </w:pPr>
      <w:r>
        <w:rPr>
          <w:rFonts w:ascii="Calibri" w:cs="Calibri" w:eastAsia="Calibri" w:hAnsi="Calibri"/>
        </w:rPr>
        <w:t xml:space="preserve">Bij route A: fase 1 inplannen als korte proef.</w:t>
      </w:r>
    </w:p>
    <w:p>
      <w:pPr>
        <w:pStyle w:val="ListParagraph"/>
        <w:numPr>
          <w:ilvl w:val="0"/>
          <w:numId w:val="4"/>
        </w:numPr>
        <w:spacing w:after="60"/>
      </w:pPr>
      <w:r>
        <w:rPr>
          <w:rFonts w:ascii="Calibri" w:cs="Calibri" w:eastAsia="Calibri" w:hAnsi="Calibri"/>
        </w:rPr>
        <w:t xml:space="preserve">Zodra de proef slaagt: de Dockerfile en de pijplijn laten bouwen. De Patricia-branch blijft apart tot Azure draait (zie hoofdstuk 4).</w:t>
      </w:r>
    </w:p>
    <w:p>
      <w:pPr>
        <w:pStyle w:val="ListParagraph"/>
        <w:numPr>
          <w:ilvl w:val="0"/>
          <w:numId w:val="4"/>
        </w:numPr>
        <w:spacing w:after="60"/>
      </w:pPr>
      <w:r>
        <w:rPr>
          <w:rFonts w:ascii="Calibri" w:cs="Calibri" w:eastAsia="Calibri" w:hAnsi="Calibri"/>
        </w:rPr>
        <w:t xml:space="preserve">Op basis van de gemeten tijden in fase 3 pas het overstapmoment vastleggen.</w:t>
      </w:r>
    </w:p>
    <w:sectPr>
      <w:footerReference w:type="default" r:id="rId6"/>
      <w:pgSz w:w="11906" w:h="16838" w:orient="portrait"/>
      <w:pgMar w:top="1440" w:right="1440" w:bottom="1440" w:left="1440" w:header="708" w:footer="708" w:gutter="0"/>
      <w:pgNumType/>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right"/>
    </w:pPr>
    <w:r>
      <w:rPr>
        <w:rFonts w:ascii="Calibri" w:cs="Calibri" w:eastAsia="Calibri" w:hAnsi="Calibri"/>
        <w:color w:val="6B7280"/>
        <w:sz w:val="17"/>
        <w:szCs w:val="17"/>
      </w:rPr>
      <w:t xml:space="preserve">Pagina </w:t>
    </w:r>
    <w:r>
      <w:rPr>
        <w:rFonts w:ascii="Calibri" w:cs="Calibri" w:eastAsia="Calibri" w:hAnsi="Calibri"/>
        <w:color w:val="6B7280"/>
        <w:sz w:val="17"/>
        <w:szCs w:val="17"/>
      </w:rPr>
      <w:fldChar w:fldCharType="begin"/>
    </w:r>
    <w:r>
      <w:rPr>
        <w:rFonts w:ascii="Calibri" w:cs="Calibri" w:eastAsia="Calibri" w:hAnsi="Calibri"/>
        <w:color w:val="6B7280"/>
        <w:sz w:val="17"/>
        <w:szCs w:val="17"/>
      </w:rPr>
      <w:instrText xml:space="preserve">PAGE</w:instrText>
    </w:r>
    <w:r>
      <w:rPr>
        <w:rFonts w:ascii="Calibri" w:cs="Calibri" w:eastAsia="Calibri" w:hAnsi="Calibri"/>
        <w:color w:val="6B7280"/>
        <w:sz w:val="17"/>
        <w:szCs w:val="17"/>
      </w:rPr>
      <w:fldChar w:fldCharType="separate"/>
    </w:r>
    <w:r>
      <w:rPr>
        <w:rFonts w:ascii="Calibri" w:cs="Calibri" w:eastAsia="Calibri" w:hAnsi="Calibri"/>
        <w:color w:val="6B7280"/>
        <w:sz w:val="17"/>
        <w:szCs w:val="17"/>
      </w:rPr>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tentative="1">
      <w:start w:val="1"/>
      <w:numFmt w:val="bullet"/>
      <w:lvlText w:val="●"/>
      <w:lvlJc w:val="left"/>
      <w:pPr>
        <w:ind w:left="720" w:hanging="360"/>
      </w:pPr>
    </w:lvl>
    <w:lvl w:ilvl="1" w:tentative="1">
      <w:start w:val="1"/>
      <w:numFmt w:val="bullet"/>
      <w:lvlText w:val="○"/>
      <w:lvlJc w:val="left"/>
      <w:pPr>
        <w:ind w:left="1440" w:hanging="360"/>
      </w:pPr>
    </w:lvl>
    <w:lvl w:ilvl="2" w:tentative="1">
      <w:start w:val="1"/>
      <w:numFmt w:val="bullet"/>
      <w:lvlText w:val="■"/>
      <w:lvlJc w:val="left"/>
      <w:pPr>
        <w:ind w:left="2160" w:hanging="360"/>
      </w:pPr>
    </w:lvl>
    <w:lvl w:ilvl="3" w:tentative="1">
      <w:start w:val="1"/>
      <w:numFmt w:val="bullet"/>
      <w:lvlText w:val="●"/>
      <w:lvlJc w:val="left"/>
      <w:pPr>
        <w:ind w:left="2880" w:hanging="360"/>
      </w:pPr>
    </w:lvl>
    <w:lvl w:ilvl="4" w:tentative="1">
      <w:start w:val="1"/>
      <w:numFmt w:val="bullet"/>
      <w:lvlText w:val="○"/>
      <w:lvlJc w:val="left"/>
      <w:pPr>
        <w:ind w:left="3600" w:hanging="360"/>
      </w:pPr>
    </w:lvl>
    <w:lvl w:ilvl="5" w:tentative="1">
      <w:start w:val="1"/>
      <w:numFmt w:val="bullet"/>
      <w:lvlText w:val="■"/>
      <w:lvlJc w:val="left"/>
      <w:pPr>
        <w:ind w:left="4320" w:hanging="360"/>
      </w:pPr>
    </w:lvl>
    <w:lvl w:ilvl="6" w:tentative="1">
      <w:start w:val="1"/>
      <w:numFmt w:val="bullet"/>
      <w:lvlText w:val="●"/>
      <w:lvlJc w:val="left"/>
      <w:pPr>
        <w:ind w:left="5040" w:hanging="360"/>
      </w:pPr>
    </w:lvl>
    <w:lvl w:ilvl="7" w:tentative="1">
      <w:start w:val="1"/>
      <w:numFmt w:val="bullet"/>
      <w:lvlText w:val="●"/>
      <w:lvlJc w:val="left"/>
      <w:pPr>
        <w:ind w:left="5760" w:hanging="360"/>
      </w:pPr>
    </w:lvl>
    <w:lvl w:ilvl="8" w:tentative="1">
      <w:start w:val="1"/>
      <w:numFmt w:val="bullet"/>
      <w:lvlText w:val="●"/>
      <w:lvlJc w:val="left"/>
      <w:pPr>
        <w:ind w:left="6480" w:hanging="360"/>
      </w:pPr>
    </w:lvl>
  </w:abstractNum>
  <w:abstractNum w:abstractNumId="2" w15:restartNumberingAfterBreak="0">
    <w:multiLevelType w:val="hybridMultilevel"/>
    <w:lvl w:ilvl="0" w:tentative="1">
      <w:start w:val="1"/>
      <w:numFmt w:val="bullet"/>
      <w:lvlText w:val="•"/>
      <w:lvlJc w:val="left"/>
      <w:pPr>
        <w:ind w:left="540" w:hanging="270"/>
      </w:pPr>
    </w:lvl>
  </w:abstractNum>
  <w:abstractNum w:abstractNumId="3" w15:restartNumberingAfterBreak="0">
    <w:multiLevelType w:val="hybridMultilevel"/>
    <w:lvl w:ilvl="0" w:tentative="1">
      <w:start w:val="1"/>
      <w:numFmt w:val="decimal"/>
      <w:lvlText w:val="%1."/>
      <w:lvlJc w:val="left"/>
      <w:pPr>
        <w:ind w:left="540" w:hanging="360"/>
      </w:pPr>
    </w:lvl>
  </w:abstractNum>
  <w:abstractNum w:abstractNumId="4" w15:restartNumberingAfterBreak="0">
    <w:multiLevelType w:val="hybridMultilevel"/>
    <w:lvl w:ilvl="0" w:tentative="1">
      <w:start w:val="1"/>
      <w:numFmt w:val="decimal"/>
      <w:lvlText w:val="%1."/>
      <w:lvlJc w:val="left"/>
      <w:pPr>
        <w:ind w:left="540" w:hanging="360"/>
      </w:pPr>
    </w:lvl>
  </w:abstractNum>
  <w:num w:numId="1">
    <w:abstractNumId w:val="1"/>
    <w:lvlOverride w:ilvl="0">
      <w:startOverride w:val="1"/>
    </w:lvlOverride>
  </w:num>
  <w:num w:numId="2">
    <w:abstractNumId w:val="2"/>
    <w:lvlOverride w:ilvl="0">
      <w:startOverride w:val="1"/>
    </w:lvlOverride>
  </w:num>
  <w:num w:numId="3">
    <w:abstractNumId w:val="3"/>
    <w:lvlOverride w:ilvl="0">
      <w:startOverride w:val="1"/>
    </w:lvlOverride>
  </w:num>
  <w:num w:numId="4">
    <w:abstractNumId w:val="4"/>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defaultTabStop w:val="720"/>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sz w:val="21"/>
        <w:szCs w:val="21"/>
      </w:rPr>
    </w:rPrDefault>
    <w:pPrDefault/>
  </w:docDefaults>
  <w:style w:type="paragraph" w:styleId="Normal" w:default="1">
    <w:name w:val="Normal"/>
    <w:qFormat/>
  </w:style>
  <w:style w:type="table" w:styleId="TableNormal" w:default="true">
    <w:name w:val="Normal Table"/>
    <w:uiPriority w:val="99"/>
    <w:semiHidden/>
    <w:unhideWhenUsed/>
    <w:tblPr>
      <w:tblInd w:type="dxa" w:w="0"/>
      <w:tblCellMar>
        <w:top w:type="dxa" w:w="0"/>
        <w:left w:type="dxa" w:w="108"/>
        <w:bottom w:type="dxa" w:w="0"/>
        <w:right w:type="dxa" w:w="108"/>
      </w:tblCellMar>
    </w:tblPr>
  </w:style>
  <w:style w:type="paragraph" w:styleId="Title">
    <w:name w:val="Title"/>
    <w:basedOn w:val="Normal"/>
    <w:next w:val="Normal"/>
    <w:qFormat/>
    <w:rPr>
      <w:sz w:val="56"/>
      <w:szCs w:val="56"/>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paragraph" w:styleId="Caption">
    <w:name w:val="caption"/>
    <w:basedOn w:val="Normal"/>
    <w:next w:val="Normal"/>
    <w:uiPriority w:val="35"/>
    <w:semiHidden/>
    <w:unhideWhenUsed/>
    <w:qFormat/>
    <w:pPr>
      <w:spacing w:after="200"/>
    </w:pPr>
    <w:rPr>
      <w:i/>
      <w:iCs/>
      <w:color w:val="44546A" w:themeColor="dark2"/>
      <w:sz w:val="18"/>
      <w:szCs w:val="18"/>
    </w:rPr>
  </w:style>
  <w:style w:type="paragraph" w:styleId="Bibliography">
    <w:name w:val="Bibliography"/>
    <w:basedOn w:val="Normal"/>
    <w:next w:val="Normal"/>
    <w:uiPriority w:val="37"/>
    <w:unhideWhenUsed/>
  </w:style>
  <w:style w:type="paragraph" w:styleId="TOC1">
    <w:name w:val="toc 1"/>
    <w:basedOn w:val="Normal"/>
    <w:next w:val="Normal"/>
    <w:uiPriority w:val="39"/>
    <w:semiHidden/>
    <w:unhideWhenUsed/>
    <w:pPr>
      <w:spacing w:after="100"/>
    </w:pPr>
  </w:style>
  <w:style w:type="paragraph" w:styleId="TOC2">
    <w:name w:val="toc 2"/>
    <w:basedOn w:val="Normal"/>
    <w:next w:val="Normal"/>
    <w:uiPriority w:val="39"/>
    <w:semiHidden/>
    <w:unhideWhenUsed/>
    <w:pPr>
      <w:spacing w:after="100"/>
      <w:ind w:left="210"/>
    </w:pPr>
  </w:style>
  <w:style w:type="paragraph" w:styleId="TOC3">
    <w:name w:val="toc 3"/>
    <w:basedOn w:val="Normal"/>
    <w:next w:val="Normal"/>
    <w:uiPriority w:val="39"/>
    <w:semiHidden/>
    <w:unhideWhenUsed/>
    <w:pPr>
      <w:spacing w:after="100"/>
      <w:ind w:left="420"/>
    </w:pPr>
  </w:style>
  <w:style w:type="paragraph" w:styleId="TOC4">
    <w:name w:val="toc 4"/>
    <w:basedOn w:val="Normal"/>
    <w:next w:val="Normal"/>
    <w:uiPriority w:val="39"/>
    <w:semiHidden/>
    <w:unhideWhenUsed/>
    <w:pPr>
      <w:spacing w:after="100"/>
      <w:ind w:left="630"/>
    </w:pPr>
  </w:style>
  <w:style w:type="paragraph" w:styleId="TOC5">
    <w:name w:val="toc 5"/>
    <w:basedOn w:val="Normal"/>
    <w:next w:val="Normal"/>
    <w:uiPriority w:val="39"/>
    <w:semiHidden/>
    <w:unhideWhenUsed/>
    <w:pPr>
      <w:spacing w:after="100"/>
      <w:ind w:left="840"/>
    </w:pPr>
  </w:style>
  <w:style w:type="paragraph" w:styleId="TOC6">
    <w:name w:val="toc 6"/>
    <w:basedOn w:val="Normal"/>
    <w:next w:val="Normal"/>
    <w:uiPriority w:val="39"/>
    <w:semiHidden/>
    <w:unhideWhenUsed/>
    <w:pPr>
      <w:spacing w:after="100"/>
      <w:ind w:left="1050"/>
    </w:pPr>
  </w:style>
  <w:style w:type="paragraph" w:styleId="TOC7">
    <w:name w:val="toc 7"/>
    <w:basedOn w:val="Normal"/>
    <w:next w:val="Normal"/>
    <w:uiPriority w:val="39"/>
    <w:semiHidden/>
    <w:unhideWhenUsed/>
    <w:pPr>
      <w:spacing w:after="100"/>
      <w:ind w:left="1260"/>
    </w:pPr>
  </w:style>
  <w:style w:type="paragraph" w:styleId="TOC8">
    <w:name w:val="toc 8"/>
    <w:basedOn w:val="Normal"/>
    <w:next w:val="Normal"/>
    <w:uiPriority w:val="39"/>
    <w:semiHidden/>
    <w:unhideWhenUsed/>
    <w:pPr>
      <w:spacing w:after="100"/>
      <w:ind w:left="1470"/>
    </w:pPr>
  </w:style>
  <w:style w:type="paragraph" w:styleId="TOC9">
    <w:name w:val="toc 9"/>
    <w:basedOn w:val="Normal"/>
    <w:next w:val="Normal"/>
    <w:uiPriority w:val="39"/>
    <w:semiHidden/>
    <w:unhideWhenUsed/>
    <w:pPr>
      <w:spacing w:after="100"/>
      <w:ind w:left="1680"/>
    </w:pPr>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character" w:styleId="LineNumber">
    <w:name w:val="line number"/>
    <w:basedOn w:val="DefaultParagraphFont"/>
    <w:uiPriority w:val="99"/>
    <w:semiHidden/>
    <w:unhideWhenUsed/>
  </w:style>
  <w:style w:type="paragraph" w:styleId="Heading1">
    <w:name w:val="Heading 1"/>
    <w:basedOn w:val="Normal"/>
    <w:next w:val="Normal"/>
    <w:qFormat/>
    <w:pPr>
      <w:spacing w:after="200" w:before="120"/>
      <w:outlineLvl w:val="0"/>
    </w:pPr>
    <w:rPr>
      <w:rFonts w:ascii="Calibri" w:cs="Calibri" w:eastAsia="Calibri" w:hAnsi="Calibri"/>
      <w:b/>
      <w:bCs/>
      <w:color w:val="0F1B3D"/>
      <w:sz w:val="36"/>
      <w:szCs w:val="36"/>
    </w:rPr>
  </w:style>
  <w:style w:type="paragraph" w:styleId="Heading2">
    <w:name w:val="Heading 2"/>
    <w:basedOn w:val="Normal"/>
    <w:next w:val="Normal"/>
    <w:qFormat/>
    <w:pPr>
      <w:spacing w:after="140" w:before="320"/>
      <w:outlineLvl w:val="1"/>
    </w:pPr>
    <w:rPr>
      <w:rFonts w:ascii="Calibri" w:cs="Calibri" w:eastAsia="Calibri" w:hAnsi="Calibri"/>
      <w:b/>
      <w:bCs/>
      <w:color w:val="0F1B3D"/>
      <w:sz w:val="28"/>
      <w:szCs w:val="28"/>
    </w:rPr>
  </w:style>
  <w:style w:type="paragraph" w:styleId="Heading3">
    <w:name w:val="Heading 3"/>
    <w:basedOn w:val="Normal"/>
    <w:next w:val="Normal"/>
    <w:qFormat/>
    <w:pPr>
      <w:spacing w:after="100" w:before="220"/>
      <w:outlineLvl w:val="2"/>
    </w:pPr>
    <w:rPr>
      <w:rFonts w:ascii="Calibri" w:cs="Calibri" w:eastAsia="Calibri" w:hAnsi="Calibri"/>
      <w:b/>
      <w:bCs/>
      <w:color w:val="0F1B3D"/>
      <w:sz w:val="23"/>
      <w:szCs w:val="23"/>
    </w:rPr>
  </w:style>
</w:style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footer" Target="footer1.xml"/><Relationship Id="rId7" Type="http://schemas.openxmlformats.org/officeDocument/2006/relationships/theme" Target="theme/theme1.xml"/><Relationship Id="rId8"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true">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false"/>
        </a:gradFill>
        <a:gradFill rotWithShape="true">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false"/>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false">
              <a:srgbClr val="000000">
                <a:alpha val="63000"/>
              </a:srgbClr>
            </a:outerShdw>
          </a:effectLst>
        </a:effectStyle>
      </a:effectStyleLst>
      <a:bgFillStyleLst>
        <a:solidFill>
          <a:schemeClr val="phClr"/>
        </a:solidFill>
        <a:solidFill>
          <a:schemeClr val="phClr">
            <a:tint val="95000"/>
            <a:satMod val="170000"/>
          </a:schemeClr>
        </a:solidFill>
        <a:gradFill rotWithShape="true">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false"/>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2026-10-23T09:17:52.664Z</dcterms:created>
  <dcterms:modified xsi:type="dcterms:W3CDTF">2026-10-23T09:17:52.666Z</dcterms:modified>
</cp:coreProperties>
</file>

<file path=docProps/custom.xml><?xml version="1.0" encoding="utf-8"?>
<Properties xmlns="http://schemas.openxmlformats.org/officeDocument/2006/custom-properties" xmlns:vt="http://schemas.openxmlformats.org/officeDocument/2006/docPropsVTypes"/>
</file>