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Ditto 节点体系覆盖与案例映射</w:t>
      </w:r>
    </w:p>
    <w:p>
      <w:r>
        <w:t>本说明将六个已有测试案例映射到 dev 当前声明的 22 个 Node Type。18 个固定契约和 4 个已有扩展的完整输入输出见 节点 API 规范。RAG 的知识检索与生命周期归 MEMORY，外部工具访问归 INTERACTION，不新增独立节点类。</w:t>
      </w:r>
    </w:p>
    <w:p>
      <w:r>
        <w:t>案例任务和交付约束沿用《节点体系覆盖》。展示统一采用“案例标题、任务、任务说明、顺序/节点/操作内容表”的格式。案例一的 23 行来自本次提供的完整截图；其余案例保留原文档图片中可见的 10、10、10、10、8 行，不补写未提供的电子表格行。完成状态、分数及日志以原测试记录为准，名称校正本身不构成一次测试执行。</w:t>
      </w:r>
    </w:p>
    <w:p>
      <w:pPr>
        <w:pStyle w:val="Heading2"/>
      </w:pPr>
      <w:r>
        <w:t>当前节点名录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041"/>
        <w:gridCol w:w="794"/>
        <w:gridCol w:w="7030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能力域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已声明操作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INFER、DELIBERATE、REFLECT、SAMPLE、GENERATE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LOAD、SELECT、UPDATE、COMPRESS、RESET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RETRIEVE、WRITE、UPDATE、CONSOLIDATE、EVICT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ACT、OBSERVE、COMMUNICATE、OUTPUT、RUN、TOOL、SKILL</w:t>
            </w:r>
          </w:p>
        </w:tc>
      </w:tr>
    </w:tbl>
    <w:p>
      <w:pPr>
        <w:spacing w:after="20"/>
      </w:pPr>
    </w:p>
    <w:p>
      <w:r>
        <w:t>全名由能力域和操作名组成。GENERATE、RUN、TOOL、SKILL 为已有扩展，其余 18 项为固定基线。Node 类型与输入输出以仓库节点 API 规范为准。</w:t>
      </w:r>
    </w:p>
    <w:p>
      <w:pPr>
        <w:pStyle w:val="Heading1"/>
      </w:pPr>
      <w:r>
        <w:t>统一归类规则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466"/>
        <w:gridCol w:w="2835"/>
        <w:gridCol w:w="4564"/>
      </w:tblGrid>
      <w:tr>
        <w:trPr>
          <w:cantSplit/>
          <w:tblHeader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原说明中的标签或行为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当前归属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映射要求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CONTEXT.PROMPT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Graph bind 或应用输入装配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已有上下文装入或修改时才使用 CONTEXT.LOAD/UPDATE；只有取用已注册 Skill 才使用 INTERACTION.SKILL。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CONTEXT.SCHEDULE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应用编排与已有上下文、记忆节点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持久化调用 MEMORY.WRITE/UPDATE；当前条目选择或压缩使用 CONTEXT.SELECT/COMPRESS。没有同名节点。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INTERACTION.MCP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应用连接与发现；执行使用 INTERACTION.TOOL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连接、认证、listTools 和注册发生在应用启动；工具调用以 name/arguments 输入。MCP resources 读取需应用客户端适配，不是 Core 已提供的工具发现功能。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接收问题标为 INTERACTION.COMMUNICATE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应用任务入口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COMMUNICATE 必须有发送的 message 和 recipients；接收自然语言输入不满足此调用语义。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选择检索路线标为 CONTEXT.SELECT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比较候选方案属于决策；SELECT 只对已有 Context 条目按 query 筛选。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任意历史文件或业务数据库标为 MEMORY.RETRIEVE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按数据职责区分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受管理的持久知识或经验才用 MEMORY；临时文件和实时业务状态查询使用 TOOL，再加载上下文。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ACT 与 TOOL 表示同一调用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按实际接口选一个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ACT 接收 action 并返回 Message；TOOL 接收 name/arguments 并返回 JsonValue。包装可组合，但不得把同一副作用算成两次独立能力。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评估、审批、重试、成本统计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测试侧或应用策略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不新增节点。真正执行验证工具可归 TOOL/ACT；推理、提示词和 COMMUNICATE 不代替实际授权检查。</w:t>
            </w:r>
          </w:p>
        </w:tc>
      </w:tr>
    </w:tbl>
    <w:p>
      <w:pPr>
        <w:spacing w:after="20"/>
      </w:pPr>
    </w:p>
    <w:p>
      <w:r>
        <w:t>REASONING.GENERATE、INTERACTION.RUN、INTERACTION.TOOL、INTERACTION.SKILL 都是 dev 已声明的扩展。展示可使用它们，但不为凑齐 22 个节点在已有案例中插入新行为。RUN 内部的模型/工具步骤不自动证明使用了其余 18 个固定节点；需要按实际 handler 调用记录覆盖。</w:t>
      </w:r>
    </w:p>
    <w:p>
      <w:pPr>
        <w:pStyle w:val="Heading1"/>
      </w:pPr>
      <w:r>
        <w:t>RAG 的现有节点映射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466"/>
        <w:gridCol w:w="2835"/>
        <w:gridCol w:w="4564"/>
      </w:tblGrid>
      <w:tr>
        <w:trPr>
          <w:cantSplit/>
          <w:tblHeader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现有节点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获取外部资料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 或 INTERACTION.ACT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网页、文件、第三方搜索或知识 API 的工具访问。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持久化知识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MEMORY.WRITE 与 MEMORY.UPDATE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解析、分块、Embedding、索引维护属于 handler 实现；更新沿用既有 id。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检索受管理知识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MEMORY.RETRIEVE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包含关键词、向量、混合召回和库内重排；远程数据库不改变 Memory 归属。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合并、去重与淘汰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MEMORY.CONSOLIDATE 与 MEMORY.EVICT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处理具体记忆条目或 id 引用。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证据进入当前上下文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CONTEXT.LOAD、CONTEXT.SELECT、CONTEXT.COMPRESS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使用检索到的 item.message；上下文操作仍归现有 Context。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生成并交付答案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 或 REASONING.GENERATE；INTERACTION.OUTPUT</w:t>
            </w:r>
          </w:p>
        </w:tc>
        <w:tc>
          <w:tcPr>
            <w:tcW w:type="dxa" w:w="4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GENERATE 需要字符串 ModelMessage 和工具关联字段，不能直接传 MemoryItem[]。</w:t>
            </w:r>
          </w:p>
        </w:tc>
      </w:tr>
    </w:tbl>
    <w:p>
      <w:pPr>
        <w:spacing w:after="20"/>
      </w:pPr>
    </w:p>
    <w:p>
      <w:r>
        <w:t>输入装配使用已有字段：RETRIEVE 的 query、LOAD 的 sources、UPDATE 的 context/items、WRITE 的 memories、TOOL 的 name/arguments。URI、分数和证据片段放入 Message.content 已允许的 JSON 或 Reference，不能增加未经定义的顶层 metadata。</w:t>
      </w:r>
    </w:p>
    <w:p>
      <w:pPr>
        <w:pStyle w:val="Heading1"/>
      </w:pPr>
      <w:r>
        <w:t>案例一 SWE-bench 真实代码修复</w:t>
      </w:r>
    </w:p>
    <w:p>
      <w:pPr>
        <w:pStyle w:val="Heading2"/>
      </w:pPr>
      <w:r>
        <w:t>任务</w:t>
      </w:r>
    </w:p>
    <w:p>
      <w:r>
        <w:t>从 SWE-bench Verified 选择一个真实 GitHub Issue，加载对应 commit 的代码仓库。Agent 需要定位缺陷、修改代码、运行测试，并提交 patch 和验证证据。</w:t>
      </w:r>
    </w:p>
    <w:p>
      <w:r>
        <w:t>所有修改发生在一次性容器或临时 worktree 中，不推送到真实 GitHub。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INTERACTION.COMMUNICATE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 Issue 描述、仓库版本和交付要求；recipients 指向处理该任务的 Agent/Worker。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 Issue、仓库树、基线 commit 和测试命令。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MEMORY.RETRIEVE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检索仓库历史约定、已知构建问题和此前修复经验；必须有实际持久经验库。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从已加载上下文中选择与报错堆栈、符号和模块相关的证据。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INTERACTION.SKILL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读取已注册的代码修复约束，例如只修改必要文件、不得绕过测试；若未注册 Skill，则由 Graph bind 装配这些约束。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形成第一版故障假设。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使用代码搜索、文件读取和 Git diff 等已注册工具。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接收符号引用、调用路径和当前代码实现。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将新发现的调用关系加入工作上下文。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REASONING.SAMPLE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按 count 生成多个修复候选，包括边界检查、状态修正和接口修正。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比较候选的兼容性、影响范围和回归风险。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编辑选定文件并执行目标测试。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接收测试失败、堆栈、覆盖率或 lint 结果。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REASONING.REFLECT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对照原假设分析修复未通过的原因。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CONTEXT.COMPRESS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将长测试日志压缩为失败断言、涉及文件和关键变量。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用压缩后的证据更新修复状态。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再次修改，并运行目标测试和回归测试。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接收最终测试结果和 Git diff。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MEMORY.WRITE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写入“问题、根因、修复、测试证据”的任务记忆。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MEMORY.CONSOLIDATE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将多次失败经验合并为一条仓库级经验。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MEMORY.WRITE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将完整日志或日志 Reference 写入持久存储；最终 diff 和测试摘要已在步骤 15–16 保留于当前上下文。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MEMORY.EVICT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淘汰无价值的临时搜索结果和过期故障假设。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INTERACTION.OUTPUT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输出 patch、修改说明、测试结果和剩余风险。</w:t>
            </w:r>
          </w:p>
        </w:tc>
      </w:tr>
    </w:tbl>
    <w:p>
      <w:pPr>
        <w:spacing w:after="20"/>
      </w:pPr>
    </w:p>
    <w:p>
      <w:r>
        <w:t>交付与验证：任务正文要求的修改和测试通过已注册 TOOL 执行；结果由 OUTPUT 交付。patch、基线 commit、测试命令和实际输出构成验证证据。不能用 INFER 的“测试通过”文本代替执行结果。</w:t>
      </w:r>
    </w:p>
    <w:p>
      <w:pPr>
        <w:pStyle w:val="Heading1"/>
      </w:pPr>
      <w:r>
        <w:t>案例二 GAIA 多源事实调查</w:t>
      </w:r>
    </w:p>
    <w:p>
      <w:pPr>
        <w:pStyle w:val="Heading2"/>
      </w:pPr>
      <w:r>
        <w:t>任务</w:t>
      </w:r>
    </w:p>
    <w:p>
      <w:r>
        <w:t>从 GAIA 公开验证集选择一个需要网页检索、附件读取和数值计算的问题。Agent 必须提交精确答案，并保留来源、计算过程摘要和冲突处理记录。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INTERACTION.COMMUNICATE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接收自然语言问题、附件和答案格式。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加载问题、文件、日期限制及评测格式。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将来源优先级、引用要求和禁止猜测规则加入工作上下文。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将问题拆成待验证事实和计算步骤。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REASONING.SAMPLE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按 count 产生多个检索路线和关键词组合。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比较候选路线并选择检索方案。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调用网页搜索、浏览器、PDF 或表格读取工具。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接收网页、文档、表格和来源信息。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将来源、日期、事实和可信度加入当前上下文。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排除转载摘要、时间不符或缺乏原始证据的条目。</w:t>
            </w:r>
          </w:p>
        </w:tc>
      </w:tr>
    </w:tbl>
    <w:p>
      <w:pPr>
        <w:spacing w:after="20"/>
      </w:pPr>
    </w:p>
    <w:p>
      <w:r>
        <w:t>交付与验证：计算使用任务配置的工具，答案及来源由 OUTPUT 交付。官方答案比对属于测试侧。此案例的公开网页搜索不自动计为长期 Memory 检索；只有已有测试实际使用持久知识库时才记录相应 Memory 调用。</w:t>
      </w:r>
    </w:p>
    <w:p>
      <w:pPr>
        <w:pStyle w:val="Heading1"/>
      </w:pPr>
      <w:r>
        <w:t>案例三 τ²-bench 客户服务事务</w:t>
      </w:r>
    </w:p>
    <w:p>
      <w:pPr>
        <w:pStyle w:val="Heading2"/>
      </w:pPr>
      <w:r>
        <w:t>任务</w:t>
      </w:r>
    </w:p>
    <w:p>
      <w:r>
        <w:t>从 Airline 或 Retail 域选择一个涉及订单、预订、退款或换货的任务。Agent 与用户模拟器对话，读取企业政策和客户状态，在满足条件后修改沙箱数据库。</w:t>
      </w:r>
    </w:p>
    <w:p>
      <w:r>
        <w:t>这个案例重点验证“Agent 有权提出操作”和“Agent 有权真正执行操作”之间的区别。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INTERACTION.COMMUNICATE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接收用户的取消、改签、退款或换货请求。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加载当前对话、业务域和可用工具说明。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MEMORY.RETRIEVE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检索已持久化的客户交互经验；实时客户资料仍通过 TOOL 查询。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查询客户、订单、航班或商品状态。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接收真实沙箱业务记录。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将订单状态、金额、时间和身份信息加入当前上下文。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INTERACTION.SKILL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读取已注册的退款政策、身份校验和审批边界；真实权限仍由工具和 Sandbox 检查。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判断用户请求对应的事务类型。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检查政策条件、费用、资格和互斥操作。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只保留当前决定需要的客户与政策字段。</w:t>
            </w:r>
          </w:p>
        </w:tc>
      </w:tr>
    </w:tbl>
    <w:p>
      <w:pPr>
        <w:spacing w:after="20"/>
      </w:pPr>
    </w:p>
    <w:p>
      <w:r>
        <w:t>交付与验证：向用户模拟器提出确认或澄清时用 COMMUNICATE，并提供真实 recipients；满足授权条件后由 TOOL 或 ACT 执行变更。以沙箱数据库最终状态和官方验证结果为准，不将建议、确认消息或上下文修改当作已执行退款。</w:t>
      </w:r>
    </w:p>
    <w:p>
      <w:pPr>
        <w:pStyle w:val="Heading1"/>
      </w:pPr>
      <w:r>
        <w:t>案例四 MCPMark Verified 跨系统 CRUD</w:t>
      </w:r>
    </w:p>
    <w:p>
      <w:pPr>
        <w:pStyle w:val="Heading2"/>
      </w:pPr>
      <w:r>
        <w:t>任务</w:t>
      </w:r>
    </w:p>
    <w:p>
      <w:r>
        <w:t>从 MCPMark Verified 选择涉及 GitHub、Notion、Filesystem、Postgres 或 Playwright 的正式任务。Agent 必须先通过 MCP 发现能力，再完成查询、创建、更新、关联或删除等操作。</w:t>
      </w:r>
    </w:p>
    <w:p>
      <w:r>
        <w:t>正式验证时使用官方发布任务及 verifier，不自行编写更简单的替代任务。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INTERACTION.COMMUNICATE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接收任务目标和允许操作的 MCP server 范围。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加载任务初始状态和 verifier 条件。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应用启动（非 Node）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初始化 MCP session，通过 registerMcpTools 发现并注册 tools；MCP resources 需要应用另行适配。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将服务能力、参数 schema 和资源描述接入 Agent 观察流。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选择完成任务所需的最小能力描述；真实权限仍由 ToolRegistry 和 Sandbox 实施。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将禁止范围、幂等要求和删除审批规则加入上下文。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MEMORY.RETRIEVE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检索该服务已持久化的历史失败和参数限制；必须有实际经验库。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REASONING.SAMPLE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形成多个跨工具执行计划。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比较计划的副作用、调用次数和回滚难度。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调用已注册的读取型 MCP 工具，name 使用 server__tool，arguments 为 JSON 对象。</w:t>
            </w:r>
          </w:p>
        </w:tc>
      </w:tr>
    </w:tbl>
    <w:p>
      <w:pPr>
        <w:spacing w:after="20"/>
      </w:pPr>
    </w:p>
    <w:p>
      <w:r>
        <w:t>交付与验证：后续 CRUD 同样通过 TOOL 执行；官方 verifier 位于测试侧，实际被包装为工具调用时才记录 TOOL。无自动事务、回滚或审批保证。环境由应用提供 MCP SDK 连接；这不引入新的 MCP Node。</w:t>
      </w:r>
    </w:p>
    <w:p>
      <w:pPr>
        <w:pStyle w:val="Heading1"/>
      </w:pPr>
      <w:r>
        <w:t>案例五 LongMemEval-V2 长周期记忆</w:t>
      </w:r>
    </w:p>
    <w:p>
      <w:pPr>
        <w:pStyle w:val="Heading2"/>
      </w:pPr>
      <w:r>
        <w:t>任务</w:t>
      </w:r>
    </w:p>
    <w:p>
      <w:r>
        <w:t>加载 LongMemEval-V2 的历史 Web/Enterprise Agent 轨迹。Agent 需要从多轮历史中建立持久记忆，在出现新事实、事实覆盖、环境陷阱和无关信息时管理记忆，最后回答官方问题。</w:t>
      </w:r>
    </w:p>
    <w:p>
      <w:r>
        <w:t>这个案例专门覆盖整个 Memory 生命周期。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按时间顺序载入第一批历史轨迹。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选出事实、状态变化、工作流经验和环境陷阱。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判断哪些内容值得形成长期记忆。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MEMORY.WRITE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写入首次出现的稳定事实或经验，保存返回的 id。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决定信息留在当前上下文、写入新记忆还是更新既有记忆。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CONTEXT.COMPRESS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将完整轨迹压缩为带来源指针的记忆摘要。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加载后续轨迹。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将轨迹接入环境历史观察结果。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判断新信息属于补充、覆盖、冲突还是无关噪声。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用新状态更新旧条目，复用既有 id，并在 Message.content 中保留时间与来源。</w:t>
            </w:r>
          </w:p>
        </w:tc>
      </w:tr>
    </w:tbl>
    <w:p>
      <w:pPr>
        <w:spacing w:after="20"/>
      </w:pPr>
    </w:p>
    <w:p>
      <w:r>
        <w:t>交付与验证：原任务的全生命周期目标还要求检索、合并与淘汰的记录，分别对应 RETRIEVE、CONSOLIDATE、EVICT。只有实际测试出现相应操作并记录输入、返回 id 与后续可见状态，才算覆盖；不能仅凭案例名称或任务目标认定 5/5 已验证。官方问答评分与额外生命周期断言分开记录，回答经 INFER 与 OUTPUT 交付。</w:t>
      </w:r>
    </w:p>
    <w:p>
      <w:pPr>
        <w:pStyle w:val="Heading1"/>
      </w:pPr>
      <w:r>
        <w:t>案例六 AFlow MATH 复现审计与 Smoke Test</w:t>
      </w:r>
    </w:p>
    <w:p>
      <w:pPr>
        <w:pStyle w:val="Heading2"/>
      </w:pPr>
      <w:r>
        <w:t>任务</w:t>
      </w:r>
    </w:p>
    <w:p>
      <w:r>
        <w:t>检查 AFlow 的 MATH 复现工程，确认 best-round 选择逻辑正确；加载已配置的 DeepSeek executor，在固定的 10 道 MATH 样本上完成真实 smoke test。</w:t>
      </w:r>
    </w:p>
    <w:p>
      <w:r>
        <w:t>如果发现代码问题，Agent 可以修改本地工程并重新测试。最终保留 best-round 结论、10 道样本结果、代码修改、验证证据、API 调用、成本、失败和重试记录；不得启动正式 workflow search，也不得把 smoke test 分数冒充正式实验结果。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22"/>
        <w:gridCol w:w="3288"/>
        <w:gridCol w:w="5754"/>
      </w:tblGrid>
      <w:tr>
        <w:trPr>
          <w:cantSplit/>
          <w:tblHeader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b/>
                <w:sz w:val="18"/>
              </w:rPr>
              <w:t>操作内容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CONTEXT.LOAD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加载任务目标、仓库边界和工作约束。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MEMORY.RETRIEVE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恢复此前持久化的复现准备进度；工作区文件和日志仍通过 TOOL 读取。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CONTEXT.SELECT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选择需要进入当前工作上下文的历史信息。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REASONING.INFER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判断下一步需要检查的入口和代码。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INTERACTION.TOOL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通过已注册工具读取仓库状态；MCP resources 需应用客户端适配。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INTERACTION.OBSERVE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接收代码、路径、commit、配置和工作流状态。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CONTEXT.UPDATE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将代码内容、版本信息和工作树状态加入当前上下文。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REASONING.DELIBERATE</w:t>
            </w:r>
          </w:p>
        </w:tc>
        <w:tc>
          <w:tcPr>
            <w:tcW w:type="dxa" w:w="57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59" w:lineRule="auto"/>
            </w:pPr>
            <w:r>
              <w:rPr>
                <w:b w:val="0"/>
                <w:sz w:val="18"/>
              </w:rPr>
              <w:t>深入分析 best-round 算法及 validation 重复结果处理。</w:t>
            </w:r>
          </w:p>
        </w:tc>
      </w:tr>
    </w:tbl>
    <w:p>
      <w:pPr>
        <w:spacing w:after="20"/>
      </w:pPr>
    </w:p>
    <w:p>
      <w:r>
        <w:t>交付与验证：任务正文规定的代码修改和 10 题运行经应用工具执行；DeepSeek 是该任务配置的 executor，不构成新的 Node Type。OUTPUT 交付实际结果、patch、验证依据、调用与成本记录及是否适合启动正式搜索的判断。重试和预算属于应用执行策略，不因展示需要新增节点。</w:t>
      </w:r>
    </w:p>
    <w:p>
      <w:pPr>
        <w:pStyle w:val="Heading1"/>
      </w:pPr>
      <w:r>
        <w:t>证据与覆盖记录</w:t>
      </w:r>
    </w:p>
    <w:p>
      <w:r>
        <w:t>正式覆盖记录应关联 case id、原样本/任务 id、代码 commit、实际 Node Type、输入输出引用、工具/Provider 实现和验证结果。同一个 Node 在 Graph 中重复出现可有不同逻辑 id；统计类型覆盖时去重。应用入口、bind、连接初始化与测试侧 verifier 均单独记录，不充作 Node。</w:t>
      </w:r>
    </w:p>
    <w:p>
      <w:r>
        <w:t>《Agent 节点体系覆盖分析 · 报告》的 11/18 是此前 12 个样本对固定基线的离线分析；7 个未覆盖节点是验证盲区。它既不是这六个案例的运行成绩，也不包含 dev 的 4 个扩展。本次不合并这些不同样本范围的覆盖率。扩展节点可单列 4 项，任何 22 项总覆盖率均需相应执行证据。</w:t>
      </w:r>
    </w:p>
    <w:p>
      <w:r>
        <w:t>文档依据为 dev 提交 a9e43212162650259b2a1bf9ed907d8bad19e79f 的 contracts、interaction loop、MCP 适配器，以及提供的《节点体系覆盖》和《Agent 节点体系覆盖分析 · 报告》。原图嵌入的是前段流程截图，没有完整电子表格附件；因此可见流程与任务正文映射分开保留。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4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 w:line="27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Ditto 节点体系覆盖与案例映射</dc:title>
  <dc:subject>当前 dev 节点职责 RAG 归类与六个既有案例映射</dc:subject>
  <dc:creator>Ditto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