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Executive Summary: Student Engagement Analysis</w:t>
      </w:r>
    </w:p>
    <w:p>
      <w:pPr>
        <w:pStyle w:val="Subtitle"/>
      </w:pPr>
      <w:r>
        <w:t xml:space="preserve">Assessment Participation and Chronic Absenteeism Trends</w:t>
      </w:r>
    </w:p>
    <w:bookmarkStart w:id="20" w:name="Xe5f40aa6a641fab1b71df19cbe4f656d35b260c"/>
    <w:p>
      <w:pPr>
        <w:pStyle w:val="Heading2"/>
      </w:pPr>
      <w:r>
        <w:t xml:space="preserve">State Overview: Districts Serving ≥100 Students (2018-2023)</w:t>
      </w:r>
    </w:p>
    <w:p>
      <w:pPr>
        <w:pStyle w:val="FirstParagraph"/>
      </w:pPr>
      <w:r>
        <w:rPr>
          <w:b/>
          <w:bCs/>
        </w:rPr>
        <w:t xml:space="preserve">This analysis examines student engagement trends across 799 California districts with enrollment of at least 100 students, representing the most reliable data for policy analysis.</w:t>
      </w:r>
      <w:r>
        <w:t xml:space="preserve"> </w:t>
      </w:r>
      <w:r>
        <w:t xml:space="preserve">Over the 6-year period, the state has experienced notable shifts in both assessment participation and chronic absenteeism that warrant attention from education leaders.</w:t>
      </w:r>
    </w:p>
    <w:p>
      <w:pPr>
        <w:pStyle w:val="BodyText"/>
      </w:pPr>
      <w:r>
        <w:rPr>
          <w:b/>
          <w:bCs/>
        </w:rPr>
        <w:t xml:space="preserve">Current Performance (2023):</w:t>
      </w:r>
      <w:r>
        <w:t xml:space="preserve"> </w:t>
      </w:r>
      <w:r>
        <w:rPr>
          <w:b/>
          <w:bCs/>
        </w:rPr>
        <w:t xml:space="preserve">The median district participation rate stands at 97.46%, which is adequate, while chronic absenteeism has reached a median of 17.9%, placing it within acceptable ranges.</w:t>
      </w:r>
      <w:r>
        <w:t xml:space="preserve"> </w:t>
      </w:r>
      <w:r>
        <w:rPr>
          <w:b/>
          <w:bCs/>
        </w:rPr>
        <w:t xml:space="preserve">These figures represent a -0.61 percentage point change in participation and a + 8.03 percentage point change in absenteeism since 2018, indicating that participation has slightly declined while absenteeism has dramatically increased.</w:t>
      </w:r>
    </w:p>
    <w:bookmarkEnd w:id="20"/>
    <w:bookmarkStart w:id="21" w:name="trends-over-time"/>
    <w:p>
      <w:pPr>
        <w:pStyle w:val="Heading2"/>
      </w:pPr>
      <w:r>
        <w:t xml:space="preserve">Trends Over Time</w:t>
      </w:r>
    </w:p>
    <w:p>
      <w:pPr>
        <w:pStyle w:val="TableCaption"/>
      </w:pPr>
      <w:r>
        <w:t xml:space="preserve">Year-over-Year Trends in Student Engagement Metrics</w:t>
      </w:r>
    </w:p>
    <w:tbl>
      <w:tblPr>
        <w:tblStyle w:val="Table"/>
        <w:tblW w:type="pct" w:w="5000"/>
        <w:tblLayout w:type="fixed"/>
        <w:tblLook w:firstRow="1" w:lastRow="0" w:firstColumn="0" w:lastColumn="0" w:noHBand="0" w:noVBand="0" w:val="0020"/>
        <w:tblCaption w:val="Year-over-Year Trends in Student Engagement Metrics"/>
      </w:tblPr>
      <w:tblGrid>
        <w:gridCol w:w="344"/>
        <w:gridCol w:w="688"/>
        <w:gridCol w:w="1584"/>
        <w:gridCol w:w="964"/>
        <w:gridCol w:w="1446"/>
        <w:gridCol w:w="826"/>
        <w:gridCol w:w="1101"/>
        <w:gridCol w:w="964"/>
      </w:tblGrid>
      <w:tr>
        <w:trPr>
          <w:tblHeader w:val="on"/>
        </w:trPr>
        <w:tc>
          <w:tcPr/>
          <w:p>
            <w:pPr>
              <w:pStyle w:val="Compact"/>
              <w:jc w:val="right"/>
            </w:pPr>
            <w:r>
              <w:t xml:space="preserve">Year</w:t>
            </w:r>
          </w:p>
        </w:tc>
        <w:tc>
          <w:tcPr/>
          <w:p>
            <w:pPr>
              <w:pStyle w:val="Compact"/>
              <w:jc w:val="right"/>
            </w:pPr>
            <w:r>
              <w:t xml:space="preserve">Districts</w:t>
            </w:r>
          </w:p>
        </w:tc>
        <w:tc>
          <w:tcPr/>
          <w:p>
            <w:pPr>
              <w:pStyle w:val="Compact"/>
              <w:jc w:val="right"/>
            </w:pPr>
            <w:r>
              <w:t xml:space="preserve">Median Participation %</w:t>
            </w:r>
          </w:p>
        </w:tc>
        <w:tc>
          <w:tcPr/>
          <w:p>
            <w:pPr>
              <w:pStyle w:val="Compact"/>
              <w:jc w:val="right"/>
            </w:pPr>
            <w:r>
              <w:t xml:space="preserve">% Meeting 95%</w:t>
            </w:r>
          </w:p>
        </w:tc>
        <w:tc>
          <w:tcPr/>
          <w:p>
            <w:pPr>
              <w:pStyle w:val="Compact"/>
              <w:jc w:val="right"/>
            </w:pPr>
            <w:r>
              <w:t xml:space="preserve">Median Absenteeism %</w:t>
            </w:r>
          </w:p>
        </w:tc>
        <w:tc>
          <w:tcPr/>
          <w:p>
            <w:pPr>
              <w:pStyle w:val="Compact"/>
              <w:jc w:val="right"/>
            </w:pPr>
            <w:r>
              <w:t xml:space="preserve">% Above 20%</w:t>
            </w:r>
          </w:p>
        </w:tc>
        <w:tc>
          <w:tcPr/>
          <w:p>
            <w:pPr>
              <w:pStyle w:val="Compact"/>
              <w:jc w:val="right"/>
            </w:pPr>
            <w:r>
              <w:t xml:space="preserve">Participation Δ</w:t>
            </w:r>
          </w:p>
        </w:tc>
        <w:tc>
          <w:tcPr/>
          <w:p>
            <w:pPr>
              <w:pStyle w:val="Compact"/>
              <w:jc w:val="right"/>
            </w:pPr>
            <w:r>
              <w:t xml:space="preserve">Absenteeism Δ</w:t>
            </w:r>
          </w:p>
        </w:tc>
      </w:tr>
      <w:tr>
        <w:tc>
          <w:tcPr/>
          <w:p>
            <w:pPr>
              <w:pStyle w:val="Compact"/>
              <w:jc w:val="right"/>
            </w:pPr>
            <w:r>
              <w:t xml:space="preserve">2018</w:t>
            </w:r>
          </w:p>
        </w:tc>
        <w:tc>
          <w:tcPr/>
          <w:p>
            <w:pPr>
              <w:pStyle w:val="Compact"/>
              <w:jc w:val="right"/>
            </w:pPr>
            <w:r>
              <w:t xml:space="preserve">791</w:t>
            </w:r>
          </w:p>
        </w:tc>
        <w:tc>
          <w:tcPr/>
          <w:p>
            <w:pPr>
              <w:pStyle w:val="Compact"/>
              <w:jc w:val="right"/>
            </w:pPr>
            <w:r>
              <w:t xml:space="preserve">98.07</w:t>
            </w:r>
          </w:p>
        </w:tc>
        <w:tc>
          <w:tcPr/>
          <w:p>
            <w:pPr>
              <w:pStyle w:val="Compact"/>
              <w:jc w:val="right"/>
            </w:pPr>
            <w:r>
              <w:t xml:space="preserve">92.79</w:t>
            </w:r>
          </w:p>
        </w:tc>
        <w:tc>
          <w:tcPr/>
          <w:p>
            <w:pPr>
              <w:pStyle w:val="Compact"/>
              <w:jc w:val="right"/>
            </w:pPr>
            <w:r>
              <w:t xml:space="preserve">9.87</w:t>
            </w:r>
          </w:p>
        </w:tc>
        <w:tc>
          <w:tcPr/>
          <w:p>
            <w:pPr>
              <w:pStyle w:val="Compact"/>
              <w:jc w:val="right"/>
            </w:pPr>
            <w:r>
              <w:t xml:space="preserve">5.56</w:t>
            </w:r>
          </w:p>
        </w:tc>
        <w:tc>
          <w:tcPr/>
          <w:p>
            <w:pPr>
              <w:pStyle w:val="Compact"/>
              <w:jc w:val="right"/>
            </w:pPr>
            <w:r>
              <w:t xml:space="preserve">NA</w:t>
            </w:r>
          </w:p>
        </w:tc>
        <w:tc>
          <w:tcPr/>
          <w:p>
            <w:pPr>
              <w:pStyle w:val="Compact"/>
              <w:jc w:val="right"/>
            </w:pPr>
            <w:r>
              <w:t xml:space="preserve">NA</w:t>
            </w:r>
          </w:p>
        </w:tc>
      </w:tr>
      <w:tr>
        <w:tc>
          <w:tcPr/>
          <w:p>
            <w:pPr>
              <w:pStyle w:val="Compact"/>
              <w:jc w:val="right"/>
            </w:pPr>
            <w:r>
              <w:t xml:space="preserve">2020</w:t>
            </w:r>
          </w:p>
        </w:tc>
        <w:tc>
          <w:tcPr/>
          <w:p>
            <w:pPr>
              <w:pStyle w:val="Compact"/>
              <w:jc w:val="right"/>
            </w:pPr>
            <w:r>
              <w:t xml:space="preserve">783</w:t>
            </w:r>
          </w:p>
        </w:tc>
        <w:tc>
          <w:tcPr/>
          <w:p>
            <w:pPr>
              <w:pStyle w:val="Compact"/>
              <w:jc w:val="right"/>
            </w:pPr>
            <w:r>
              <w:t xml:space="preserve">17.06</w:t>
            </w:r>
          </w:p>
        </w:tc>
        <w:tc>
          <w:tcPr/>
          <w:p>
            <w:pPr>
              <w:pStyle w:val="Compact"/>
              <w:jc w:val="right"/>
            </w:pPr>
            <w:r>
              <w:t xml:space="preserve">14.30</w:t>
            </w:r>
          </w:p>
        </w:tc>
        <w:tc>
          <w:tcPr/>
          <w:p>
            <w:pPr>
              <w:pStyle w:val="Compact"/>
              <w:jc w:val="right"/>
            </w:pPr>
            <w:r>
              <w:t xml:space="preserve">11.71</w:t>
            </w:r>
          </w:p>
        </w:tc>
        <w:tc>
          <w:tcPr/>
          <w:p>
            <w:pPr>
              <w:pStyle w:val="Compact"/>
              <w:jc w:val="right"/>
            </w:pPr>
            <w:r>
              <w:t xml:space="preserve">23.75</w:t>
            </w:r>
          </w:p>
        </w:tc>
        <w:tc>
          <w:tcPr/>
          <w:p>
            <w:pPr>
              <w:pStyle w:val="Compact"/>
              <w:jc w:val="right"/>
            </w:pPr>
            <w:r>
              <w:t xml:space="preserve">-81.01</w:t>
            </w:r>
          </w:p>
        </w:tc>
        <w:tc>
          <w:tcPr/>
          <w:p>
            <w:pPr>
              <w:pStyle w:val="Compact"/>
              <w:jc w:val="right"/>
            </w:pPr>
            <w:r>
              <w:t xml:space="preserve">1.84</w:t>
            </w:r>
          </w:p>
        </w:tc>
      </w:tr>
      <w:tr>
        <w:tc>
          <w:tcPr/>
          <w:p>
            <w:pPr>
              <w:pStyle w:val="Compact"/>
              <w:jc w:val="right"/>
            </w:pPr>
            <w:r>
              <w:t xml:space="preserve">2021</w:t>
            </w:r>
          </w:p>
        </w:tc>
        <w:tc>
          <w:tcPr/>
          <w:p>
            <w:pPr>
              <w:pStyle w:val="Compact"/>
              <w:jc w:val="right"/>
            </w:pPr>
            <w:r>
              <w:t xml:space="preserve">803</w:t>
            </w:r>
          </w:p>
        </w:tc>
        <w:tc>
          <w:tcPr/>
          <w:p>
            <w:pPr>
              <w:pStyle w:val="Compact"/>
              <w:jc w:val="right"/>
            </w:pPr>
            <w:r>
              <w:t xml:space="preserve">97.21</w:t>
            </w:r>
          </w:p>
        </w:tc>
        <w:tc>
          <w:tcPr/>
          <w:p>
            <w:pPr>
              <w:pStyle w:val="Compact"/>
              <w:jc w:val="right"/>
            </w:pPr>
            <w:r>
              <w:t xml:space="preserve">79.83</w:t>
            </w:r>
          </w:p>
        </w:tc>
        <w:tc>
          <w:tcPr/>
          <w:p>
            <w:pPr>
              <w:pStyle w:val="Compact"/>
              <w:jc w:val="right"/>
            </w:pPr>
            <w:r>
              <w:t xml:space="preserve">28.03</w:t>
            </w:r>
          </w:p>
        </w:tc>
        <w:tc>
          <w:tcPr/>
          <w:p>
            <w:pPr>
              <w:pStyle w:val="Compact"/>
              <w:jc w:val="right"/>
            </w:pPr>
            <w:r>
              <w:t xml:space="preserve">71.98</w:t>
            </w:r>
          </w:p>
        </w:tc>
        <w:tc>
          <w:tcPr/>
          <w:p>
            <w:pPr>
              <w:pStyle w:val="Compact"/>
              <w:jc w:val="right"/>
            </w:pPr>
            <w:r>
              <w:t xml:space="preserve">80.15</w:t>
            </w:r>
          </w:p>
        </w:tc>
        <w:tc>
          <w:tcPr/>
          <w:p>
            <w:pPr>
              <w:pStyle w:val="Compact"/>
              <w:jc w:val="right"/>
            </w:pPr>
            <w:r>
              <w:t xml:space="preserve">16.32</w:t>
            </w:r>
          </w:p>
        </w:tc>
      </w:tr>
      <w:tr>
        <w:tc>
          <w:tcPr/>
          <w:p>
            <w:pPr>
              <w:pStyle w:val="Compact"/>
              <w:jc w:val="right"/>
            </w:pPr>
            <w:r>
              <w:t xml:space="preserve">2022</w:t>
            </w:r>
          </w:p>
        </w:tc>
        <w:tc>
          <w:tcPr/>
          <w:p>
            <w:pPr>
              <w:pStyle w:val="Compact"/>
              <w:jc w:val="right"/>
            </w:pPr>
            <w:r>
              <w:t xml:space="preserve">794</w:t>
            </w:r>
          </w:p>
        </w:tc>
        <w:tc>
          <w:tcPr/>
          <w:p>
            <w:pPr>
              <w:pStyle w:val="Compact"/>
              <w:jc w:val="right"/>
            </w:pPr>
            <w:r>
              <w:t xml:space="preserve">97.74</w:t>
            </w:r>
          </w:p>
        </w:tc>
        <w:tc>
          <w:tcPr/>
          <w:p>
            <w:pPr>
              <w:pStyle w:val="Compact"/>
              <w:jc w:val="right"/>
            </w:pPr>
            <w:r>
              <w:t xml:space="preserve">90.55</w:t>
            </w:r>
          </w:p>
        </w:tc>
        <w:tc>
          <w:tcPr/>
          <w:p>
            <w:pPr>
              <w:pStyle w:val="Compact"/>
              <w:jc w:val="right"/>
            </w:pPr>
            <w:r>
              <w:t xml:space="preserve">22.92</w:t>
            </w:r>
          </w:p>
        </w:tc>
        <w:tc>
          <w:tcPr/>
          <w:p>
            <w:pPr>
              <w:pStyle w:val="Compact"/>
              <w:jc w:val="right"/>
            </w:pPr>
            <w:r>
              <w:t xml:space="preserve">62.09</w:t>
            </w:r>
          </w:p>
        </w:tc>
        <w:tc>
          <w:tcPr/>
          <w:p>
            <w:pPr>
              <w:pStyle w:val="Compact"/>
              <w:jc w:val="right"/>
            </w:pPr>
            <w:r>
              <w:t xml:space="preserve">0.53</w:t>
            </w:r>
          </w:p>
        </w:tc>
        <w:tc>
          <w:tcPr/>
          <w:p>
            <w:pPr>
              <w:pStyle w:val="Compact"/>
              <w:jc w:val="right"/>
            </w:pPr>
            <w:r>
              <w:t xml:space="preserve">-5.11</w:t>
            </w:r>
          </w:p>
        </w:tc>
      </w:tr>
      <w:tr>
        <w:tc>
          <w:tcPr/>
          <w:p>
            <w:pPr>
              <w:pStyle w:val="Compact"/>
              <w:jc w:val="right"/>
            </w:pPr>
            <w:r>
              <w:t xml:space="preserve">2023</w:t>
            </w:r>
          </w:p>
        </w:tc>
        <w:tc>
          <w:tcPr/>
          <w:p>
            <w:pPr>
              <w:pStyle w:val="Compact"/>
              <w:jc w:val="right"/>
            </w:pPr>
            <w:r>
              <w:t xml:space="preserve">799</w:t>
            </w:r>
          </w:p>
        </w:tc>
        <w:tc>
          <w:tcPr/>
          <w:p>
            <w:pPr>
              <w:pStyle w:val="Compact"/>
              <w:jc w:val="right"/>
            </w:pPr>
            <w:r>
              <w:t xml:space="preserve">97.46</w:t>
            </w:r>
          </w:p>
        </w:tc>
        <w:tc>
          <w:tcPr/>
          <w:p>
            <w:pPr>
              <w:pStyle w:val="Compact"/>
              <w:jc w:val="right"/>
            </w:pPr>
            <w:r>
              <w:t xml:space="preserve">89.24</w:t>
            </w:r>
          </w:p>
        </w:tc>
        <w:tc>
          <w:tcPr/>
          <w:p>
            <w:pPr>
              <w:pStyle w:val="Compact"/>
              <w:jc w:val="right"/>
            </w:pPr>
            <w:r>
              <w:t xml:space="preserve">17.90</w:t>
            </w:r>
          </w:p>
        </w:tc>
        <w:tc>
          <w:tcPr/>
          <w:p>
            <w:pPr>
              <w:pStyle w:val="Compact"/>
              <w:jc w:val="right"/>
            </w:pPr>
            <w:r>
              <w:t xml:space="preserve">40.68</w:t>
            </w:r>
          </w:p>
        </w:tc>
        <w:tc>
          <w:tcPr/>
          <w:p>
            <w:pPr>
              <w:pStyle w:val="Compact"/>
              <w:jc w:val="right"/>
            </w:pPr>
            <w:r>
              <w:t xml:space="preserve">-0.28</w:t>
            </w:r>
          </w:p>
        </w:tc>
        <w:tc>
          <w:tcPr/>
          <w:p>
            <w:pPr>
              <w:pStyle w:val="Compact"/>
              <w:jc w:val="right"/>
            </w:pPr>
            <w:r>
              <w:t xml:space="preserve">-5.02</w:t>
            </w:r>
          </w:p>
        </w:tc>
      </w:tr>
    </w:tbl>
    <w:bookmarkEnd w:id="21"/>
    <w:bookmarkStart w:id="22" w:name="X9583f26fecd7f60c37b3e47a6e2c73965d70eff"/>
    <w:p>
      <w:pPr>
        <w:pStyle w:val="Heading2"/>
      </w:pPr>
      <w:r>
        <w:t xml:space="preserve">Federal Compliance and Data Quality Concerns</w:t>
      </w:r>
    </w:p>
    <w:p>
      <w:pPr>
        <w:pStyle w:val="FirstParagraph"/>
      </w:pPr>
      <w:r>
        <w:rPr>
          <w:b/>
          <w:bCs/>
        </w:rPr>
        <w:t xml:space="preserve">11.26% of districts (90 districts) currently fail to meet the federal 95% participation threshold, creating manageable compliance issues.</w:t>
      </w:r>
      <w:r>
        <w:t xml:space="preserve"> </w:t>
      </w:r>
      <w:r>
        <w:rPr>
          <w:b/>
          <w:bCs/>
        </w:rPr>
        <w:t xml:space="preserve">This compliance rate has improved since 2018, when 92.79% of districts met the threshold, representing a 3.55 percentage point change that significantly impacts statewide data reliability.</w:t>
      </w:r>
    </w:p>
    <w:p>
      <w:pPr>
        <w:pStyle w:val="BodyText"/>
      </w:pPr>
      <w:r>
        <w:rPr>
          <w:b/>
          <w:bCs/>
        </w:rPr>
        <w:t xml:space="preserve">Assessment participation rates have slightly declined over the analysis period.</w:t>
      </w:r>
      <w:r>
        <w:t xml:space="preserve"> </w:t>
      </w:r>
      <w:r>
        <w:rPr>
          <w:b/>
          <w:bCs/>
        </w:rPr>
        <w:t xml:space="preserve">The recovery pattern shows gradual improvement in 2021, followed by ongoing concerns in the most recent year, with the lowest performing district (Klamath-Trinity Joint Unified) currently at 83.71%.</w:t>
      </w:r>
    </w:p>
    <w:bookmarkEnd w:id="22"/>
    <w:bookmarkStart w:id="23" w:name="chronic-absenteeism-patterns"/>
    <w:p>
      <w:pPr>
        <w:pStyle w:val="Heading2"/>
      </w:pPr>
      <w:r>
        <w:t xml:space="preserve">Chronic Absenteeism Patterns</w:t>
      </w:r>
    </w:p>
    <w:p>
      <w:pPr>
        <w:pStyle w:val="FirstParagraph"/>
      </w:pPr>
      <w:r>
        <w:rPr>
          <w:b/>
          <w:bCs/>
        </w:rPr>
        <w:t xml:space="preserve">Chronic absenteeism has dramatically increased across the analysis period, with 40.68% of districts now exceeding the 20% threshold compared to 5.56 in 2018.</w:t>
      </w:r>
      <w:r>
        <w:t xml:space="preserve"> </w:t>
      </w:r>
      <w:r>
        <w:rPr>
          <w:b/>
          <w:bCs/>
        </w:rPr>
        <w:t xml:space="preserve">The trend data reveals that absenteeism reached concerning levels during the pandemic period and currently stands at levels that may impact both academic outcomes and assessment participation, with the best performing district (Liberty Elementary) achieving only 0.63% chronic absenteeism.</w:t>
      </w:r>
    </w:p>
    <w:p>
      <w:pPr>
        <w:pStyle w:val="BodyText"/>
      </w:pPr>
      <w:r>
        <w:rPr>
          <w:b/>
          <w:bCs/>
        </w:rPr>
        <w:t xml:space="preserve">The relationship between attendance and assessment participation is evident in districts experiencing dual challenges, with 54 districts currently facing both low participation rates and high chronic absenteeism,</w:t>
      </w:r>
      <w:r>
        <w:t xml:space="preserve"> </w:t>
      </w:r>
      <w:r>
        <w:t xml:space="preserve">requiring comprehensive intervention strategies that address the underlying causes of student disengagement.</w:t>
      </w:r>
    </w:p>
    <w:bookmarkEnd w:id="23"/>
    <w:bookmarkStart w:id="24" w:name="equity-concerns"/>
    <w:p>
      <w:pPr>
        <w:pStyle w:val="Heading2"/>
      </w:pPr>
      <w:r>
        <w:t xml:space="preserve">Equity Concerns</w:t>
      </w:r>
    </w:p>
    <w:p>
      <w:pPr>
        <w:pStyle w:val="FirstParagraph"/>
      </w:pPr>
      <w:r>
        <w:rPr>
          <w:b/>
          <w:bCs/>
        </w:rPr>
        <w:t xml:space="preserve">Student group analysis reveals 5 instances where specific populations show participation gaps of 20 percentage points or more below their district average, indicating systemic barriers that disproportionately affect vulnerable student populations.</w:t>
      </w:r>
      <w:r>
        <w:t xml:space="preserve"> </w:t>
      </w:r>
      <w:r>
        <w:t xml:space="preserve">These substantial disparities indicate that certain student groups—often including English learners, students with disabilities, and economically disadvantaged students—face systemic barriers to assessment participation that may mask their academic needs in accountability systems.</w:t>
      </w:r>
    </w:p>
    <w:p>
      <w:pPr>
        <w:pStyle w:val="BodyText"/>
      </w:pPr>
      <w:r>
        <w:rPr>
          <w:b/>
          <w:bCs/>
        </w:rPr>
        <w:t xml:space="preserve">The persistence of these equity gaps suggests that participation challenges are not uniformly distributed across student populations, with some groups experiencing compounded disadvantages that affect both their daily school engagement and their representation in academic accountability measures.</w:t>
      </w:r>
    </w:p>
    <w:bookmarkEnd w:id="24"/>
    <w:bookmarkStart w:id="25" w:name="implications-for-state-policy"/>
    <w:p>
      <w:pPr>
        <w:pStyle w:val="Heading2"/>
      </w:pPr>
      <w:r>
        <w:t xml:space="preserve">Implications for State Policy</w:t>
      </w:r>
    </w:p>
    <w:p>
      <w:pPr>
        <w:pStyle w:val="FirstParagraph"/>
      </w:pPr>
      <w:r>
        <w:rPr>
          <w:b/>
          <w:bCs/>
        </w:rPr>
        <w:t xml:space="preserve">The data reveals three critical areas requiring state attention based on 11.26% non-compliance with federal participation thresholds, chronic absenteeism that has dramatically increased, and 5 substantial equity gaps in participation.</w:t>
      </w:r>
      <w:r>
        <w:t xml:space="preserve"> </w:t>
      </w:r>
      <w:r>
        <w:t xml:space="preserve">First, the non-compliance rate jeopardizes the validity of accountability determinations and may trigger federal oversight. Second, the absenteeism trend indicates growing student disengagement that affects both academic outcomes and data quality. Third, the substantial equity gaps suggest that current systems may be inadequately serving California’s most vulnerable student populations.</w:t>
      </w:r>
    </w:p>
    <w:p>
      <w:pPr>
        <w:pStyle w:val="BodyText"/>
      </w:pPr>
      <w:r>
        <w:t xml:space="preserve">** These trends collectively point to the need for targeted interventions that address both the immediate data quality concerns and the underlying student engagement challenges driving these patterns.**</w:t>
      </w:r>
    </w:p>
    <w:p>
      <w:pPr>
        <w:pStyle w:val="BodyText"/>
      </w:pPr>
      <w:r>
        <w:rPr>
          <w:i/>
          <w:iCs/>
        </w:rPr>
        <w:t xml:space="preserve">This analysis is based on 5 years of data spanning 2018 through 2023. For detailed breakdowns by district, student group, and subject area, refer to the comprehensive engagement report.</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 Student Engagement Analysis</dc:title>
  <dc:creator/>
  <cp:keywords/>
  <dcterms:created xsi:type="dcterms:W3CDTF">2025-06-17T13:07:13Z</dcterms:created>
  <dcterms:modified xsi:type="dcterms:W3CDTF">2025-06-17T13:07:13Z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params">
    <vt:lpwstr/>
  </property>
  <property fmtid="{D5CDD505-2E9C-101B-9397-08002B2CF9AE}" pid="8" name="subtitle">
    <vt:lpwstr>Assessment Participation and Chronic Absenteeism Trends</vt:lpwstr>
  </property>
  <property fmtid="{D5CDD505-2E9C-101B-9397-08002B2CF9AE}" pid="9" name="toc-title">
    <vt:lpwstr>Table of contents</vt:lpwstr>
  </property>
</Properties>
</file>