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Chronic Absenteeism Analysis</w:t>
      </w:r>
    </w:p>
    <w:p>
      <w:pPr>
        <w:pStyle w:val="Subtitle"/>
      </w:pPr>
      <w:r>
        <w:t xml:space="preserve">Multi-Level Trends and Patterns</w:t>
      </w:r>
    </w:p>
    <w:p>
      <w:r>
        <w:pict>
          <v:rect style="width:0;height:1.5pt" o:hralign="center" o:hrstd="t" o:hr="t"/>
        </w:pict>
      </w:r>
    </w:p>
    <w:bookmarkStart w:id="20" w:name="current-state-overview"/>
    <w:p>
      <w:pPr>
        <w:pStyle w:val="Heading2"/>
      </w:pPr>
      <w:r>
        <w:t xml:space="preserve">Current State Overview</w:t>
      </w:r>
    </w:p>
    <w:p>
      <w:pPr>
        <w:pStyle w:val="FirstParagraph"/>
      </w:pPr>
      <w:r>
        <w:t xml:space="preserve">Analysis of 11,695,581 students across 930 districts and 8643 schools for the 2018-2023 period shows a statewide chronic absenteeism rate of 34.5% for 2023.</w:t>
      </w:r>
    </w:p>
    <w:p>
      <w:pPr>
        <w:pStyle w:val="BodyText"/>
      </w:pPr>
      <w:r>
        <w:t xml:space="preserve">District rates range from 27.47% (SBE - Watsonville Prep) to 43.7% (Mountain Valley Unified), with a median of 34.47%. 930 districts (100%) exceed the 20% threshold, while 913 districts (98.2%) exceed 30%.</w:t>
      </w:r>
    </w:p>
    <w:p>
      <w:pPr>
        <w:pStyle w:val="BodyText"/>
      </w:pPr>
      <w:r>
        <w:t xml:space="preserve">School-level rates range from 23.56% to 49.68%, with 8643 schools (100%) above 20% and 7941 schools (91.9%) above 30%.</w:t>
      </w:r>
    </w:p>
    <w:p>
      <w:r>
        <w:pict>
          <v:rect style="width:0;height:1.5pt" o:hralign="center" o:hrstd="t" o:hr="t"/>
        </w:pict>
      </w:r>
    </w:p>
    <w:bookmarkEnd w:id="20"/>
    <w:bookmarkStart w:id="21" w:name="state-level-trends-by-student-group"/>
    <w:p>
      <w:pPr>
        <w:pStyle w:val="Heading2"/>
      </w:pPr>
      <w:r>
        <w:t xml:space="preserve">State-Level Trends by Student Group</w:t>
      </w:r>
    </w:p>
    <w:p>
      <w:pPr>
        <w:pStyle w:val="TableCaption"/>
      </w:pPr>
      <w:r>
        <w:t xml:space="preserve">State-Level Chronic Absenteeism Rates by Student Group (%)</w:t>
      </w:r>
    </w:p>
    <w:tbl>
      <w:tblPr>
        <w:tblStyle w:val="Table"/>
        <w:tblW w:type="auto" w:w="0"/>
        <w:tblLook w:firstRow="1" w:lastRow="0" w:firstColumn="0" w:lastColumn="0" w:noHBand="0" w:noVBand="0" w:val="0020"/>
        <w:tblCaption w:val="State-Level Chronic Absenteeism Rates by Student Group (%)"/>
      </w:tblPr>
      <w:tblGrid>
        <w:gridCol w:w="1131"/>
        <w:gridCol w:w="1131"/>
        <w:gridCol w:w="1131"/>
        <w:gridCol w:w="1131"/>
        <w:gridCol w:w="1131"/>
        <w:gridCol w:w="1131"/>
        <w:gridCol w:w="1131"/>
      </w:tblGrid>
      <w:tr>
        <w:trPr>
          <w:tblHeader w:val="on"/>
        </w:trPr>
        <w:tc>
          <w:tcPr/>
          <w:p>
            <w:pPr>
              <w:pStyle w:val="Compact"/>
            </w:pPr>
          </w:p>
        </w:tc>
        <w:tc>
          <w:tcPr/>
          <w:p>
            <w:pPr>
              <w:pStyle w:val="Compact"/>
              <w:jc w:val="left"/>
            </w:pPr>
            <w:r>
              <w:t xml:space="preserve">Subgroup</w:t>
            </w:r>
          </w:p>
        </w:tc>
        <w:tc>
          <w:tcPr/>
          <w:p>
            <w:pPr>
              <w:pStyle w:val="Compact"/>
              <w:jc w:val="right"/>
            </w:pPr>
            <w:r>
              <w:t xml:space="preserve">Y2018</w:t>
            </w:r>
          </w:p>
        </w:tc>
        <w:tc>
          <w:tcPr/>
          <w:p>
            <w:pPr>
              <w:pStyle w:val="Compact"/>
              <w:jc w:val="right"/>
            </w:pPr>
            <w:r>
              <w:t xml:space="preserve">Y2020</w:t>
            </w:r>
          </w:p>
        </w:tc>
        <w:tc>
          <w:tcPr/>
          <w:p>
            <w:pPr>
              <w:pStyle w:val="Compact"/>
              <w:jc w:val="right"/>
            </w:pPr>
            <w:r>
              <w:t xml:space="preserve">Y2021</w:t>
            </w:r>
          </w:p>
        </w:tc>
        <w:tc>
          <w:tcPr/>
          <w:p>
            <w:pPr>
              <w:pStyle w:val="Compact"/>
              <w:jc w:val="right"/>
            </w:pPr>
            <w:r>
              <w:t xml:space="preserve">Y2022</w:t>
            </w:r>
          </w:p>
        </w:tc>
        <w:tc>
          <w:tcPr/>
          <w:p>
            <w:pPr>
              <w:pStyle w:val="Compact"/>
              <w:jc w:val="right"/>
            </w:pPr>
            <w:r>
              <w:t xml:space="preserve">Y2023</w:t>
            </w:r>
          </w:p>
        </w:tc>
      </w:tr>
      <w:tr>
        <w:tc>
          <w:tcPr/>
          <w:p>
            <w:pPr>
              <w:pStyle w:val="Compact"/>
              <w:jc w:val="left"/>
            </w:pPr>
            <w:r>
              <w:t xml:space="preserve">1</w:t>
            </w:r>
          </w:p>
        </w:tc>
        <w:tc>
          <w:tcPr/>
          <w:p>
            <w:pPr>
              <w:pStyle w:val="Compact"/>
              <w:jc w:val="left"/>
            </w:pPr>
            <w:r>
              <w:t xml:space="preserve">ALL</w:t>
            </w:r>
          </w:p>
        </w:tc>
        <w:tc>
          <w:tcPr/>
          <w:p>
            <w:pPr>
              <w:pStyle w:val="Compact"/>
              <w:jc w:val="right"/>
            </w:pPr>
            <w:r>
              <w:t xml:space="preserve">26.93</w:t>
            </w:r>
          </w:p>
        </w:tc>
        <w:tc>
          <w:tcPr/>
          <w:p>
            <w:pPr>
              <w:pStyle w:val="Compact"/>
              <w:jc w:val="right"/>
            </w:pPr>
            <w:r>
              <w:t xml:space="preserve">29.03</w:t>
            </w:r>
          </w:p>
        </w:tc>
        <w:tc>
          <w:tcPr/>
          <w:p>
            <w:pPr>
              <w:pStyle w:val="Compact"/>
              <w:jc w:val="right"/>
            </w:pPr>
            <w:r>
              <w:t xml:space="preserve">42.08</w:t>
            </w:r>
          </w:p>
        </w:tc>
        <w:tc>
          <w:tcPr/>
          <w:p>
            <w:pPr>
              <w:pStyle w:val="Compact"/>
              <w:jc w:val="right"/>
            </w:pPr>
            <w:r>
              <w:t xml:space="preserve">37.26</w:t>
            </w:r>
          </w:p>
        </w:tc>
        <w:tc>
          <w:tcPr/>
          <w:p>
            <w:pPr>
              <w:pStyle w:val="Compact"/>
              <w:jc w:val="right"/>
            </w:pPr>
            <w:r>
              <w:t xml:space="preserve">34.50</w:t>
            </w:r>
          </w:p>
        </w:tc>
      </w:tr>
      <w:tr>
        <w:tc>
          <w:tcPr/>
          <w:p>
            <w:pPr>
              <w:pStyle w:val="Compact"/>
              <w:jc w:val="left"/>
            </w:pPr>
            <w:r>
              <w:t xml:space="preserve">2</w:t>
            </w:r>
          </w:p>
        </w:tc>
        <w:tc>
          <w:tcPr/>
          <w:p>
            <w:pPr>
              <w:pStyle w:val="Compact"/>
              <w:jc w:val="left"/>
            </w:pPr>
            <w:r>
              <w:t xml:space="preserve">HISPANIC</w:t>
            </w:r>
          </w:p>
        </w:tc>
        <w:tc>
          <w:tcPr/>
          <w:p>
            <w:pPr>
              <w:pStyle w:val="Compact"/>
              <w:jc w:val="right"/>
            </w:pPr>
            <w:r>
              <w:t xml:space="preserve">39.00</w:t>
            </w:r>
          </w:p>
        </w:tc>
        <w:tc>
          <w:tcPr/>
          <w:p>
            <w:pPr>
              <w:pStyle w:val="Compact"/>
              <w:jc w:val="right"/>
            </w:pPr>
            <w:r>
              <w:t xml:space="preserve">41.01</w:t>
            </w:r>
          </w:p>
        </w:tc>
        <w:tc>
          <w:tcPr/>
          <w:p>
            <w:pPr>
              <w:pStyle w:val="Compact"/>
              <w:jc w:val="right"/>
            </w:pPr>
            <w:r>
              <w:t xml:space="preserve">54.02</w:t>
            </w:r>
          </w:p>
        </w:tc>
        <w:tc>
          <w:tcPr/>
          <w:p>
            <w:pPr>
              <w:pStyle w:val="Compact"/>
              <w:jc w:val="right"/>
            </w:pPr>
            <w:r>
              <w:t xml:space="preserve">48.97</w:t>
            </w:r>
          </w:p>
        </w:tc>
        <w:tc>
          <w:tcPr/>
          <w:p>
            <w:pPr>
              <w:pStyle w:val="Compact"/>
              <w:jc w:val="right"/>
            </w:pPr>
            <w:r>
              <w:t xml:space="preserve">46.06</w:t>
            </w:r>
          </w:p>
        </w:tc>
      </w:tr>
      <w:tr>
        <w:tc>
          <w:tcPr/>
          <w:p>
            <w:pPr>
              <w:pStyle w:val="Compact"/>
              <w:jc w:val="left"/>
            </w:pPr>
            <w:r>
              <w:t xml:space="preserve">6</w:t>
            </w:r>
          </w:p>
        </w:tc>
        <w:tc>
          <w:tcPr/>
          <w:p>
            <w:pPr>
              <w:pStyle w:val="Compact"/>
              <w:jc w:val="left"/>
            </w:pPr>
            <w:r>
              <w:t xml:space="preserve">ELL</w:t>
            </w:r>
          </w:p>
        </w:tc>
        <w:tc>
          <w:tcPr/>
          <w:p>
            <w:pPr>
              <w:pStyle w:val="Compact"/>
              <w:jc w:val="right"/>
            </w:pPr>
            <w:r>
              <w:t xml:space="preserve">42.64</w:t>
            </w:r>
          </w:p>
        </w:tc>
        <w:tc>
          <w:tcPr/>
          <w:p>
            <w:pPr>
              <w:pStyle w:val="Compact"/>
              <w:jc w:val="right"/>
            </w:pPr>
            <w:r>
              <w:t xml:space="preserve">44.64</w:t>
            </w:r>
          </w:p>
        </w:tc>
        <w:tc>
          <w:tcPr/>
          <w:p>
            <w:pPr>
              <w:pStyle w:val="Compact"/>
              <w:jc w:val="right"/>
            </w:pPr>
            <w:r>
              <w:t xml:space="preserve">57.63</w:t>
            </w:r>
          </w:p>
        </w:tc>
        <w:tc>
          <w:tcPr/>
          <w:p>
            <w:pPr>
              <w:pStyle w:val="Compact"/>
              <w:jc w:val="right"/>
            </w:pPr>
            <w:r>
              <w:t xml:space="preserve">52.72</w:t>
            </w:r>
          </w:p>
        </w:tc>
        <w:tc>
          <w:tcPr/>
          <w:p>
            <w:pPr>
              <w:pStyle w:val="Compact"/>
              <w:jc w:val="right"/>
            </w:pPr>
            <w:r>
              <w:t xml:space="preserve">49.80</w:t>
            </w:r>
          </w:p>
        </w:tc>
      </w:tr>
      <w:tr>
        <w:tc>
          <w:tcPr/>
          <w:p>
            <w:pPr>
              <w:pStyle w:val="Compact"/>
              <w:jc w:val="left"/>
            </w:pPr>
            <w:r>
              <w:t xml:space="preserve">7</w:t>
            </w:r>
          </w:p>
        </w:tc>
        <w:tc>
          <w:tcPr/>
          <w:p>
            <w:pPr>
              <w:pStyle w:val="Compact"/>
              <w:jc w:val="left"/>
            </w:pPr>
            <w:r>
              <w:t xml:space="preserve">DISADVANTAGE</w:t>
            </w:r>
          </w:p>
        </w:tc>
        <w:tc>
          <w:tcPr/>
          <w:p>
            <w:pPr>
              <w:pStyle w:val="Compact"/>
              <w:jc w:val="right"/>
            </w:pPr>
            <w:r>
              <w:t xml:space="preserve">37.36</w:t>
            </w:r>
          </w:p>
        </w:tc>
        <w:tc>
          <w:tcPr/>
          <w:p>
            <w:pPr>
              <w:pStyle w:val="Compact"/>
              <w:jc w:val="right"/>
            </w:pPr>
            <w:r>
              <w:t xml:space="preserve">39.45</w:t>
            </w:r>
          </w:p>
        </w:tc>
        <w:tc>
          <w:tcPr/>
          <w:p>
            <w:pPr>
              <w:pStyle w:val="Compact"/>
              <w:jc w:val="right"/>
            </w:pPr>
            <w:r>
              <w:t xml:space="preserve">52.51</w:t>
            </w:r>
          </w:p>
        </w:tc>
        <w:tc>
          <w:tcPr/>
          <w:p>
            <w:pPr>
              <w:pStyle w:val="Compact"/>
              <w:jc w:val="right"/>
            </w:pPr>
            <w:r>
              <w:t xml:space="preserve">47.60</w:t>
            </w:r>
          </w:p>
        </w:tc>
        <w:tc>
          <w:tcPr/>
          <w:p>
            <w:pPr>
              <w:pStyle w:val="Compact"/>
              <w:jc w:val="right"/>
            </w:pPr>
            <w:r>
              <w:t xml:space="preserve">44.76</w:t>
            </w:r>
          </w:p>
        </w:tc>
      </w:tr>
      <w:tr>
        <w:tc>
          <w:tcPr/>
          <w:p>
            <w:pPr>
              <w:pStyle w:val="Compact"/>
              <w:jc w:val="left"/>
            </w:pPr>
            <w:r>
              <w:t xml:space="preserve">8</w:t>
            </w:r>
          </w:p>
        </w:tc>
        <w:tc>
          <w:tcPr/>
          <w:p>
            <w:pPr>
              <w:pStyle w:val="Compact"/>
              <w:jc w:val="left"/>
            </w:pPr>
            <w:r>
              <w:t xml:space="preserve">DISABILITY</w:t>
            </w:r>
          </w:p>
        </w:tc>
        <w:tc>
          <w:tcPr/>
          <w:p>
            <w:pPr>
              <w:pStyle w:val="Compact"/>
              <w:jc w:val="right"/>
            </w:pPr>
            <w:r>
              <w:t xml:space="preserve">44.54</w:t>
            </w:r>
          </w:p>
        </w:tc>
        <w:tc>
          <w:tcPr/>
          <w:p>
            <w:pPr>
              <w:pStyle w:val="Compact"/>
              <w:jc w:val="right"/>
            </w:pPr>
            <w:r>
              <w:t xml:space="preserve">46.63</w:t>
            </w:r>
          </w:p>
        </w:tc>
        <w:tc>
          <w:tcPr/>
          <w:p>
            <w:pPr>
              <w:pStyle w:val="Compact"/>
              <w:jc w:val="right"/>
            </w:pPr>
            <w:r>
              <w:t xml:space="preserve">59.63</w:t>
            </w:r>
          </w:p>
        </w:tc>
        <w:tc>
          <w:tcPr/>
          <w:p>
            <w:pPr>
              <w:pStyle w:val="Compact"/>
              <w:jc w:val="right"/>
            </w:pPr>
            <w:r>
              <w:t xml:space="preserve">54.83</w:t>
            </w:r>
          </w:p>
        </w:tc>
        <w:tc>
          <w:tcPr/>
          <w:p>
            <w:pPr>
              <w:pStyle w:val="Compact"/>
              <w:jc w:val="right"/>
            </w:pPr>
            <w:r>
              <w:t xml:space="preserve">52.01</w:t>
            </w:r>
          </w:p>
        </w:tc>
      </w:tr>
    </w:tbl>
    <w:p>
      <w:pPr>
        <w:pStyle w:val="BodyText"/>
      </w:pPr>
      <w:r>
        <w:t xml:space="preserve">The table shows state-level chronic absenteeism rates for ALL students and the four highest-rate subgroups across the most recent 5 years. DISABILITY students show the highest current rate at 52.01%, while ALL students show a rate of 34.50%. The range between the highest and lowest subgroup rates in 2023 is 17.51 percentage points.</w:t>
      </w:r>
    </w:p>
    <w:p>
      <w:r>
        <w:pict>
          <v:rect style="width:0;height:1.5pt" o:hralign="center" o:hrstd="t" o:hr="t"/>
        </w:pict>
      </w:r>
    </w:p>
    <w:bookmarkEnd w:id="21"/>
    <w:bookmarkStart w:id="22" w:name="year-to-year-changes"/>
    <w:p>
      <w:pPr>
        <w:pStyle w:val="Heading2"/>
      </w:pPr>
      <w:r>
        <w:t xml:space="preserve">Year-to-Year Changes</w:t>
      </w:r>
    </w:p>
    <w:p>
      <w:pPr>
        <w:pStyle w:val="TableCaption"/>
      </w:pPr>
      <w:r>
        <w:t xml:space="preserve">Year-to-Year Point Changes in Chronic Absenteeism (percentage points)</w:t>
      </w:r>
    </w:p>
    <w:tbl>
      <w:tblPr>
        <w:tblStyle w:val="Table"/>
        <w:tblW w:type="auto" w:w="0"/>
        <w:tblLook w:firstRow="1" w:lastRow="0" w:firstColumn="0" w:lastColumn="0" w:noHBand="0" w:noVBand="0" w:val="0020"/>
        <w:tblCaption w:val="Year-to-Year Point Changes in Chronic Absenteeism (percentage points)"/>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Subgroup</w:t>
            </w:r>
          </w:p>
        </w:tc>
        <w:tc>
          <w:tcPr/>
          <w:p>
            <w:pPr>
              <w:pStyle w:val="Compact"/>
              <w:jc w:val="right"/>
            </w:pPr>
            <w:r>
              <w:t xml:space="preserve">2018-2020</w:t>
            </w:r>
          </w:p>
        </w:tc>
        <w:tc>
          <w:tcPr/>
          <w:p>
            <w:pPr>
              <w:pStyle w:val="Compact"/>
              <w:jc w:val="right"/>
            </w:pPr>
            <w:r>
              <w:t xml:space="preserve">2020-2021</w:t>
            </w:r>
          </w:p>
        </w:tc>
        <w:tc>
          <w:tcPr/>
          <w:p>
            <w:pPr>
              <w:pStyle w:val="Compact"/>
              <w:jc w:val="right"/>
            </w:pPr>
            <w:r>
              <w:t xml:space="preserve">2021-2022</w:t>
            </w:r>
          </w:p>
        </w:tc>
        <w:tc>
          <w:tcPr/>
          <w:p>
            <w:pPr>
              <w:pStyle w:val="Compact"/>
              <w:jc w:val="right"/>
            </w:pPr>
            <w:r>
              <w:t xml:space="preserve">2022-2023</w:t>
            </w:r>
          </w:p>
        </w:tc>
      </w:tr>
      <w:tr>
        <w:tc>
          <w:tcPr/>
          <w:p>
            <w:pPr>
              <w:pStyle w:val="Compact"/>
              <w:jc w:val="left"/>
            </w:pPr>
            <w:r>
              <w:t xml:space="preserve">4</w:t>
            </w:r>
          </w:p>
        </w:tc>
        <w:tc>
          <w:tcPr/>
          <w:p>
            <w:pPr>
              <w:pStyle w:val="Compact"/>
              <w:jc w:val="left"/>
            </w:pPr>
            <w:r>
              <w:t xml:space="preserve">DISABILITY</w:t>
            </w:r>
          </w:p>
        </w:tc>
        <w:tc>
          <w:tcPr/>
          <w:p>
            <w:pPr>
              <w:pStyle w:val="Compact"/>
              <w:jc w:val="right"/>
            </w:pPr>
            <w:r>
              <w:t xml:space="preserve">2.09</w:t>
            </w:r>
          </w:p>
        </w:tc>
        <w:tc>
          <w:tcPr/>
          <w:p>
            <w:pPr>
              <w:pStyle w:val="Compact"/>
              <w:jc w:val="right"/>
            </w:pPr>
            <w:r>
              <w:t xml:space="preserve">13.00</w:t>
            </w:r>
          </w:p>
        </w:tc>
        <w:tc>
          <w:tcPr/>
          <w:p>
            <w:pPr>
              <w:pStyle w:val="Compact"/>
              <w:jc w:val="right"/>
            </w:pPr>
            <w:r>
              <w:t xml:space="preserve">-4.80</w:t>
            </w:r>
          </w:p>
        </w:tc>
        <w:tc>
          <w:tcPr/>
          <w:p>
            <w:pPr>
              <w:pStyle w:val="Compact"/>
              <w:jc w:val="right"/>
            </w:pPr>
            <w:r>
              <w:t xml:space="preserve">-2.82</w:t>
            </w:r>
          </w:p>
        </w:tc>
      </w:tr>
      <w:tr>
        <w:tc>
          <w:tcPr/>
          <w:p>
            <w:pPr>
              <w:pStyle w:val="Compact"/>
              <w:jc w:val="left"/>
            </w:pPr>
            <w:r>
              <w:t xml:space="preserve">5</w:t>
            </w:r>
          </w:p>
        </w:tc>
        <w:tc>
          <w:tcPr/>
          <w:p>
            <w:pPr>
              <w:pStyle w:val="Compact"/>
              <w:jc w:val="left"/>
            </w:pPr>
            <w:r>
              <w:t xml:space="preserve">DISADVANTAGE</w:t>
            </w:r>
          </w:p>
        </w:tc>
        <w:tc>
          <w:tcPr/>
          <w:p>
            <w:pPr>
              <w:pStyle w:val="Compact"/>
              <w:jc w:val="right"/>
            </w:pPr>
            <w:r>
              <w:t xml:space="preserve">2.09</w:t>
            </w:r>
          </w:p>
        </w:tc>
        <w:tc>
          <w:tcPr/>
          <w:p>
            <w:pPr>
              <w:pStyle w:val="Compact"/>
              <w:jc w:val="right"/>
            </w:pPr>
            <w:r>
              <w:t xml:space="preserve">13.06</w:t>
            </w:r>
          </w:p>
        </w:tc>
        <w:tc>
          <w:tcPr/>
          <w:p>
            <w:pPr>
              <w:pStyle w:val="Compact"/>
              <w:jc w:val="right"/>
            </w:pPr>
            <w:r>
              <w:t xml:space="preserve">-4.91</w:t>
            </w:r>
          </w:p>
        </w:tc>
        <w:tc>
          <w:tcPr/>
          <w:p>
            <w:pPr>
              <w:pStyle w:val="Compact"/>
              <w:jc w:val="right"/>
            </w:pPr>
            <w:r>
              <w:t xml:space="preserve">-2.84</w:t>
            </w:r>
          </w:p>
        </w:tc>
      </w:tr>
      <w:tr>
        <w:tc>
          <w:tcPr/>
          <w:p>
            <w:pPr>
              <w:pStyle w:val="Compact"/>
              <w:jc w:val="left"/>
            </w:pPr>
            <w:r>
              <w:t xml:space="preserve">6</w:t>
            </w:r>
          </w:p>
        </w:tc>
        <w:tc>
          <w:tcPr/>
          <w:p>
            <w:pPr>
              <w:pStyle w:val="Compact"/>
              <w:jc w:val="left"/>
            </w:pPr>
            <w:r>
              <w:t xml:space="preserve">ELL</w:t>
            </w:r>
          </w:p>
        </w:tc>
        <w:tc>
          <w:tcPr/>
          <w:p>
            <w:pPr>
              <w:pStyle w:val="Compact"/>
              <w:jc w:val="right"/>
            </w:pPr>
            <w:r>
              <w:t xml:space="preserve">2.00</w:t>
            </w:r>
          </w:p>
        </w:tc>
        <w:tc>
          <w:tcPr/>
          <w:p>
            <w:pPr>
              <w:pStyle w:val="Compact"/>
              <w:jc w:val="right"/>
            </w:pPr>
            <w:r>
              <w:t xml:space="preserve">12.99</w:t>
            </w:r>
          </w:p>
        </w:tc>
        <w:tc>
          <w:tcPr/>
          <w:p>
            <w:pPr>
              <w:pStyle w:val="Compact"/>
              <w:jc w:val="right"/>
            </w:pPr>
            <w:r>
              <w:t xml:space="preserve">-4.91</w:t>
            </w:r>
          </w:p>
        </w:tc>
        <w:tc>
          <w:tcPr/>
          <w:p>
            <w:pPr>
              <w:pStyle w:val="Compact"/>
              <w:jc w:val="right"/>
            </w:pPr>
            <w:r>
              <w:t xml:space="preserve">-2.92</w:t>
            </w:r>
          </w:p>
        </w:tc>
      </w:tr>
      <w:tr>
        <w:tc>
          <w:tcPr/>
          <w:p>
            <w:pPr>
              <w:pStyle w:val="Compact"/>
              <w:jc w:val="left"/>
            </w:pPr>
            <w:r>
              <w:t xml:space="preserve">8</w:t>
            </w:r>
          </w:p>
        </w:tc>
        <w:tc>
          <w:tcPr/>
          <w:p>
            <w:pPr>
              <w:pStyle w:val="Compact"/>
              <w:jc w:val="left"/>
            </w:pPr>
            <w:r>
              <w:t xml:space="preserve">HISPANIC</w:t>
            </w:r>
          </w:p>
        </w:tc>
        <w:tc>
          <w:tcPr/>
          <w:p>
            <w:pPr>
              <w:pStyle w:val="Compact"/>
              <w:jc w:val="right"/>
            </w:pPr>
            <w:r>
              <w:t xml:space="preserve">2.01</w:t>
            </w:r>
          </w:p>
        </w:tc>
        <w:tc>
          <w:tcPr/>
          <w:p>
            <w:pPr>
              <w:pStyle w:val="Compact"/>
              <w:jc w:val="right"/>
            </w:pPr>
            <w:r>
              <w:t xml:space="preserve">13.01</w:t>
            </w:r>
          </w:p>
        </w:tc>
        <w:tc>
          <w:tcPr/>
          <w:p>
            <w:pPr>
              <w:pStyle w:val="Compact"/>
              <w:jc w:val="right"/>
            </w:pPr>
            <w:r>
              <w:t xml:space="preserve">-5.05</w:t>
            </w:r>
          </w:p>
        </w:tc>
        <w:tc>
          <w:tcPr/>
          <w:p>
            <w:pPr>
              <w:pStyle w:val="Compact"/>
              <w:jc w:val="right"/>
            </w:pPr>
            <w:r>
              <w:t xml:space="preserve">-2.91</w:t>
            </w:r>
          </w:p>
        </w:tc>
      </w:tr>
    </w:tbl>
    <w:p>
      <w:pPr>
        <w:pStyle w:val="BodyText"/>
      </w:pPr>
      <w:r>
        <w:t xml:space="preserve">The table presents year-to-year point changes in chronic absenteeism for the four highest-rate subgroups across the most recent year-to-year transitions. The largest single-year increase was 13.06 percentage points for DISADVANTAGE students from 2020 to 2021. The largest single-year decrease was 5.05 percentage points for HISPANIC students from 2021 to 2022.</w:t>
      </w:r>
    </w:p>
    <w:p>
      <w:r>
        <w:pict>
          <v:rect style="width:0;height:1.5pt" o:hralign="center" o:hrstd="t" o:hr="t"/>
        </w:pict>
      </w:r>
    </w:p>
    <w:bookmarkEnd w:id="22"/>
    <w:bookmarkStart w:id="23" w:name="pre-pandemic-comparison"/>
    <w:p>
      <w:pPr>
        <w:pStyle w:val="Heading2"/>
      </w:pPr>
      <w:r>
        <w:t xml:space="preserve">Pre-Pandemic Comparison</w:t>
      </w:r>
    </w:p>
    <w:p>
      <w:pPr>
        <w:pStyle w:val="TableCaption"/>
      </w:pPr>
      <w:r>
        <w:t xml:space="preserve">Pre-Pandemic to Current Comparison (2018 vs 2023)</w:t>
      </w:r>
    </w:p>
    <w:tbl>
      <w:tblPr>
        <w:tblStyle w:val="Table"/>
        <w:tblW w:type="pct" w:w="5000"/>
        <w:tblLayout w:type="fixed"/>
        <w:tblLook w:firstRow="1" w:lastRow="0" w:firstColumn="0" w:lastColumn="0" w:noHBand="0" w:noVBand="0" w:val="0020"/>
        <w:tblCaption w:val="Pre-Pandemic to Current Comparison (2018 vs 2023)"/>
      </w:tblPr>
      <w:tblGrid>
        <w:gridCol w:w="312"/>
        <w:gridCol w:w="1354"/>
        <w:gridCol w:w="1458"/>
        <w:gridCol w:w="1458"/>
        <w:gridCol w:w="1354"/>
        <w:gridCol w:w="1980"/>
      </w:tblGrid>
      <w:tr>
        <w:trPr>
          <w:tblHeader w:val="on"/>
        </w:trPr>
        <w:tc>
          <w:tcPr/>
          <w:p>
            <w:pPr>
              <w:pStyle w:val="Compact"/>
            </w:pPr>
          </w:p>
        </w:tc>
        <w:tc>
          <w:tcPr/>
          <w:p>
            <w:pPr>
              <w:pStyle w:val="Compact"/>
              <w:jc w:val="left"/>
            </w:pPr>
            <w:r>
              <w:t xml:space="preserve">Subgroup</w:t>
            </w:r>
          </w:p>
        </w:tc>
        <w:tc>
          <w:tcPr/>
          <w:p>
            <w:pPr>
              <w:pStyle w:val="Compact"/>
              <w:jc w:val="right"/>
            </w:pPr>
            <w:r>
              <w:t xml:space="preserve">2018 Rate (%)</w:t>
            </w:r>
          </w:p>
        </w:tc>
        <w:tc>
          <w:tcPr/>
          <w:p>
            <w:pPr>
              <w:pStyle w:val="Compact"/>
              <w:jc w:val="right"/>
            </w:pPr>
            <w:r>
              <w:t xml:space="preserve">2023 Rate (%)</w:t>
            </w:r>
          </w:p>
        </w:tc>
        <w:tc>
          <w:tcPr/>
          <w:p>
            <w:pPr>
              <w:pStyle w:val="Compact"/>
              <w:jc w:val="right"/>
            </w:pPr>
            <w:r>
              <w:t xml:space="preserve">Point Change</w:t>
            </w:r>
          </w:p>
        </w:tc>
        <w:tc>
          <w:tcPr/>
          <w:p>
            <w:pPr>
              <w:pStyle w:val="Compact"/>
              <w:jc w:val="right"/>
            </w:pPr>
            <w:r>
              <w:t xml:space="preserve">Percent Change (%)</w:t>
            </w:r>
          </w:p>
        </w:tc>
      </w:tr>
      <w:tr>
        <w:tc>
          <w:tcPr/>
          <w:p>
            <w:pPr>
              <w:pStyle w:val="Compact"/>
              <w:jc w:val="left"/>
            </w:pPr>
            <w:r>
              <w:t xml:space="preserve">3</w:t>
            </w:r>
          </w:p>
        </w:tc>
        <w:tc>
          <w:tcPr/>
          <w:p>
            <w:pPr>
              <w:pStyle w:val="Compact"/>
              <w:jc w:val="left"/>
            </w:pPr>
            <w:r>
              <w:t xml:space="preserve">BLACK</w:t>
            </w:r>
          </w:p>
        </w:tc>
        <w:tc>
          <w:tcPr/>
          <w:p>
            <w:pPr>
              <w:pStyle w:val="Compact"/>
              <w:jc w:val="right"/>
            </w:pPr>
            <w:r>
              <w:t xml:space="preserve">34.19</w:t>
            </w:r>
          </w:p>
        </w:tc>
        <w:tc>
          <w:tcPr/>
          <w:p>
            <w:pPr>
              <w:pStyle w:val="Compact"/>
              <w:jc w:val="right"/>
            </w:pPr>
            <w:r>
              <w:t xml:space="preserve">41.39</w:t>
            </w:r>
          </w:p>
        </w:tc>
        <w:tc>
          <w:tcPr/>
          <w:p>
            <w:pPr>
              <w:pStyle w:val="Compact"/>
              <w:jc w:val="right"/>
            </w:pPr>
            <w:r>
              <w:t xml:space="preserve">7.20</w:t>
            </w:r>
          </w:p>
        </w:tc>
        <w:tc>
          <w:tcPr/>
          <w:p>
            <w:pPr>
              <w:pStyle w:val="Compact"/>
              <w:jc w:val="right"/>
            </w:pPr>
            <w:r>
              <w:t xml:space="preserve">21.06</w:t>
            </w:r>
          </w:p>
        </w:tc>
      </w:tr>
      <w:tr>
        <w:tc>
          <w:tcPr/>
          <w:p>
            <w:pPr>
              <w:pStyle w:val="Compact"/>
              <w:jc w:val="left"/>
            </w:pPr>
            <w:r>
              <w:t xml:space="preserve">4</w:t>
            </w:r>
          </w:p>
        </w:tc>
        <w:tc>
          <w:tcPr/>
          <w:p>
            <w:pPr>
              <w:pStyle w:val="Compact"/>
              <w:jc w:val="left"/>
            </w:pPr>
            <w:r>
              <w:t xml:space="preserve">DISABILITY</w:t>
            </w:r>
          </w:p>
        </w:tc>
        <w:tc>
          <w:tcPr/>
          <w:p>
            <w:pPr>
              <w:pStyle w:val="Compact"/>
              <w:jc w:val="right"/>
            </w:pPr>
            <w:r>
              <w:t xml:space="preserve">44.54</w:t>
            </w:r>
          </w:p>
        </w:tc>
        <w:tc>
          <w:tcPr/>
          <w:p>
            <w:pPr>
              <w:pStyle w:val="Compact"/>
              <w:jc w:val="right"/>
            </w:pPr>
            <w:r>
              <w:t xml:space="preserve">52.01</w:t>
            </w:r>
          </w:p>
        </w:tc>
        <w:tc>
          <w:tcPr/>
          <w:p>
            <w:pPr>
              <w:pStyle w:val="Compact"/>
              <w:jc w:val="right"/>
            </w:pPr>
            <w:r>
              <w:t xml:space="preserve">7.47</w:t>
            </w:r>
          </w:p>
        </w:tc>
        <w:tc>
          <w:tcPr/>
          <w:p>
            <w:pPr>
              <w:pStyle w:val="Compact"/>
              <w:jc w:val="right"/>
            </w:pPr>
            <w:r>
              <w:t xml:space="preserve">16.77</w:t>
            </w:r>
          </w:p>
        </w:tc>
      </w:tr>
      <w:tr>
        <w:tc>
          <w:tcPr/>
          <w:p>
            <w:pPr>
              <w:pStyle w:val="Compact"/>
              <w:jc w:val="left"/>
            </w:pPr>
            <w:r>
              <w:t xml:space="preserve">5</w:t>
            </w:r>
          </w:p>
        </w:tc>
        <w:tc>
          <w:tcPr/>
          <w:p>
            <w:pPr>
              <w:pStyle w:val="Compact"/>
              <w:jc w:val="left"/>
            </w:pPr>
            <w:r>
              <w:t xml:space="preserve">DISADVANTAGE</w:t>
            </w:r>
          </w:p>
        </w:tc>
        <w:tc>
          <w:tcPr/>
          <w:p>
            <w:pPr>
              <w:pStyle w:val="Compact"/>
              <w:jc w:val="right"/>
            </w:pPr>
            <w:r>
              <w:t xml:space="preserve">37.36</w:t>
            </w:r>
          </w:p>
        </w:tc>
        <w:tc>
          <w:tcPr/>
          <w:p>
            <w:pPr>
              <w:pStyle w:val="Compact"/>
              <w:jc w:val="right"/>
            </w:pPr>
            <w:r>
              <w:t xml:space="preserve">44.76</w:t>
            </w:r>
          </w:p>
        </w:tc>
        <w:tc>
          <w:tcPr/>
          <w:p>
            <w:pPr>
              <w:pStyle w:val="Compact"/>
              <w:jc w:val="right"/>
            </w:pPr>
            <w:r>
              <w:t xml:space="preserve">7.40</w:t>
            </w:r>
          </w:p>
        </w:tc>
        <w:tc>
          <w:tcPr/>
          <w:p>
            <w:pPr>
              <w:pStyle w:val="Compact"/>
              <w:jc w:val="right"/>
            </w:pPr>
            <w:r>
              <w:t xml:space="preserve">19.81</w:t>
            </w:r>
          </w:p>
        </w:tc>
      </w:tr>
      <w:tr>
        <w:tc>
          <w:tcPr/>
          <w:p>
            <w:pPr>
              <w:pStyle w:val="Compact"/>
              <w:jc w:val="left"/>
            </w:pPr>
            <w:r>
              <w:t xml:space="preserve">6</w:t>
            </w:r>
          </w:p>
        </w:tc>
        <w:tc>
          <w:tcPr/>
          <w:p>
            <w:pPr>
              <w:pStyle w:val="Compact"/>
              <w:jc w:val="left"/>
            </w:pPr>
            <w:r>
              <w:t xml:space="preserve">ELL</w:t>
            </w:r>
          </w:p>
        </w:tc>
        <w:tc>
          <w:tcPr/>
          <w:p>
            <w:pPr>
              <w:pStyle w:val="Compact"/>
              <w:jc w:val="right"/>
            </w:pPr>
            <w:r>
              <w:t xml:space="preserve">42.64</w:t>
            </w:r>
          </w:p>
        </w:tc>
        <w:tc>
          <w:tcPr/>
          <w:p>
            <w:pPr>
              <w:pStyle w:val="Compact"/>
              <w:jc w:val="right"/>
            </w:pPr>
            <w:r>
              <w:t xml:space="preserve">49.80</w:t>
            </w:r>
          </w:p>
        </w:tc>
        <w:tc>
          <w:tcPr/>
          <w:p>
            <w:pPr>
              <w:pStyle w:val="Compact"/>
              <w:jc w:val="right"/>
            </w:pPr>
            <w:r>
              <w:t xml:space="preserve">7.16</w:t>
            </w:r>
          </w:p>
        </w:tc>
        <w:tc>
          <w:tcPr/>
          <w:p>
            <w:pPr>
              <w:pStyle w:val="Compact"/>
              <w:jc w:val="right"/>
            </w:pPr>
            <w:r>
              <w:t xml:space="preserve">16.79</w:t>
            </w:r>
          </w:p>
        </w:tc>
      </w:tr>
      <w:tr>
        <w:tc>
          <w:tcPr/>
          <w:p>
            <w:pPr>
              <w:pStyle w:val="Compact"/>
              <w:jc w:val="left"/>
            </w:pPr>
            <w:r>
              <w:t xml:space="preserve">8</w:t>
            </w:r>
          </w:p>
        </w:tc>
        <w:tc>
          <w:tcPr/>
          <w:p>
            <w:pPr>
              <w:pStyle w:val="Compact"/>
              <w:jc w:val="left"/>
            </w:pPr>
            <w:r>
              <w:t xml:space="preserve">HISPANIC</w:t>
            </w:r>
          </w:p>
        </w:tc>
        <w:tc>
          <w:tcPr/>
          <w:p>
            <w:pPr>
              <w:pStyle w:val="Compact"/>
              <w:jc w:val="right"/>
            </w:pPr>
            <w:r>
              <w:t xml:space="preserve">39.00</w:t>
            </w:r>
          </w:p>
        </w:tc>
        <w:tc>
          <w:tcPr/>
          <w:p>
            <w:pPr>
              <w:pStyle w:val="Compact"/>
              <w:jc w:val="right"/>
            </w:pPr>
            <w:r>
              <w:t xml:space="preserve">46.06</w:t>
            </w:r>
          </w:p>
        </w:tc>
        <w:tc>
          <w:tcPr/>
          <w:p>
            <w:pPr>
              <w:pStyle w:val="Compact"/>
              <w:jc w:val="right"/>
            </w:pPr>
            <w:r>
              <w:t xml:space="preserve">7.06</w:t>
            </w:r>
          </w:p>
        </w:tc>
        <w:tc>
          <w:tcPr/>
          <w:p>
            <w:pPr>
              <w:pStyle w:val="Compact"/>
              <w:jc w:val="right"/>
            </w:pPr>
            <w:r>
              <w:t xml:space="preserve">18.10</w:t>
            </w:r>
          </w:p>
        </w:tc>
      </w:tr>
    </w:tbl>
    <w:p>
      <w:pPr>
        <w:pStyle w:val="BodyText"/>
      </w:pPr>
      <w:r>
        <w:t xml:space="preserve">The pre-pandemic comparison shows changes from 2018 to 2023 for the five highest-rate subgroups. All subgroups show increases from pre-pandemic levels, with the largest point increase of 7.47 percentage points for DISABILITY students. The smallest increase was 7.06 percentage points for HISPANIC students. In relative terms, the largest percent increase was 21.06% for BLACK students.</w:t>
      </w:r>
    </w:p>
    <w:p>
      <w:r>
        <w:pict>
          <v:rect style="width:0;height:1.5pt" o:hralign="center" o:hrstd="t" o:hr="t"/>
        </w:pict>
      </w:r>
    </w:p>
    <w:bookmarkEnd w:id="23"/>
    <w:bookmarkStart w:id="24" w:name="district-level-patterns"/>
    <w:p>
      <w:pPr>
        <w:pStyle w:val="Heading2"/>
      </w:pPr>
      <w:r>
        <w:t xml:space="preserve">District-Level Patterns</w:t>
      </w:r>
    </w:p>
    <w:p>
      <w:pPr>
        <w:pStyle w:val="TableCaption"/>
      </w:pPr>
      <w:r>
        <w:t xml:space="preserve">Extreme District Chronic Absenteeism Rates - 2023</w:t>
      </w:r>
    </w:p>
    <w:tbl>
      <w:tblPr>
        <w:tblStyle w:val="Table"/>
        <w:tblW w:type="auto" w:w="0"/>
        <w:tblLook w:firstRow="1" w:lastRow="0" w:firstColumn="0" w:lastColumn="0" w:noHBand="0" w:noVBand="0" w:val="0020"/>
        <w:tblCaption w:val="Extreme District Chronic Absenteeism Rates - 2023"/>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District</w:t>
            </w:r>
          </w:p>
        </w:tc>
        <w:tc>
          <w:tcPr/>
          <w:p>
            <w:pPr>
              <w:pStyle w:val="Compact"/>
              <w:jc w:val="left"/>
            </w:pPr>
            <w:r>
              <w:t xml:space="preserve">County</w:t>
            </w:r>
          </w:p>
        </w:tc>
        <w:tc>
          <w:tcPr/>
          <w:p>
            <w:pPr>
              <w:pStyle w:val="Compact"/>
              <w:jc w:val="right"/>
            </w:pPr>
            <w:r>
              <w:t xml:space="preserve">Rate (%)</w:t>
            </w:r>
          </w:p>
        </w:tc>
        <w:tc>
          <w:tcPr/>
          <w:p>
            <w:pPr>
              <w:pStyle w:val="Compact"/>
              <w:jc w:val="right"/>
            </w:pPr>
            <w:r>
              <w:t xml:space="preserve">Students</w:t>
            </w:r>
          </w:p>
        </w:tc>
      </w:tr>
      <w:tr>
        <w:tc>
          <w:tcPr/>
          <w:p>
            <w:pPr>
              <w:pStyle w:val="Compact"/>
              <w:jc w:val="left"/>
            </w:pPr>
            <w:r>
              <w:t xml:space="preserve">Highest</w:t>
            </w:r>
          </w:p>
        </w:tc>
        <w:tc>
          <w:tcPr/>
          <w:p>
            <w:pPr>
              <w:pStyle w:val="Compact"/>
              <w:jc w:val="left"/>
            </w:pPr>
            <w:r>
              <w:t xml:space="preserve">Mountain Valley Unified</w:t>
            </w:r>
          </w:p>
        </w:tc>
        <w:tc>
          <w:tcPr/>
          <w:p>
            <w:pPr>
              <w:pStyle w:val="Compact"/>
              <w:jc w:val="left"/>
            </w:pPr>
            <w:r>
              <w:t xml:space="preserve">Trinity</w:t>
            </w:r>
          </w:p>
        </w:tc>
        <w:tc>
          <w:tcPr/>
          <w:p>
            <w:pPr>
              <w:pStyle w:val="Compact"/>
              <w:jc w:val="right"/>
            </w:pPr>
            <w:r>
              <w:t xml:space="preserve">43.70</w:t>
            </w:r>
          </w:p>
        </w:tc>
        <w:tc>
          <w:tcPr/>
          <w:p>
            <w:pPr>
              <w:pStyle w:val="Compact"/>
              <w:jc w:val="right"/>
            </w:pPr>
            <w:r>
              <w:t xml:space="preserve">238</w:t>
            </w:r>
          </w:p>
        </w:tc>
      </w:tr>
      <w:tr>
        <w:tc>
          <w:tcPr/>
          <w:p>
            <w:pPr>
              <w:pStyle w:val="Compact"/>
              <w:jc w:val="left"/>
            </w:pPr>
            <w:r>
              <w:t xml:space="preserve">Highest</w:t>
            </w:r>
          </w:p>
        </w:tc>
        <w:tc>
          <w:tcPr/>
          <w:p>
            <w:pPr>
              <w:pStyle w:val="Compact"/>
              <w:jc w:val="left"/>
            </w:pPr>
            <w:r>
              <w:t xml:space="preserve">McCabe Union Elementary</w:t>
            </w:r>
          </w:p>
        </w:tc>
        <w:tc>
          <w:tcPr/>
          <w:p>
            <w:pPr>
              <w:pStyle w:val="Compact"/>
              <w:jc w:val="left"/>
            </w:pPr>
            <w:r>
              <w:t xml:space="preserve">Imperial</w:t>
            </w:r>
          </w:p>
        </w:tc>
        <w:tc>
          <w:tcPr/>
          <w:p>
            <w:pPr>
              <w:pStyle w:val="Compact"/>
              <w:jc w:val="right"/>
            </w:pPr>
            <w:r>
              <w:t xml:space="preserve">42.79</w:t>
            </w:r>
          </w:p>
        </w:tc>
        <w:tc>
          <w:tcPr/>
          <w:p>
            <w:pPr>
              <w:pStyle w:val="Compact"/>
              <w:jc w:val="right"/>
            </w:pPr>
            <w:r>
              <w:t xml:space="preserve">222</w:t>
            </w:r>
          </w:p>
        </w:tc>
      </w:tr>
      <w:tr>
        <w:tc>
          <w:tcPr/>
          <w:p>
            <w:pPr>
              <w:pStyle w:val="Compact"/>
              <w:jc w:val="left"/>
            </w:pPr>
            <w:r>
              <w:t xml:space="preserve">Lowest</w:t>
            </w:r>
          </w:p>
        </w:tc>
        <w:tc>
          <w:tcPr/>
          <w:p>
            <w:pPr>
              <w:pStyle w:val="Compact"/>
              <w:jc w:val="left"/>
            </w:pPr>
            <w:r>
              <w:t xml:space="preserve">SBE - Watsonville Prep</w:t>
            </w:r>
          </w:p>
        </w:tc>
        <w:tc>
          <w:tcPr/>
          <w:p>
            <w:pPr>
              <w:pStyle w:val="Compact"/>
              <w:jc w:val="left"/>
            </w:pPr>
            <w:r>
              <w:t xml:space="preserve">Santa Cruz</w:t>
            </w:r>
          </w:p>
        </w:tc>
        <w:tc>
          <w:tcPr/>
          <w:p>
            <w:pPr>
              <w:pStyle w:val="Compact"/>
              <w:jc w:val="right"/>
            </w:pPr>
            <w:r>
              <w:t xml:space="preserve">27.47</w:t>
            </w:r>
          </w:p>
        </w:tc>
        <w:tc>
          <w:tcPr/>
          <w:p>
            <w:pPr>
              <w:pStyle w:val="Compact"/>
              <w:jc w:val="right"/>
            </w:pPr>
            <w:r>
              <w:t xml:space="preserve">233</w:t>
            </w:r>
          </w:p>
        </w:tc>
      </w:tr>
      <w:tr>
        <w:tc>
          <w:tcPr/>
          <w:p>
            <w:pPr>
              <w:pStyle w:val="Compact"/>
              <w:jc w:val="left"/>
            </w:pPr>
            <w:r>
              <w:t xml:space="preserve">Lowest</w:t>
            </w:r>
          </w:p>
        </w:tc>
        <w:tc>
          <w:tcPr/>
          <w:p>
            <w:pPr>
              <w:pStyle w:val="Compact"/>
              <w:jc w:val="left"/>
            </w:pPr>
            <w:r>
              <w:t xml:space="preserve">Pollock Pines Elementary</w:t>
            </w:r>
          </w:p>
        </w:tc>
        <w:tc>
          <w:tcPr/>
          <w:p>
            <w:pPr>
              <w:pStyle w:val="Compact"/>
              <w:jc w:val="left"/>
            </w:pPr>
            <w:r>
              <w:t xml:space="preserve">El Dorado</w:t>
            </w:r>
          </w:p>
        </w:tc>
        <w:tc>
          <w:tcPr/>
          <w:p>
            <w:pPr>
              <w:pStyle w:val="Compact"/>
              <w:jc w:val="right"/>
            </w:pPr>
            <w:r>
              <w:t xml:space="preserve">28.08</w:t>
            </w:r>
          </w:p>
        </w:tc>
        <w:tc>
          <w:tcPr/>
          <w:p>
            <w:pPr>
              <w:pStyle w:val="Compact"/>
              <w:jc w:val="right"/>
            </w:pPr>
            <w:r>
              <w:t xml:space="preserve">381</w:t>
            </w:r>
          </w:p>
        </w:tc>
      </w:tr>
    </w:tbl>
    <w:p>
      <w:pPr>
        <w:pStyle w:val="BodyText"/>
      </w:pPr>
      <w:r>
        <w:t xml:space="preserve">The table identifies the two highest and two lowest performing districts by chronic absenteeism rate for 2023. The highest rate of 43.70% occurs in Mountain Valley Unified in Trinity County, serving 238 students. The lowest rate of 27.47% occurs in SBE - Watsonville Prep in Santa Cruz County, serving 233 students. The difference between the highest and lowest performing districts represents a 16.23 percentage point range.</w:t>
      </w:r>
    </w:p>
    <w:p>
      <w:r>
        <w:pict>
          <v:rect style="width:0;height:1.5pt" o:hralign="center" o:hrstd="t" o:hr="t"/>
        </w:pict>
      </w:r>
    </w:p>
    <w:bookmarkEnd w:id="24"/>
    <w:bookmarkStart w:id="25" w:name="demographic-composition-analysis"/>
    <w:p>
      <w:pPr>
        <w:pStyle w:val="Heading2"/>
      </w:pPr>
      <w:r>
        <w:t xml:space="preserve">Demographic Composition Analysis</w:t>
      </w:r>
    </w:p>
    <w:p>
      <w:pPr>
        <w:pStyle w:val="TableCaption"/>
      </w:pPr>
      <w:r>
        <w:t xml:space="preserve">School Chronic Absenteeism by Demographic Terciles - 2023</w:t>
      </w:r>
    </w:p>
    <w:tbl>
      <w:tblPr>
        <w:tblStyle w:val="Table"/>
        <w:tblW w:type="auto" w:w="0"/>
        <w:tblLook w:firstRow="1" w:lastRow="0" w:firstColumn="0" w:lastColumn="0" w:noHBand="0" w:noVBand="0" w:val="0020"/>
        <w:tblCaption w:val="School Chronic Absenteeism by Demographic Terciles - 2023"/>
      </w:tblPr>
      <w:tblGrid>
        <w:gridCol w:w="1980"/>
        <w:gridCol w:w="1980"/>
        <w:gridCol w:w="1980"/>
        <w:gridCol w:w="1980"/>
      </w:tblGrid>
      <w:tr>
        <w:trPr>
          <w:tblHeader w:val="on"/>
        </w:trPr>
        <w:tc>
          <w:tcPr/>
          <w:p>
            <w:pPr>
              <w:pStyle w:val="Compact"/>
              <w:jc w:val="left"/>
            </w:pPr>
            <w:r>
              <w:t xml:space="preserve">Hispanic %</w:t>
            </w:r>
          </w:p>
        </w:tc>
        <w:tc>
          <w:tcPr/>
          <w:p>
            <w:pPr>
              <w:pStyle w:val="Compact"/>
              <w:jc w:val="left"/>
            </w:pPr>
            <w:r>
              <w:t xml:space="preserve">Disadvantaged %</w:t>
            </w:r>
          </w:p>
        </w:tc>
        <w:tc>
          <w:tcPr/>
          <w:p>
            <w:pPr>
              <w:pStyle w:val="Compact"/>
              <w:jc w:val="right"/>
            </w:pPr>
            <w:r>
              <w:t xml:space="preserve">Absenteeism (%)</w:t>
            </w:r>
          </w:p>
        </w:tc>
        <w:tc>
          <w:tcPr/>
          <w:p>
            <w:pPr>
              <w:pStyle w:val="Compact"/>
              <w:jc w:val="right"/>
            </w:pPr>
            <w:r>
              <w:t xml:space="preserve">Avg Enrollment</w:t>
            </w:r>
          </w:p>
        </w:tc>
      </w:tr>
      <w:tr>
        <w:tc>
          <w:tcPr/>
          <w:p>
            <w:pPr>
              <w:pStyle w:val="Compact"/>
              <w:jc w:val="left"/>
            </w:pPr>
            <w:r>
              <w:t xml:space="preserve">High</w:t>
            </w:r>
          </w:p>
        </w:tc>
        <w:tc>
          <w:tcPr/>
          <w:p>
            <w:pPr>
              <w:pStyle w:val="Compact"/>
              <w:jc w:val="left"/>
            </w:pPr>
            <w:r>
              <w:t xml:space="preserve">High</w:t>
            </w:r>
          </w:p>
        </w:tc>
        <w:tc>
          <w:tcPr/>
          <w:p>
            <w:pPr>
              <w:pStyle w:val="Compact"/>
              <w:jc w:val="right"/>
            </w:pPr>
            <w:r>
              <w:t xml:space="preserve">35.82</w:t>
            </w:r>
          </w:p>
        </w:tc>
        <w:tc>
          <w:tcPr/>
          <w:p>
            <w:pPr>
              <w:pStyle w:val="Compact"/>
              <w:jc w:val="right"/>
            </w:pPr>
            <w:r>
              <w:t xml:space="preserve">241</w:t>
            </w:r>
          </w:p>
        </w:tc>
      </w:tr>
      <w:tr>
        <w:tc>
          <w:tcPr/>
          <w:p>
            <w:pPr>
              <w:pStyle w:val="Compact"/>
              <w:jc w:val="left"/>
            </w:pPr>
            <w:r>
              <w:t xml:space="preserve">Medium</w:t>
            </w:r>
          </w:p>
        </w:tc>
        <w:tc>
          <w:tcPr/>
          <w:p>
            <w:pPr>
              <w:pStyle w:val="Compact"/>
              <w:jc w:val="left"/>
            </w:pPr>
            <w:r>
              <w:t xml:space="preserve">High</w:t>
            </w:r>
          </w:p>
        </w:tc>
        <w:tc>
          <w:tcPr/>
          <w:p>
            <w:pPr>
              <w:pStyle w:val="Compact"/>
              <w:jc w:val="right"/>
            </w:pPr>
            <w:r>
              <w:t xml:space="preserve">35.07</w:t>
            </w:r>
          </w:p>
        </w:tc>
        <w:tc>
          <w:tcPr/>
          <w:p>
            <w:pPr>
              <w:pStyle w:val="Compact"/>
              <w:jc w:val="right"/>
            </w:pPr>
            <w:r>
              <w:t xml:space="preserve">253</w:t>
            </w:r>
          </w:p>
        </w:tc>
      </w:tr>
      <w:tr>
        <w:tc>
          <w:tcPr/>
          <w:p>
            <w:pPr>
              <w:pStyle w:val="Compact"/>
              <w:jc w:val="left"/>
            </w:pPr>
            <w:r>
              <w:t xml:space="preserve">High</w:t>
            </w:r>
          </w:p>
        </w:tc>
        <w:tc>
          <w:tcPr/>
          <w:p>
            <w:pPr>
              <w:pStyle w:val="Compact"/>
              <w:jc w:val="left"/>
            </w:pPr>
            <w:r>
              <w:t xml:space="preserve">Medium</w:t>
            </w:r>
          </w:p>
        </w:tc>
        <w:tc>
          <w:tcPr/>
          <w:p>
            <w:pPr>
              <w:pStyle w:val="Compact"/>
              <w:jc w:val="right"/>
            </w:pPr>
            <w:r>
              <w:t xml:space="preserve">34.96</w:t>
            </w:r>
          </w:p>
        </w:tc>
        <w:tc>
          <w:tcPr/>
          <w:p>
            <w:pPr>
              <w:pStyle w:val="Compact"/>
              <w:jc w:val="right"/>
            </w:pPr>
            <w:r>
              <w:t xml:space="preserve">246</w:t>
            </w:r>
          </w:p>
        </w:tc>
      </w:tr>
      <w:tr>
        <w:tc>
          <w:tcPr/>
          <w:p>
            <w:pPr>
              <w:pStyle w:val="Compact"/>
              <w:jc w:val="left"/>
            </w:pPr>
            <w:r>
              <w:t xml:space="preserve">Low</w:t>
            </w:r>
          </w:p>
        </w:tc>
        <w:tc>
          <w:tcPr/>
          <w:p>
            <w:pPr>
              <w:pStyle w:val="Compact"/>
              <w:jc w:val="left"/>
            </w:pPr>
            <w:r>
              <w:t xml:space="preserve">High</w:t>
            </w:r>
          </w:p>
        </w:tc>
        <w:tc>
          <w:tcPr/>
          <w:p>
            <w:pPr>
              <w:pStyle w:val="Compact"/>
              <w:jc w:val="right"/>
            </w:pPr>
            <w:r>
              <w:t xml:space="preserve">34.59</w:t>
            </w:r>
          </w:p>
        </w:tc>
        <w:tc>
          <w:tcPr/>
          <w:p>
            <w:pPr>
              <w:pStyle w:val="Compact"/>
              <w:jc w:val="right"/>
            </w:pPr>
            <w:r>
              <w:t xml:space="preserve">234</w:t>
            </w:r>
          </w:p>
        </w:tc>
      </w:tr>
      <w:tr>
        <w:tc>
          <w:tcPr/>
          <w:p>
            <w:pPr>
              <w:pStyle w:val="Compact"/>
              <w:jc w:val="left"/>
            </w:pPr>
            <w:r>
              <w:t xml:space="preserve">Medium</w:t>
            </w:r>
          </w:p>
        </w:tc>
        <w:tc>
          <w:tcPr/>
          <w:p>
            <w:pPr>
              <w:pStyle w:val="Compact"/>
              <w:jc w:val="left"/>
            </w:pPr>
            <w:r>
              <w:t xml:space="preserve">Medium</w:t>
            </w:r>
          </w:p>
        </w:tc>
        <w:tc>
          <w:tcPr/>
          <w:p>
            <w:pPr>
              <w:pStyle w:val="Compact"/>
              <w:jc w:val="right"/>
            </w:pPr>
            <w:r>
              <w:t xml:space="preserve">34.45</w:t>
            </w:r>
          </w:p>
        </w:tc>
        <w:tc>
          <w:tcPr/>
          <w:p>
            <w:pPr>
              <w:pStyle w:val="Compact"/>
              <w:jc w:val="right"/>
            </w:pPr>
            <w:r>
              <w:t xml:space="preserve">266</w:t>
            </w:r>
          </w:p>
        </w:tc>
      </w:tr>
    </w:tbl>
    <w:p>
      <w:pPr>
        <w:pStyle w:val="BodyText"/>
      </w:pPr>
      <w:r>
        <w:t xml:space="preserve">Schools with High Disability x High Disadvantaged show the highest chronic absenteeism at 35.87 %, while Low ELL x Low Disadvantaged show the lowest at 33.21 %, representing a 2.66 percentage point difference.</w:t>
      </w:r>
    </w:p>
    <w:p>
      <w:r>
        <w:pict>
          <v:rect style="width:0;height:1.5pt" o:hralign="center" o:hrstd="t" o:hr="t"/>
        </w:pict>
      </w:r>
    </w:p>
    <w:bookmarkEnd w:id="25"/>
    <w:bookmarkStart w:id="26" w:name="school-level-pandemic-recovery"/>
    <w:p>
      <w:pPr>
        <w:pStyle w:val="Heading2"/>
      </w:pPr>
      <w:r>
        <w:t xml:space="preserve">School-Level Pandemic Recovery</w:t>
      </w:r>
    </w:p>
    <w:p>
      <w:pPr>
        <w:pStyle w:val="TableCaption"/>
      </w:pPr>
      <w:r>
        <w:t xml:space="preserve">Pre-Pandemic Recovery Example: Oak Meadow Elementary - Buckeye Union Elementary</w:t>
      </w:r>
    </w:p>
    <w:tbl>
      <w:tblPr>
        <w:tblStyle w:val="Table"/>
        <w:tblW w:type="pct" w:w="5000"/>
        <w:tblLayout w:type="fixed"/>
        <w:tblLook w:firstRow="1" w:lastRow="0" w:firstColumn="0" w:lastColumn="0" w:noHBand="0" w:noVBand="0" w:val="0020"/>
        <w:tblCaption w:val="Pre-Pandemic Recovery Example: Oak Meadow Elementary - Buckeye Union Elementary"/>
      </w:tblPr>
      <w:tblGrid>
        <w:gridCol w:w="1410"/>
        <w:gridCol w:w="1518"/>
        <w:gridCol w:w="1518"/>
        <w:gridCol w:w="1410"/>
        <w:gridCol w:w="2061"/>
      </w:tblGrid>
      <w:tr>
        <w:trPr>
          <w:tblHeader w:val="on"/>
        </w:trPr>
        <w:tc>
          <w:tcPr/>
          <w:p>
            <w:pPr>
              <w:pStyle w:val="Compact"/>
              <w:jc w:val="left"/>
            </w:pPr>
            <w:r>
              <w:t xml:space="preserve">Subgroup</w:t>
            </w:r>
          </w:p>
        </w:tc>
        <w:tc>
          <w:tcPr/>
          <w:p>
            <w:pPr>
              <w:pStyle w:val="Compact"/>
              <w:jc w:val="right"/>
            </w:pPr>
            <w:r>
              <w:t xml:space="preserve">2018 Rate (%)</w:t>
            </w:r>
          </w:p>
        </w:tc>
        <w:tc>
          <w:tcPr/>
          <w:p>
            <w:pPr>
              <w:pStyle w:val="Compact"/>
              <w:jc w:val="right"/>
            </w:pPr>
            <w:r>
              <w:t xml:space="preserve">2023 Rate (%)</w:t>
            </w:r>
          </w:p>
        </w:tc>
        <w:tc>
          <w:tcPr/>
          <w:p>
            <w:pPr>
              <w:pStyle w:val="Compact"/>
              <w:jc w:val="right"/>
            </w:pPr>
            <w:r>
              <w:t xml:space="preserve">Point Change</w:t>
            </w:r>
          </w:p>
        </w:tc>
        <w:tc>
          <w:tcPr/>
          <w:p>
            <w:pPr>
              <w:pStyle w:val="Compact"/>
              <w:jc w:val="right"/>
            </w:pPr>
            <w:r>
              <w:t xml:space="preserve">Percent Change (%)</w:t>
            </w:r>
          </w:p>
        </w:tc>
      </w:tr>
      <w:tr>
        <w:tc>
          <w:tcPr/>
          <w:p>
            <w:pPr>
              <w:pStyle w:val="Compact"/>
              <w:jc w:val="left"/>
            </w:pPr>
            <w:r>
              <w:t xml:space="preserve">DISABILITY</w:t>
            </w:r>
          </w:p>
        </w:tc>
        <w:tc>
          <w:tcPr/>
          <w:p>
            <w:pPr>
              <w:pStyle w:val="Compact"/>
              <w:jc w:val="right"/>
            </w:pPr>
            <w:r>
              <w:t xml:space="preserve">51.35</w:t>
            </w:r>
          </w:p>
        </w:tc>
        <w:tc>
          <w:tcPr/>
          <w:p>
            <w:pPr>
              <w:pStyle w:val="Compact"/>
              <w:jc w:val="right"/>
            </w:pPr>
            <w:r>
              <w:t xml:space="preserve">52.17</w:t>
            </w:r>
          </w:p>
        </w:tc>
        <w:tc>
          <w:tcPr/>
          <w:p>
            <w:pPr>
              <w:pStyle w:val="Compact"/>
              <w:jc w:val="right"/>
            </w:pPr>
            <w:r>
              <w:t xml:space="preserve">0.82</w:t>
            </w:r>
          </w:p>
        </w:tc>
        <w:tc>
          <w:tcPr/>
          <w:p>
            <w:pPr>
              <w:pStyle w:val="Compact"/>
              <w:jc w:val="right"/>
            </w:pPr>
            <w:r>
              <w:t xml:space="preserve">1.60</w:t>
            </w:r>
          </w:p>
        </w:tc>
      </w:tr>
      <w:tr>
        <w:tc>
          <w:tcPr/>
          <w:p>
            <w:pPr>
              <w:pStyle w:val="Compact"/>
              <w:jc w:val="left"/>
            </w:pPr>
            <w:r>
              <w:t xml:space="preserve">ELL</w:t>
            </w:r>
          </w:p>
        </w:tc>
        <w:tc>
          <w:tcPr/>
          <w:p>
            <w:pPr>
              <w:pStyle w:val="Compact"/>
              <w:jc w:val="right"/>
            </w:pPr>
            <w:r>
              <w:t xml:space="preserve">42.24</w:t>
            </w:r>
          </w:p>
        </w:tc>
        <w:tc>
          <w:tcPr/>
          <w:p>
            <w:pPr>
              <w:pStyle w:val="Compact"/>
              <w:jc w:val="right"/>
            </w:pPr>
            <w:r>
              <w:t xml:space="preserve">44.00</w:t>
            </w:r>
          </w:p>
        </w:tc>
        <w:tc>
          <w:tcPr/>
          <w:p>
            <w:pPr>
              <w:pStyle w:val="Compact"/>
              <w:jc w:val="right"/>
            </w:pPr>
            <w:r>
              <w:t xml:space="preserve">1.76</w:t>
            </w:r>
          </w:p>
        </w:tc>
        <w:tc>
          <w:tcPr/>
          <w:p>
            <w:pPr>
              <w:pStyle w:val="Compact"/>
              <w:jc w:val="right"/>
            </w:pPr>
            <w:r>
              <w:t xml:space="preserve">4.17</w:t>
            </w:r>
          </w:p>
        </w:tc>
      </w:tr>
      <w:tr>
        <w:tc>
          <w:tcPr/>
          <w:p>
            <w:pPr>
              <w:pStyle w:val="Compact"/>
              <w:jc w:val="left"/>
            </w:pPr>
            <w:r>
              <w:t xml:space="preserve">DISADVANTAGE</w:t>
            </w:r>
          </w:p>
        </w:tc>
        <w:tc>
          <w:tcPr/>
          <w:p>
            <w:pPr>
              <w:pStyle w:val="Compact"/>
              <w:jc w:val="right"/>
            </w:pPr>
            <w:r>
              <w:t xml:space="preserve">31.19</w:t>
            </w:r>
          </w:p>
        </w:tc>
        <w:tc>
          <w:tcPr/>
          <w:p>
            <w:pPr>
              <w:pStyle w:val="Compact"/>
              <w:jc w:val="right"/>
            </w:pPr>
            <w:r>
              <w:t xml:space="preserve">39.85</w:t>
            </w:r>
          </w:p>
        </w:tc>
        <w:tc>
          <w:tcPr/>
          <w:p>
            <w:pPr>
              <w:pStyle w:val="Compact"/>
              <w:jc w:val="right"/>
            </w:pPr>
            <w:r>
              <w:t xml:space="preserve">8.66</w:t>
            </w:r>
          </w:p>
        </w:tc>
        <w:tc>
          <w:tcPr/>
          <w:p>
            <w:pPr>
              <w:pStyle w:val="Compact"/>
              <w:jc w:val="right"/>
            </w:pPr>
            <w:r>
              <w:t xml:space="preserve">27.77</w:t>
            </w:r>
          </w:p>
        </w:tc>
      </w:tr>
      <w:tr>
        <w:tc>
          <w:tcPr/>
          <w:p>
            <w:pPr>
              <w:pStyle w:val="Compact"/>
              <w:jc w:val="left"/>
            </w:pPr>
            <w:r>
              <w:t xml:space="preserve">HISPANIC</w:t>
            </w:r>
          </w:p>
        </w:tc>
        <w:tc>
          <w:tcPr/>
          <w:p>
            <w:pPr>
              <w:pStyle w:val="Compact"/>
              <w:jc w:val="right"/>
            </w:pPr>
            <w:r>
              <w:t xml:space="preserve">36.59</w:t>
            </w:r>
          </w:p>
        </w:tc>
        <w:tc>
          <w:tcPr/>
          <w:p>
            <w:pPr>
              <w:pStyle w:val="Compact"/>
              <w:jc w:val="right"/>
            </w:pPr>
            <w:r>
              <w:t xml:space="preserve">39.42</w:t>
            </w:r>
          </w:p>
        </w:tc>
        <w:tc>
          <w:tcPr/>
          <w:p>
            <w:pPr>
              <w:pStyle w:val="Compact"/>
              <w:jc w:val="right"/>
            </w:pPr>
            <w:r>
              <w:t xml:space="preserve">2.83</w:t>
            </w:r>
          </w:p>
        </w:tc>
        <w:tc>
          <w:tcPr/>
          <w:p>
            <w:pPr>
              <w:pStyle w:val="Compact"/>
              <w:jc w:val="right"/>
            </w:pPr>
            <w:r>
              <w:t xml:space="preserve">7.73</w:t>
            </w:r>
          </w:p>
        </w:tc>
      </w:tr>
      <w:tr>
        <w:tc>
          <w:tcPr/>
          <w:p>
            <w:pPr>
              <w:pStyle w:val="Compact"/>
              <w:jc w:val="left"/>
            </w:pPr>
            <w:r>
              <w:t xml:space="preserve">BLACK</w:t>
            </w:r>
          </w:p>
        </w:tc>
        <w:tc>
          <w:tcPr/>
          <w:p>
            <w:pPr>
              <w:pStyle w:val="Compact"/>
              <w:jc w:val="right"/>
            </w:pPr>
            <w:r>
              <w:t xml:space="preserve">30.77</w:t>
            </w:r>
          </w:p>
        </w:tc>
        <w:tc>
          <w:tcPr/>
          <w:p>
            <w:pPr>
              <w:pStyle w:val="Compact"/>
              <w:jc w:val="right"/>
            </w:pPr>
            <w:r>
              <w:t xml:space="preserve">39.29</w:t>
            </w:r>
          </w:p>
        </w:tc>
        <w:tc>
          <w:tcPr/>
          <w:p>
            <w:pPr>
              <w:pStyle w:val="Compact"/>
              <w:jc w:val="right"/>
            </w:pPr>
            <w:r>
              <w:t xml:space="preserve">8.52</w:t>
            </w:r>
          </w:p>
        </w:tc>
        <w:tc>
          <w:tcPr/>
          <w:p>
            <w:pPr>
              <w:pStyle w:val="Compact"/>
              <w:jc w:val="right"/>
            </w:pPr>
            <w:r>
              <w:t xml:space="preserve">27.69</w:t>
            </w:r>
          </w:p>
        </w:tc>
      </w:tr>
    </w:tbl>
    <w:p>
      <w:pPr>
        <w:pStyle w:val="BodyText"/>
      </w:pPr>
      <w:r>
        <w:t xml:space="preserve">The table shows pre-pandemic to current chronic absenteeism changes for Oak Meadow Elementary in Buckeye Union Elementary district, displaying the five highest-rate subgroups. The highest current rate of 52.17% occurs among DISABILITY students, representing a 0.82 percentage point change from 2018. The largest point increase was 8.66 percentage points for DISADVANTAGE students, while the smallest increase was 0.82 percentage points for DISABILITY students.</w:t>
      </w:r>
    </w:p>
    <w:p>
      <w:r>
        <w:pict>
          <v:rect style="width:0;height:1.5pt" o:hralign="center" o:hrstd="t" o:hr="t"/>
        </w:pict>
      </w:r>
    </w:p>
    <w:bookmarkEnd w:id="26"/>
    <w:bookmarkStart w:id="30" w:name="state-level-trends-visualization"/>
    <w:p>
      <w:pPr>
        <w:pStyle w:val="Heading2"/>
      </w:pPr>
      <w:r>
        <w:t xml:space="preserve">State-Level Trends Visualization</w:t>
      </w:r>
    </w:p>
    <w:p>
      <w:pPr>
        <w:pStyle w:val="FirstParagraph"/>
      </w:pPr>
      <w:r>
        <w:drawing>
          <wp:inline>
            <wp:extent cx="5334000" cy="3200400"/>
            <wp:effectExtent b="0" l="0" r="0" t="0"/>
            <wp:docPr descr="" title="" id="28" name="Picture"/>
            <a:graphic>
              <a:graphicData uri="http://schemas.openxmlformats.org/drawingml/2006/picture">
                <pic:pic>
                  <pic:nvPicPr>
                    <pic:cNvPr descr="absenteeism_files/figure-docx/state-trends-plot-1.png" id="29" name="Picture"/>
                    <pic:cNvPicPr>
                      <a:picLocks noChangeArrowheads="1" noChangeAspect="1"/>
                    </pic:cNvPicPr>
                  </pic:nvPicPr>
                  <pic:blipFill>
                    <a:blip r:embed="rId27"/>
                    <a:stretch>
                      <a:fillRect/>
                    </a:stretch>
                  </pic:blipFill>
                  <pic:spPr bwMode="auto">
                    <a:xfrm>
                      <a:off x="0" y="0"/>
                      <a:ext cx="5334000" cy="3200400"/>
                    </a:xfrm>
                    <a:prstGeom prst="rect">
                      <a:avLst/>
                    </a:prstGeom>
                    <a:noFill/>
                    <a:ln w="9525">
                      <a:noFill/>
                      <a:headEnd/>
                      <a:tailEnd/>
                    </a:ln>
                  </pic:spPr>
                </pic:pic>
              </a:graphicData>
            </a:graphic>
          </wp:inline>
        </w:drawing>
      </w:r>
    </w:p>
    <w:p>
      <w:r>
        <w:pict>
          <v:rect style="width:0;height:1.5pt" o:hralign="center" o:hrstd="t" o:hr="t"/>
        </w:pict>
      </w:r>
    </w:p>
    <w:bookmarkEnd w:id="30"/>
    <w:bookmarkStart w:id="34" w:name="school-distribution-example"/>
    <w:p>
      <w:pPr>
        <w:pStyle w:val="Heading2"/>
      </w:pPr>
      <w:r>
        <w:t xml:space="preserve">School Distribution Example</w:t>
      </w:r>
    </w:p>
    <w:p>
      <w:pPr>
        <w:pStyle w:val="FirstParagraph"/>
      </w:pPr>
      <w:r>
        <w:drawing>
          <wp:inline>
            <wp:extent cx="5334000" cy="3200400"/>
            <wp:effectExtent b="0" l="0" r="0" t="0"/>
            <wp:docPr descr="" title="" id="32" name="Picture"/>
            <a:graphic>
              <a:graphicData uri="http://schemas.openxmlformats.org/drawingml/2006/picture">
                <pic:pic>
                  <pic:nvPicPr>
                    <pic:cNvPr descr="absenteeism_files/figure-docx/school-histogram-1.png" id="33" name="Picture"/>
                    <pic:cNvPicPr>
                      <a:picLocks noChangeArrowheads="1" noChangeAspect="1"/>
                    </pic:cNvPicPr>
                  </pic:nvPicPr>
                  <pic:blipFill>
                    <a:blip r:embed="rId31"/>
                    <a:stretch>
                      <a:fillRect/>
                    </a:stretch>
                  </pic:blipFill>
                  <pic:spPr bwMode="auto">
                    <a:xfrm>
                      <a:off x="0" y="0"/>
                      <a:ext cx="5334000" cy="3200400"/>
                    </a:xfrm>
                    <a:prstGeom prst="rect">
                      <a:avLst/>
                    </a:prstGeom>
                    <a:noFill/>
                    <a:ln w="9525">
                      <a:noFill/>
                      <a:headEnd/>
                      <a:tailEnd/>
                    </a:ln>
                  </pic:spPr>
                </pic:pic>
              </a:graphicData>
            </a:graphic>
          </wp:inline>
        </w:drawing>
      </w:r>
    </w:p>
    <w:p>
      <w:r>
        <w:pict>
          <v:rect style="width:0;height:1.5pt" o:hralign="center" o:hrstd="t" o:hr="t"/>
        </w:pict>
      </w:r>
    </w:p>
    <w:bookmarkEnd w:id="34"/>
    <w:bookmarkStart w:id="35" w:name="summary"/>
    <w:p>
      <w:pPr>
        <w:pStyle w:val="Heading2"/>
      </w:pPr>
      <w:r>
        <w:t xml:space="preserve">Summary</w:t>
      </w:r>
    </w:p>
    <w:p>
      <w:pPr>
        <w:pStyle w:val="FirstParagraph"/>
      </w:pPr>
      <w:r>
        <w:t xml:space="preserve">This analysis covers 5 years of chronic absenteeism data across 930 districts and 8643 schools. Current statewide rates of 34.5% represent a decrease from the previous year.</w:t>
      </w:r>
    </w:p>
    <w:p>
      <w:pPr>
        <w:pStyle w:val="BodyText"/>
      </w:pPr>
      <w:r>
        <w:t xml:space="preserve">Compared to pre-pandemic levels, the ALL students group shows a 7.57 percentage point change from 2018 to 2023.</w:t>
      </w:r>
    </w:p>
    <w:p>
      <w:pPr>
        <w:pStyle w:val="BodyText"/>
      </w:pPr>
      <w:r>
        <w:rPr>
          <w:i/>
          <w:iCs/>
        </w:rPr>
        <w:t xml:space="preserve">Analysis includes students from 2018 through 2023. Geographic calculations use student-level aggregations across county, district, and school levels.</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Chronic Absenteeism Analysis</dc:title>
  <dc:creator/>
  <cp:keywords/>
  <dcterms:created xsi:type="dcterms:W3CDTF">2025-07-09T20:23:43Z</dcterms:created>
  <dcterms:modified xsi:type="dcterms:W3CDTF">2025-07-09T20:23:43Z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params">
    <vt:lpwstr/>
  </property>
  <property fmtid="{D5CDD505-2E9C-101B-9397-08002B2CF9AE}" pid="8" name="subtitle">
    <vt:lpwstr>Multi-Level Trends and Patterns</vt:lpwstr>
  </property>
  <property fmtid="{D5CDD505-2E9C-101B-9397-08002B2CF9AE}" pid="9" name="toc-title">
    <vt:lpwstr>Table of contents</vt:lpwstr>
  </property>
</Properties>
</file>