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AmarthaxDQLab Data Challenge</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Instruction Notes</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4">
      <w:pPr>
        <w:widowControl w:val="0"/>
        <w:rPr>
          <w:b w:val="1"/>
        </w:rPr>
      </w:pPr>
      <w:r w:rsidDel="00000000" w:rsidR="00000000" w:rsidRPr="00000000">
        <w:rPr>
          <w:b w:val="1"/>
          <w:rtl w:val="0"/>
        </w:rPr>
        <w:t xml:space="preserve">Background:</w:t>
      </w:r>
    </w:p>
    <w:p w:rsidR="00000000" w:rsidDel="00000000" w:rsidP="00000000" w:rsidRDefault="00000000" w:rsidRPr="00000000" w14:paraId="00000005">
      <w:pPr>
        <w:widowControl w:val="0"/>
        <w:rPr/>
      </w:pPr>
      <w:r w:rsidDel="00000000" w:rsidR="00000000" w:rsidRPr="00000000">
        <w:rPr>
          <w:rtl w:val="0"/>
        </w:rPr>
        <w:t xml:space="preserve">Sejak awal, Amartha telah menjalankan misi dalam melayani masyarakat berpenghasilan rendah dengan menyediakan modal untuk meningkatkan pendapatan, menurunkan tingkat kemiskinan, dan menciptakan kesejahteraan. Hingga saat ini, Amartha telah membuka lebih dari 100 cabang menyebar dari Banten sampai Banyuwangi, dengan bermacam-macam indikator kinerja internal yang tiap cabang miliki, kesuksesan Amartha akan bergantung dengan penggunaan framework evaluasi untuk mengukur performa cabang.</w:t>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b w:val="1"/>
        </w:rPr>
      </w:pPr>
      <w:r w:rsidDel="00000000" w:rsidR="00000000" w:rsidRPr="00000000">
        <w:rPr>
          <w:b w:val="1"/>
          <w:rtl w:val="0"/>
        </w:rPr>
        <w:t xml:space="preserve">Reporting period:</w:t>
      </w:r>
    </w:p>
    <w:p w:rsidR="00000000" w:rsidDel="00000000" w:rsidP="00000000" w:rsidRDefault="00000000" w:rsidRPr="00000000" w14:paraId="00000008">
      <w:pPr>
        <w:widowControl w:val="0"/>
        <w:rPr/>
      </w:pPr>
      <w:r w:rsidDel="00000000" w:rsidR="00000000" w:rsidRPr="00000000">
        <w:rPr>
          <w:rtl w:val="0"/>
        </w:rPr>
        <w:t xml:space="preserve">Data Mingguan pencairan (disbursement) untuk tiap cabang sejak tanggal pencairan pertama hingga Oktober 2018</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Objective:</w:t>
      </w:r>
    </w:p>
    <w:p w:rsidR="00000000" w:rsidDel="00000000" w:rsidP="00000000" w:rsidRDefault="00000000" w:rsidRPr="00000000" w14:paraId="0000000B">
      <w:pPr>
        <w:widowControl w:val="0"/>
        <w:numPr>
          <w:ilvl w:val="0"/>
          <w:numId w:val="2"/>
        </w:numPr>
        <w:ind w:left="720" w:hanging="360"/>
        <w:rPr>
          <w:u w:val="none"/>
        </w:rPr>
      </w:pPr>
      <w:r w:rsidDel="00000000" w:rsidR="00000000" w:rsidRPr="00000000">
        <w:rPr>
          <w:rtl w:val="0"/>
        </w:rPr>
        <w:t xml:space="preserve">Data Modelling - Membuat framework untuk mengelompokkan cabang di Amartha berdasarkan variabel kinerja internal.</w:t>
      </w:r>
    </w:p>
    <w:p w:rsidR="00000000" w:rsidDel="00000000" w:rsidP="00000000" w:rsidRDefault="00000000" w:rsidRPr="00000000" w14:paraId="0000000C">
      <w:pPr>
        <w:widowControl w:val="0"/>
        <w:numPr>
          <w:ilvl w:val="0"/>
          <w:numId w:val="2"/>
        </w:numPr>
        <w:ind w:left="720" w:hanging="360"/>
        <w:rPr>
          <w:u w:val="none"/>
        </w:rPr>
      </w:pPr>
      <w:r w:rsidDel="00000000" w:rsidR="00000000" w:rsidRPr="00000000">
        <w:rPr>
          <w:rtl w:val="0"/>
        </w:rPr>
        <w:t xml:space="preserve">Insight &amp; Recommendation Report - Berdasarkan framework yang telah dibuat, berikan saran tindakan potensial yang dapat dilakukan untuk membuka cabang baru ataupun menyelesaikan pinjaman bermasalah.</w:t>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b w:val="1"/>
        </w:rPr>
      </w:pPr>
      <w:r w:rsidDel="00000000" w:rsidR="00000000" w:rsidRPr="00000000">
        <w:rPr>
          <w:b w:val="1"/>
          <w:rtl w:val="0"/>
        </w:rPr>
        <w:t xml:space="preserve">Format pengumpulan:</w:t>
      </w:r>
    </w:p>
    <w:p w:rsidR="00000000" w:rsidDel="00000000" w:rsidP="00000000" w:rsidRDefault="00000000" w:rsidRPr="00000000" w14:paraId="0000000F">
      <w:pPr>
        <w:widowControl w:val="0"/>
        <w:rPr/>
      </w:pPr>
      <w:r w:rsidDel="00000000" w:rsidR="00000000" w:rsidRPr="00000000">
        <w:rPr>
          <w:rtl w:val="0"/>
        </w:rPr>
        <w:t xml:space="preserve">- Laporan yang menjelaskan cara pengerjaan (.pdf)</w:t>
      </w:r>
    </w:p>
    <w:p w:rsidR="00000000" w:rsidDel="00000000" w:rsidP="00000000" w:rsidRDefault="00000000" w:rsidRPr="00000000" w14:paraId="00000010">
      <w:pPr>
        <w:widowControl w:val="0"/>
        <w:rPr/>
      </w:pPr>
      <w:r w:rsidDel="00000000" w:rsidR="00000000" w:rsidRPr="00000000">
        <w:rPr>
          <w:rtl w:val="0"/>
        </w:rPr>
        <w:t xml:space="preserve">- Working file (format tidak ditentukan)</w:t>
      </w:r>
    </w:p>
    <w:p w:rsidR="00000000" w:rsidDel="00000000" w:rsidP="00000000" w:rsidRDefault="00000000" w:rsidRPr="00000000" w14:paraId="00000011">
      <w:pPr>
        <w:widowControl w:val="0"/>
        <w:rPr/>
      </w:pPr>
      <w:r w:rsidDel="00000000" w:rsidR="00000000" w:rsidRPr="00000000">
        <w:rPr>
          <w:rtl w:val="0"/>
        </w:rPr>
        <w:t xml:space="preserve">- Poin plus bila reproducible</w:t>
      </w:r>
    </w:p>
    <w:p w:rsidR="00000000" w:rsidDel="00000000" w:rsidP="00000000" w:rsidRDefault="00000000" w:rsidRPr="00000000" w14:paraId="00000012">
      <w:pPr>
        <w:widowControl w:val="0"/>
        <w:rPr/>
      </w:pPr>
      <w:r w:rsidDel="00000000" w:rsidR="00000000" w:rsidRPr="00000000">
        <w:rPr>
          <w:rtl w:val="0"/>
        </w:rPr>
        <w:t xml:space="preserve">- Poin plusplus apabila menggunakan git</w:t>
      </w:r>
    </w:p>
    <w:p w:rsidR="00000000" w:rsidDel="00000000" w:rsidP="00000000" w:rsidRDefault="00000000" w:rsidRPr="00000000" w14:paraId="00000013">
      <w:pPr>
        <w:widowControl w:val="0"/>
        <w:rPr/>
      </w:pPr>
      <w:r w:rsidDel="00000000" w:rsidR="00000000" w:rsidRPr="00000000">
        <w:rPr>
          <w:rtl w:val="0"/>
        </w:rPr>
        <w:t xml:space="preserve">- Sertakan CV dan Cover Letter jika ingin mendaftar menjadi pegawai Amartha</w:t>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shd w:fill="auto" w:val="clear"/>
          <w:vertAlign w:val="baseline"/>
          <w:rtl w:val="0"/>
        </w:rPr>
        <w:t xml:space="preserve">Benefit yang akan didapatkan: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Member DQLab yang mengerjakan #DataChallenge AmarthaxDQLab dapat request feedback</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 yang sudah bagus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 yang perlu diperbaiki</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 yang perlu ditambah</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Kesempatan untuk magang di Amartha</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Mendapat prioritas menjadi pegawai tetap Amartha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PS: </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Untuk magang, di Amartha pekerjaannya beneran akan megang real project yang sedang dibutuhkan oleh tim Data. </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w:t>
      </w:r>
      <w:r w:rsidDel="00000000" w:rsidR="00000000" w:rsidRPr="00000000">
        <w:rPr>
          <w:rtl w:val="0"/>
        </w:rPr>
        <w:t xml:space="preserve">ekan-rekan yang terpilih akan memiliki kesempatan untuk memimpin project ini, karena challenge ini adalah salah satu project yang sedang ongoing di Amartha! </w:t>
      </w: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rtl w:val="0"/>
        </w:rPr>
        <w:t xml:space="preserve">Kirimkan ke: </w:t>
      </w:r>
      <w:hyperlink r:id="rId6">
        <w:r w:rsidDel="00000000" w:rsidR="00000000" w:rsidRPr="00000000">
          <w:rPr>
            <w:color w:val="1155cc"/>
            <w:u w:val="single"/>
            <w:rtl w:val="0"/>
          </w:rPr>
          <w:t xml:space="preserve">dqlab@umn.ac.id</w:t>
        </w:r>
      </w:hyperlink>
      <w:r w:rsidDel="00000000" w:rsidR="00000000" w:rsidRPr="00000000">
        <w:rPr>
          <w:rtl w:val="0"/>
        </w:rPr>
      </w:r>
    </w:p>
    <w:p w:rsidR="00000000" w:rsidDel="00000000" w:rsidP="00000000" w:rsidRDefault="00000000" w:rsidRPr="00000000" w14:paraId="00000021">
      <w:pPr>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Dearline: 05 November 2018 | midnight (lebih cepat, lebih baik)</w:t>
      </w:r>
      <w:r w:rsidDel="00000000" w:rsidR="00000000" w:rsidRPr="00000000">
        <w:rPr>
          <w:rtl w:val="0"/>
        </w:rPr>
      </w:r>
    </w:p>
    <w:sectPr>
      <w:pgSz w:h="15840" w:w="12240"/>
      <w:pgMar w:bottom="1080" w:top="99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qlab@umn.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