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Latent Chemical Recognition Diversity in an Evolved Periplasmic Binding Protein Biosensor Family</w:t>
      </w:r>
    </w:p>
    <w:p>
      <w:r>
        <w:t>Eryney Marrogi¹,², Anand Muthusamy², Aaron Nichols², Henry Lester²</w:t>
      </w:r>
    </w:p>
    <w:p>
      <w:r>
        <w:t>¹ Larner Medical College, Burlington, VT</w:t>
      </w:r>
    </w:p>
    <w:p>
      <w:r>
        <w:t>² Division of Biology and Biological Engineering, Caltech, Pasadena, CA</w:t>
      </w:r>
    </w:p>
    <w:p>
      <w:pPr>
        <w:pStyle w:val="Heading1"/>
      </w:pPr>
      <w:r>
        <w:t>Abstract</w:t>
      </w:r>
    </w:p>
    <w:p>
      <w:r>
        <w:t>Genetically encoded fluorescent biosensors couple molecular recognition and optical readout within a single protein, and each new analyte typically requires a fresh engineering campaign. We asked whether sensors already engineered for one target retain useful recognition scope for others. We screened 18 related OpuBC/cpGFP sensors, originally built for nicotine, nicotinic agonists, SSRIs, opioids, and related drug-like ligands, against 63 structurally diverse compounds. We detected 24 ligands above ΔF/F0 = 0.3, a threshold sufficient to seed engineering, and 8 above ΔF/F0 = 1.0. Non-native hits included DEHP, ergothioneine, ciprofloxacin, thiamine, betahistine, L-carnitine, and L-thyroxine. Ciprofloxacin was the strongest immediate lead, with four sensors giving dose-dependent responses at fitted EC50 values of 22.4 to 53.7 µM and measurable signal from the single-digit micromolar range. The screen also exposed sequence-function cliffs. Tap1.0 and V7 differ by a single aromatic-cage mutation (W436A), yet their response fingerprints were uncorrelated (r = −0.017). Across the scaffold set, mutation distance predicted functional similarity only weakly, and close sequence neighbors frequently carried different chemical scope. Broad empirical screening therefore offers a rapid front end for biosensor engineering, because a small family of related PBP/cpGFP scaffolds can reveal starting points for ligands well outside its selection history.</w:t>
      </w:r>
    </w:p>
    <w:p>
      <w:pPr>
        <w:pStyle w:val="Heading1"/>
      </w:pPr>
      <w:r>
        <w:t>Introduction</w:t>
      </w:r>
    </w:p>
    <w:p>
      <w:r>
        <w:t>Periplasmic binding protein (PBP) biosensors convert small-molecule binding into a fluorescent readout. A PBP closes around its ligand, and a circularly permuted fluorescent protein (cpGFP) inserted into the scaffold reports that motion as a change in fluorescence (Figure 1A,B). The resulting genetically encoded sensor can be purified for analytical assays, immobilized in a device, or expressed in cells.</w:t>
      </w:r>
    </w:p>
    <w:p>
      <w:r>
        <w:t>The rate-limiting step is production of the first working sensor for a new ligand. A typical campaign begins with a binding protein, searches insertion sites and linkers, and mutates the binding pocket until affinity and fluorescence coupling reach a usable range. This process is labor-intensive per target and is most difficult when the analyte has no obvious natural binding protein.</w:t>
      </w:r>
    </w:p>
    <w:p>
      <w:r>
        <w:t>Protein design and structure prediction are advancing rapidly, yet allosteric biosensors remain a difficult class because ligand binding, conformational switching, fluorescence coupling, and expression must all cooperate. An experimentally detected weak hit is therefore valuable in its own right. A ΔF/F0 near 0.3 already establishes a foothold, because the scaffold binds a ligand in a geometry that moves the reporter, even when affinity, dynamic range, and selectivity still require tuning.</w:t>
      </w:r>
    </w:p>
    <w:p>
      <w:r>
        <w:t>We tested whether such footholds already exist within an evolved OpuBC/cpGFP biosensor family. OpuBC is a choline-binding PBP that has been repurposed into sensors for nicotine, nicotinic agonists, SSRIs, opioids, and related drug-like ligands. Many family members are engineering intermediates rather than final published sensors, which supports a broader question about how much chemical recognition was created, retained, or exposed along those engineering paths. We screened 18 sensors against 63 compounds spanning metabolites, drugs, hormones, neurotransmitters, and environmental chemicals. Throughout, latent recognition scope denotes ligands detected outside a scaffold's natural and engineered targets, ligand hit breadth denotes the number of sensors a ligand activates, and sensor hit breadth denotes the number of ligands a sensor detects.</w:t>
      </w:r>
    </w:p>
    <w:p>
      <w:r>
        <w:rPr>
          <w:i/>
        </w:rPr>
        <w:t>Figure 1. The OpuBC/cpGFP biosensor scaffold and its ligand-binding pocket. (A) Crystal structure of iNicSnFR3a (cc93; PDB 7S7U⁴) colored by module, with the PBP recognition domain in magenta, the cpGFP reporter in green, and the connecting linkers in cyan. Orange spheres mark the 31 positions that vary across the 17-member scaffold family (Cα), the four aromatic-cage residues Y65, Y357, F391, and W436 are drawn as yellow sticks, and the GFP chromophore is shown in limon. (B) Sensing mechanism, in which ligand binding closes the PBP and this motion switches cpGFP from a dim to a bright state. (C) Binding pocket with ciprofloxacin (yellow sticks) placed by blind diffusion docking (DiffDock-L).¹¹ Aromatic-cage and pocket residues (Y65, Y357, F391, W436, Y460, T360) are shown as marine sticks. The pose is illustrative, and 7S7U has no ligand resolved in the pocket, so the geometry has not been experimentally determined. Residue 457 is phenylalanine in this family. (D) Full-length structure prediction (ESMFold⁶, mean pLDDT ≈ 70) superposed on 7S7U (grey) over the PBP domain. The predicted PBP lobes (blue) overlay the crystal closely (Cα RMSD 1.3 Å over the folded core), whereas the predicted linker and cpGFP module (orange) are displaced by ≈ 21 Å. Current end-to-end predictors reproduce the PBP fold but not the placement of the inserted reporter, so structure-guided design here remains anchored on the experimental PBP scaffold.</w:t>
      </w:r>
    </w:p>
    <w:p>
      <w:pPr>
        <w:pStyle w:val="Heading1"/>
      </w:pPr>
      <w:r>
        <w:t>Results</w:t>
      </w:r>
    </w:p>
    <w:p>
      <w:pPr>
        <w:pStyle w:val="Heading2"/>
      </w:pPr>
      <w:r>
        <w:t>Broad screening reveals structured latent recognition</w:t>
      </w:r>
    </w:p>
    <w:p>
      <w:r>
        <w:t>The panel comprised 17 OpuBC/cpGFP scaffold sensors plus one sequence-outgroup control, Fent2 436L. The main lineage runs from early nicotine-responsive constructs through iNicSnFR3a (cc93), iNicSnFR3b (V7), later acetylcholine intermediates, and iAChSnFR (V9), with serotonin, escitalopram, cytisine, fluoxetine, tapentadol, and levorphanol facing branches. Across the 17 scaffolds, pairwise identity ranges from 95.0 to 99.8%. Only 31 of 521 aligned positions vary, and several lie near residues implicated in selectivity, including Y357 and W436. W436 lies in the aromatic cage that recognizes cationic ligands in this family, which makes mutations at this position plausible switches for substrate scope (Figure 1C,D). The sensors are therefore close in sequence but functionally separable, and these conditions are what allow latent scope to be probed.</w:t>
      </w:r>
    </w:p>
    <w:p>
      <w:r>
        <w:t>Screening 18 sensors against 63 ligands at a single concentration, we computed ΔF/F0 relative to no-ligand controls. Responses ranged from −0.90 to 12.14. We used ΔF/F0 = 0.3 as a permissive engineering-hit threshold, which marks a weak but engineerable fluorescence change rather than a finished sensor, and ΔF/F0 = 1.0 as a strong-response threshold. Twenty-four of 63 ligands activated at least one sensor above 0.3, and 8 exceeded 1.0. These 8 were nicotine, thiamine, DEHP, ergothioneine, betahistine, ciprofloxacin, L-carnitine, and L-thyroxine.</w:t>
      </w:r>
    </w:p>
    <w:p>
      <w:r>
        <w:t>The pair-level screen was sparse but non-random. Of 1,134 sensor-ligand combinations, 124 exceeded 0.3 and 50 exceeded 1.0. Nicotine gave the largest native-class signal (maximum ΔF/F0 = 12.14, with 10 sensors above 1.0). This result was expected, because many of the tested sensors derive from an engineered family of nicotine sensors. Several non-native ligands also produced large responses, including thiamine at 4.72, DEHP at 3.24, ergothioneine at 3.04, betahistine at 2.75, and ciprofloxacin at 2.50.</w:t>
      </w:r>
    </w:p>
    <w:p>
      <w:r>
        <w:t>Grouped by pre-specified chemical scope, hits appeared in all three classes of alkaloid-like, non-alkaloid charged, and non-alkaloid uncharged ligands. The charged non-alkaloid group was small but yielded 3 strong responses among 6 compounds, and the larger uncharged non-alkaloid group contained DEHP, ciprofloxacin, and L-thyroxine. Figure 2C shows representative structures spanning the charge, size, and shape range. The central observation is that a family founded on a choline-binding PBP now detects compounds of widely varied charge and shape.</w:t>
      </w:r>
    </w:p>
    <w:p>
      <w:r>
        <w:t>DEHP was the broadest non-native hit, activating 13 sensors above 0.3 and 10 above 1.0, and ciprofloxacin activated 11 and 8, respectively. Ergothioneine and thiamine exceeded 1.0 in 9 and 7 sensors, respectively. MEHP, which differs from DEHP only by replacement of one ethylhexyl ester with a carboxylate, activated no sensor above 1.0. This result implicates a hydrophobic DEHP recognition mode rather than a generic phthalate response.</w:t>
      </w:r>
    </w:p>
    <w:p>
      <w:r>
        <w:rPr>
          <w:i/>
        </w:rPr>
        <w:t>Figure 2. Compound screen grouped by ligand scope. (A) Full 63 ligand × 18 sensor response matrix, grouped into alkaloid-like, non-alkaloid charged, and non-alkaloid uncharged ligands. Values ≤ 0 are displayed as zero and the color scale is capped at ΔF/F0 = 4 so weak and moderate hits remain visible. The largest nicotine response is 12.14. (B) Number of sensors responding to each ligand at ΔF/F0 &gt; 0.3 and &gt; 1.0. (C) Representative structures from the 3 scope classes, showing nicotine, thiamine, and DEHP.</w:t>
      </w:r>
    </w:p>
    <w:p>
      <w:pPr>
        <w:pStyle w:val="Heading2"/>
      </w:pPr>
      <w:r>
        <w:t>Sequence-function cliffs reshape ligand fingerprints</w:t>
      </w:r>
    </w:p>
    <w:p>
      <w:r>
        <w:t>Mutation distance predicted functional similarity only weakly. Across the 17 scaffolds, pairwise mutation count correlated negatively with response-profile correlation (r = −0.363, p = 1.4 × 10⁻⁵), yet the spread around this trend was large, and many close neighbors carried divergent fingerprints. Across parent-child steps of 1 to 3 mutations, as many as 12 of 63 ligands crossed the meaningful-response threshold (Figure 3B).</w:t>
      </w:r>
    </w:p>
    <w:p>
      <w:r>
        <w:t>Tap1.0 and V7 illustrate the extreme case. They differ by a single internal mutation, W436A, yet 12 ligand-response states changed. Tap1.0 gained 2 hits and lost 10 relative to V7, and their response fingerprints were uncorrelated (r = −0.017). Two further examples reinforce the pattern. Tap1.0 and V8 differ by 3 internal mutations (r = −0.026), and iEscSnFR and Tap1.0 differ by 2 (r = 0.002). These are sequence-function cliffs, in which a small sequence change produces a large functional change.</w:t>
      </w:r>
    </w:p>
    <w:p>
      <w:r>
        <w:t>The Tap1.0/V7 pair is the clearest example because it maps to a mechanistically interpretable residue. V7 retains W436 and responds strongly to nicotine, DEHP, thiamine, ergothioneine, ciprofloxacin, and other ligands. Tap1.0 carries W436A, which removes an aromatic side chain from the cage, eliminates most of that breadth, and produces a different profile.</w:t>
      </w:r>
    </w:p>
    <w:p>
      <w:r>
        <w:rPr>
          <w:i/>
        </w:rPr>
        <w:t>Figure 3. A few mutations can redirect ligand recognition across the OpuBC/cpGFP family. (A) Screened sensor lineage in the simplified paper-facing taxonomy. Tap1.0 is highlighted because it differs from V7 by W436A, and Fent2 436L is shown as the sequence-outgroup negative control but excluded from scaffold-only sequence analyses. (B) Number of ligands changing hit status across each parent-child step of 1 to 3 mutations, where a status change means crossing ΔF/F0 = 0.3 in either direction. V7→Tap1.0 and cc93→AK1 each changed 12 of 63 ligand-response states, after 1 and 2 mutations respectively. (C) Tap1.0 and V7 responses for the 14 ligands with the largest absolute differences. The broken y-axis isolates the nicotine response (ΔF/F0 = 10.83 in V7) while preserving the scale of the remaining ligands. Dotted and dashed lines mark ΔF/F0 = 0.3 and 1.0.</w:t>
      </w:r>
    </w:p>
    <w:p>
      <w:pPr>
        <w:pStyle w:val="Heading2"/>
      </w:pPr>
      <w:r>
        <w:t>Ciprofloxacin sensors approach an application-relevant range</w:t>
      </w:r>
    </w:p>
    <w:p>
      <w:r>
        <w:t>We fit dose-response curves for selected hits. Four sensors gave clear dose-dependent ciprofloxacin responses with high fit quality. Well H2 was anomalously low across sensors in the ciprofloxacin plates, which was determined to result from a faulty well that received no ligand volume. We excluded that single well and recomputed the 200 µM point from the remaining 2 replicates. iEscSnFR, V7.1, V9, and V7 gave EC50 values of 22.4, 35.9, 45.3, and 53.7 µM (R² = 0.990 to 0.999).</w:t>
      </w:r>
    </w:p>
    <w:p>
      <w:r>
        <w:t>These EC50 values exceed standard plasma exposure, yet the curves already produce measurable signal within the clinically relevant range. The ciprofloxacin label reports a steady-state Cmax of 2.97 µg/mL for 500 mg administered orally every 12 hours, which corresponds to approximately 9 µM (molecular weight 331.4 g/mol). At 6.3 to 20 µM, the four sensors gave ΔF/F0 of approximately 0.45 to 1.67. After the H2 correction, the 200 µM points rose above the 63 µM points, so these are first-pass dose responses rather than saturation measurements. A focused campaign should improve both apparent affinity and slope. Ciprofloxacin is the strongest immediate lead from the screen.</w:t>
      </w:r>
    </w:p>
    <w:p>
      <w:r>
        <w:t>Other ligands showed useful but less mature behavior. DEHP gave a well-fit within-range response in V4.8.1.2 (EC50 = 34.5 µM, ΔFmax = 2.8), and L194 and V7 also responded but only as lower-bound fits. Thiamine, ergothioneine, and L-carnitine produced high top-end responses but generally required concentrations above physiological plasma ranges. These compounds represent engineering starting points rather than finished sensors.</w:t>
      </w:r>
    </w:p>
    <w:p>
      <w:r>
        <w:rPr>
          <w:i/>
        </w:rPr>
        <w:t>Figure 4. Dose responses for the strongest latent-recognition leads. Points show mean ΔF/F0 from 3 technical replicates, and error bars show propagated SEM. Ciprofloxacin responses in iEscSnFR, V7.1, V7, and V9 give fitted EC50 values of 22.4 to 53.7 µM after excluding the known bad H2 well at 200 µM and recomputing that point from the remaining 2 replicates. Solid red curves indicate within-range fits, and dashed gray curves indicate lower-bound behavior. DEHP includes a within-range fit for V4.8.1.2 and lower-bound behavior in L194. Thiamine, ergothioneine, and L-carnitine show large top-end responses but need affinity improvement for most physiological applications.</w:t>
      </w:r>
    </w:p>
    <w:p>
      <w:pPr>
        <w:pStyle w:val="Heading1"/>
      </w:pPr>
      <w:r>
        <w:t>Discussion</w:t>
      </w:r>
    </w:p>
    <w:p>
      <w:r>
        <w:t>Evolved PBP/cpGFP biosensor families can be screened as reusable recognition libraries. Sensors built for nicotine-related ligands, SSRIs, and opioids yielded starting points for ciprofloxacin, DEHP, ergothioneine, thiamine, betahistine, L-carnitine, and L-thyroxine. A broad screen can therefore shorten the first step of biosensor design by identifying scaffolds that already couple a new ligand to fluorescence.</w:t>
      </w:r>
    </w:p>
    <w:p>
      <w:r>
        <w:t>Intermediate constructs are central to this argument. Laboratories usually retain only the final named sensor, yet intermediates can carry the most divergent recognition profiles. In this family, broad response capacity was distributed across the lineage rather than confined to one construct. V7.1.2, V9, iEscSnFR, V7.1, V8, and V7 were among the broadest responders by sensor hit breadth.</w:t>
      </w:r>
    </w:p>
    <w:p>
      <w:r>
        <w:t>Ciprofloxacin is the cleanest lead, detected by multiple sensors, giving micromolar-scale dose responses, and producing measurable signal near standard serum exposure after oral dosing. To our knowledge, these are the first genetically encoded protein biosensor starting points for ciprofloxacin. The sensors still require improved affinity and slope, but they begin close enough that a focused directed-evolution campaign could plausibly reach clinical sensitivity. This expectation is grounded in this sensor class, in which computationally guided engineering of iNicSnFR3a produced iNicSnFR12 with a 6.1-fold higher delta-slope than its parent.</w:t>
      </w:r>
    </w:p>
    <w:p>
      <w:r>
        <w:t>The existing lineage supplies an empirical scale for assessing whether such engineering gaps are plausible (Figure 5). V7 and iEscSnFR differ only by T360S, and for ciprofloxacin that single substitution improved apparent sensitivity 2.4 to 3.0-fold (EC50 from 53.7 to 22.4 µM, and ΔFmax/EC50 from 0.041 to 0.123 µM⁻¹). The best ciprofloxacin sensor requires only an approximately 2.5-fold shift to reach the approximately 9 µM steady-state Cmax, which is within the gain already produced by one mutation in this family. L-carnitine and erythrocyte ergothioneine have minimum gaps of similar scale, although their unsaturated curves leave the true requirements uncertain. Thiamine and DEHP remain longer-term targets.</w:t>
      </w:r>
    </w:p>
    <w:p>
      <w:r>
        <w:t>DEHP is instructive for a further reason. It carries no nitrogen and has no obvious relationship to the cationic ligands that shaped the family, yet it is detected broadly, whereas the closely related monoester MEHP produces no strong activation. This result points to a hydrophobic pocket-fitting mode and cautions against over-interpreting simple ligand descriptors. Charge contributes in some cases, particularly for permanent cations, but shape and fit also matter.</w:t>
      </w:r>
    </w:p>
    <w:p>
      <w:r>
        <w:t>The sequence-function cliffs are the result most relevant to machine-learning-guided design. Protein language model embeddings and raw mutation distance largely track sequence divergence in this family, and neither anticipates that W436A can nearly erase the correlation between close neighbors. A model that treats nearby sequences as nearby functions will miss these switches. Experimental screens are therefore valuable as training data, because they supply adversarial examples of close sequences with divergent functions and of distant chemical structures detected by nearby scaffolds.</w:t>
      </w:r>
    </w:p>
    <w:p>
      <w:r>
        <w:t>Standard assay caveats apply. Fluorescent protein sensors can respond to pH, solvent, aggregation, or direct fluorescence. Ritalinic acid produced global suppression across all 18 sensors, which we do not interpret as productive pocket closure without follow-up experiments. Full dose responses, Hill coefficients near 1, and orthogonal validation are the appropriate filters for converting screen hits into mechanistic claims.</w:t>
      </w:r>
    </w:p>
    <w:p>
      <w:r>
        <w:t>This study provides a map of starting points rather than a finished sensor catalog. The most immediate next step is focused evolution from the ciprofloxacin-responsive scaffolds. A second step is to extend the workflow across other published PBP/cpGFP families, including the intermediate mutants usually omitted from final papers. Scaffold selection, broad screening, and machine-learning-guided mutagenesis complement one another when each addresses the step it is suited to. Screens identify footholds, models propose mutations, and directed evolution tests the coupled allosteric machine.</w:t>
      </w:r>
    </w:p>
    <w:p>
      <w:r>
        <w:rPr>
          <w:i/>
        </w:rPr>
        <w:t>Figure 5. Small sequence changes can close near-term sensitivity gaps. Two-dimensional structures are shown beside potential clinical, physiological, or environmental use cases. The x-axis reports the fold improvement needed to bring current apparent sensitivity to the upper end of an application-relevant concentration range. The red ciprofloxacin bar uses the measured best EC50 of 22.4 µM and a steady-state plasma Cmax of ≈ 9 µM. Gray arrowheads mark minimum requirements where dose-response curves did not plateau by 200 µM or where the contextual exposure is an upper bound. Ergothioneine is benchmarked against the upper erythrocyte range of 160 µM, and its plasma gap would exceed 65-fold. The blue band marks the gain already observed for the single T360S change from V7 to iEscSnFR, where ciprofloxacin EC50 improves 2.4-fold and ΔFmax/EC50 improves 3.0-fold. Concentration ranges are literature context values and require final source verification before submission.</w:t>
      </w:r>
    </w:p>
    <w:p>
      <w:pPr>
        <w:pStyle w:val="Heading1"/>
      </w:pPr>
      <w:r>
        <w:t>Methods</w:t>
      </w:r>
    </w:p>
    <w:p>
      <w:pPr>
        <w:pStyle w:val="Heading2"/>
      </w:pPr>
      <w:r>
        <w:t>Sensor panel and ligand screen</w:t>
      </w:r>
    </w:p>
    <w:p>
      <w:r>
        <w:t>The dataset comprises 18 genetically encoded fluorescent biosensors screened against 63 ligands plus a no-ligand control. Sensor names, protein sequences, ligand names, SMILES strings, and single-concentration ΔF/F0 responses were parsed from the per-sensor raw and analyzed screening workbooks under data/raw/raw_screening_data, following the published plate-screening workflow for related CNS drug biosensor screens. The analyzed workbooks store matched ligand and baseline fluorescence values, and full-precision ΔF/F0 values were rebuilt from those workbooks rather than from the rounded combined heatmap. The no-ligand control row was excluded from ligand counts and downstream summaries.</w:t>
      </w:r>
    </w:p>
    <w:p>
      <w:r>
        <w:t>Responses were analyzed as ΔF/F0 relative to matched no-ligand or solvent baselines. Screening SEM values were propagated from the ligand and matched baseline SEM values and are reported in the supplement. We used ΔF/F0 &gt; 0.3 as a permissive engineering-hit threshold and ΔF/F0 &gt; 1.0 as a strong-response threshold. Ligand hit breadth and sensor hit breadth were computed as the number of sensors or ligands exceeding a threshold.</w:t>
      </w:r>
    </w:p>
    <w:p>
      <w:pPr>
        <w:pStyle w:val="Heading2"/>
      </w:pPr>
      <w:r>
        <w:t>Ligand-scope classification</w:t>
      </w:r>
    </w:p>
    <w:p>
      <w:r>
        <w:t>Ligands were assigned to 3 pre-specified scope classes for Figure 2, alkaloid-like, non-alkaloid charged, and non-alkaloid uncharged. Alkaloid-like ligands included nicotine and related nitrogen-containing bioactive compounds. Charged compounds, including zwitterions and permanent cations, were identified from formal charges in RDKit-parsed SMILES, and the remainder were assigned to the non-alkaloid uncharged class.</w:t>
      </w:r>
    </w:p>
    <w:p>
      <w:pPr>
        <w:pStyle w:val="Heading2"/>
      </w:pPr>
      <w:r>
        <w:t>Dose-response fitting</w:t>
      </w:r>
    </w:p>
    <w:p>
      <w:r>
        <w:t>Dose-response files were rebuilt from the raw Excel workbooks under data/raw/raw_dose_response_data. Each sheet contained 3 replicate rows, a baseline column, and 8 ligand concentrations beginning at 200 µM and serially diluted by a factor of √10. ΔF/F0 was computed from the mean ligand and mean baseline fluorescence, and SEM was propagated from ligand and baseline standard deviations divided by the square root of the number of finite replicate wells. Four weak or negative extra curves were excluded from the processed set. These were MEHP_cc93, aspartame_iLevaSnFR, bilirubin_V4.8.1.2, and theobromine_Tap1.0. In the ciprofloxacin plates, well H2 at the highest concentration was a known bad well. It was excluded, and the 200 µM point was recomputed from the remaining 2 replicates. SEM values were converted to absolute values.</w:t>
      </w:r>
    </w:p>
    <w:p>
      <w:r>
        <w:t>Curves were fit with a 4-parameter Hill model, F(x) = baseline + ΔFmax / (1 + (EC50 / x)ⁿ).</w:t>
      </w:r>
    </w:p>
    <w:p>
      <w:r>
        <w:t>Fits used the SciPy curve_fit routine with multiple starting EC50 and Hill-coefficient guesses, with lower bounds of ΔFmax ≥ 0, EC50 ≥ 1 × 10⁻⁴ µM, and n ≥ 0.1, and upper bounds of EC50 ≤ 1 × 10⁶ µM and n ≤ 10. Curves with a response range below 0.12 ΔF/F0 were flagged as noise, and those with a near-flat body followed by a single high-concentration jump were flagged as step-like. Fits with EC50 &lt; 400 µM and ΔFmax &lt; 20 were treated as within-range reliable, and the remainder were treated as lower-bound or out-of-range. For Figure 4, ciprofloxacin curves were the primary application-relevant result because 4 sensors gave monotonic dose-dependent responses with measurable signal from the single-digit to low-tens micromolar range and R² &gt; 0.99.</w:t>
      </w:r>
    </w:p>
    <w:p>
      <w:pPr>
        <w:pStyle w:val="Heading2"/>
      </w:pPr>
      <w:r>
        <w:t>Sequence-function analysis</w:t>
      </w:r>
    </w:p>
    <w:p>
      <w:r>
        <w:t>Protein sequences were taken from the curated sensor sequence table in data/metadata/sensor_sequences.csv and are reported in Supplementary Table S7. Pairwise mutation events were counted across the 17 OpuBC/cpGFP scaffold sensors after exclusion of the negative-control outgroup Fent2 436L. A terminal one-residue length difference was ignored for the Tap1.0/V7 comparison, whose internal sequence comparison identifies a single W436A difference. Functional similarity was computed as the Pearson correlation between full ligand-response profiles. For Figure 3B, parent-child steps were taken from the simplified lineage in Figure 3A and restricted to pairs separated by 1 to 3 mutations. Each ligand was classified as a hit or non-hit at ΔF/F0 &gt; 0.3 in parent and child, and ligands crossing that threshold in either direction were counted as changed states.</w:t>
      </w:r>
    </w:p>
    <w:p>
      <w:pPr>
        <w:pStyle w:val="Heading1"/>
      </w:pPr>
      <w:r>
        <w:t>Data and Code Availability</w:t>
      </w:r>
    </w:p>
    <w:p>
      <w:r>
        <w:t>All processed data, analysis code, and figures are publicly available at https://github.com/eryney/biosensor-latent-recognition. The repository contains the processed single-concentration response and propagated SEM matrices, the 49 processed dose-response curves and their Hill fits, ligand SMILES and scope classifications, sensor sequences, the supplementary tables workbook, and the final figures. The analysis pipeline is included. The script analysis/rebuild_processed_data.py rebuilds the processed tables from the raw plate-reader workbooks, analysis/make_figures.py regenerates all figures, and analysis/build_supplement_tables.py rebuilds the supplement. The raw plate-reader workbooks are available from the authors on request. Code is released under the MIT License and data under CC BY 4.0.</w:t>
      </w:r>
    </w:p>
    <w:p>
      <w:pPr>
        <w:pStyle w:val="Heading1"/>
      </w:pPr>
      <w:r>
        <w:t>References</w:t>
      </w:r>
    </w:p>
    <w:p>
      <w:r>
        <w:t>1. Marvin, J. S.; Borghuis, B. G.; Tian, L.; Cichon, J.; Harnett, M. T.; Akerboom, J.; Gordus, A.; Renninger, S. L.; Chen, T.-W.; Bargmann, C. I.; Orger, M. B.; Schreiter, E. R.; Demb, J. B.; Gan, W.-B.; Hires, S. A.; Looger, L. L. An Optimized Fluorescent Probe for Visualizing Glutamate Neurotransmission. *Nat. Methods* 2013, 10 (2), 162–170. DOI: 10.1038/nmeth.2333.</w:t>
      </w:r>
    </w:p>
    <w:p>
      <w:r>
        <w:t>2. Bera, K.; Kamajaya, A.; Shivange, A. V.; Muthusamy, A. K.; Nichols, A. L.; Borden, P. M.; Grant, S.; Jeon, J.; Lin, E.; Bishara, I.; Chin, T. M.; Cohen, B. N.; Kim, C. H.; Unger, E. K.; Tian, L.; Marvin, J. S.; Looger, L. L.; Lester, H. A. Biosensors Show the Pharmacokinetics of S-Ketamine in the Endoplasmic Reticulum. *Front. Cell. Neurosci.* 2019, 13, 499. DOI: 10.3389/fncel.2019.00499.</w:t>
      </w:r>
    </w:p>
    <w:p>
      <w:r>
        <w:t>3. Unger, E. K.; Keller, J. P.; Altermatt, M.; Liang, R.; Matsui, A.; Dong, C.; Hon, O. J.; Yao, Z.; Sun, J.; Banala, S.; et al. Directed Evolution of a Selective and Sensitive Serotonin Sensor via Machine Learning. *Cell* 2020, 183 (7), 1986–2002.e26. DOI: 10.1016/j.cell.2020.11.040.</w:t>
      </w:r>
    </w:p>
    <w:p>
      <w:r>
        <w:t>4. Nichols, A. L.; Blumenfeld, Z.; Luebbert, L.; Knox, H. J.; Muthusamy, A. K.; Marvin, J. S.; Kim, C. H.; Grant, S. N.; Walker, A. S.; Cohen, B. N.; et al. Fluorescence Activation Mechanism and Imaging of Drug Permeation with New Sensors for Smoking-Cessation Ligands. *eLife* 2022, 11, e74648. DOI: 10.7554/eLife.74648.</w:t>
      </w:r>
    </w:p>
    <w:p>
      <w:r>
        <w:t>5. Jumper, J.; Evans, R.; Pritzel, A.; Green, T.; Figurnov, M.; Ronneberger, O.; Tunyasuvunakool, K.; Bates, R.; Žídek, A.; Potapenko, A.; et al. Highly Accurate Protein Structure Prediction with AlphaFold. *Nature* 2021, 596 (7873), 583–589. DOI: 10.1038/s41586-021-03819-2.</w:t>
      </w:r>
    </w:p>
    <w:p>
      <w:r>
        <w:t>6. Lin, Z.; Akin, H.; Rao, R.; Hie, B.; Zhu, Z.; Lu, W.; Smetanin, N.; Verkuil, R.; Kabeli, O.; Shmueli, Y.; et al. Evolutionary-Scale Prediction of Atomic-Level Protein Structure with a Language Model. *Science* 2023, 379 (6637), 1123–1130. DOI: 10.1126/science.ade2574.</w:t>
      </w:r>
    </w:p>
    <w:p>
      <w:r>
        <w:t>7. Kappes, R. M.; Kempf, B.; Kneip, S.; Boch, J.; Gade, J.; Meier-Wagner, J.; Bremer, E. Two Evolutionarily Closely Related ABC Transporters Mediate the Uptake of Choline for Synthesis of the Osmoprotectant Glycine Betaine in Bacillus subtilis. *Mol. Microbiol.* 1999, 32 (1), 203–216. DOI: 10.1046/j.1365-2958.1999.01354.x.</w:t>
      </w:r>
    </w:p>
    <w:p>
      <w:r>
        <w:t>8. Shivange, A. V.; Borden, P. M.; Muthusamy, A. K.; Nichols, A. L.; Bera, K.; Bao, H.; Bishara, I.; Jeon, J.; Mulcahy, M. J.; Cohen, B.; O'Riordan, S. L.; Kim, C.; Dougherty, D. A.; Chapman, E. R.; Marvin, J. S.; Looger, L. L.; Lester, H. A. Determining the Pharmacokinetics of Nicotinic Drugs in the Endoplasmic Reticulum Using Biosensors. *J. Gen. Physiol.* 2019, 151 (6), 738–757. DOI: 10.1085/jgp.201812201.</w:t>
      </w:r>
    </w:p>
    <w:p>
      <w:r>
        <w:t>9. Muthusamy, A. K.; Kim, C. H.; Virgil, S. C.; Knox, H. J.; Marvin, J. S.; Nichols, A. L.; Cohen, B. N.; Dougherty, D. A.; Looger, L. L.; Lester, H. A. Three Mutations Convert the Selectivity of a Protein Sensor from Nicotinic Agonists to S-Methadone for Use in Cells, Organelles, and Biofluids. *J. Am. Chem. Soc.* 2022, 144 (19), 8480–8486. DOI: 10.1021/jacs.2c02323.</w:t>
      </w:r>
    </w:p>
    <w:p>
      <w:r>
        <w:t>10. Haloi, N.; Huang, S.; Nichols, A. L.; Fan, E. Y.; Zhao, Y.; Aryal, S. P.; Lester, H. A.; Lindahl, E.; Dougherty, D. A. Interactive Computational and Experimental Approaches Improve the Sensitivity of Periplasmic Binding Protein-Based Nicotine Biosensors for Measurements in Biofluids. *Protein Eng. Des. Sel.* 2024, 37, gzae003. DOI: 10.1093/protein/gzae003.</w:t>
      </w:r>
    </w:p>
    <w:p>
      <w:r>
        <w:t>11. Corso, G.; Stärk, H.; Jing, B.; Barzilay, R.; Jaakkola, T. DiffDock: Diffusion Steps, Twists, and Turns for Molecular Docking. In *International Conference on Learning Representations (ICLR)* 2023. DOI: 10.48550/arXiv.2210.01776.</w:t>
      </w:r>
    </w:p>
    <w:p>
      <w:r>
        <w:t>12. Dougherty, D. A. The Cation-π Interaction. *Acc. Chem. Res.* 2013, 46 (4), 885–893. DOI: 10.1021/ar300265y.</w:t>
      </w:r>
    </w:p>
    <w:p>
      <w:r>
        <w:t>13. Ciprofloxacin Tablet Prescribing Information. DailyMed, National Library of Medicine. https://dailymed.nlm.nih.gov (accessed 2025).</w:t>
      </w:r>
    </w:p>
    <w:p>
      <w:r>
        <w:t>14. Beatty, E. J.; Nichols, A. L.; Bera, K.; Muthusamy, A. K.; Marvin, J. S.; Kim, C. H.; Baltanás, F. C.; Lester, H. A. Fluorescence Screens for Identifying Central Nervous System-Acting Drug-Biosensor Pairs for Subcellular and Supracellular Pharmacokinetics. *Bio-protocol* 2022, 12 (22), e4551. DOI: 10.21769/BioProtoc.4551.</w:t>
      </w:r>
    </w:p>
    <w:p>
      <w:r>
        <w:t>15. RDKit: Open-Source Cheminformatics. https://www.rdkit.org (accessed 2025).</w:t>
      </w:r>
    </w:p>
    <w:p>
      <w:r>
        <w:t>16. Virtanen, P.; Gommers, R.; Oliphant, T. E.; Haberland, M.; Reddy, T.; Cournapeau, D.; Burovski, E.; Peterson, P.; Weckesser, W.; Bright, J.; et al. SciPy 1.0: Fundamental Algorithms for Scientific Computing in Python. *Nat. Methods* 2020, 17 (3), 261–272. DOI: 10.1038/s41592-019-0686-2.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