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Rekomendasi Otomasi AI terhadap Struktur Organisasi AntarKita</w:t>
      </w:r>
    </w:p>
    <w:p>
      <w:pPr>
        <w:spacing w:after="80"/>
      </w:pPr>
      <w:r>
        <w:rPr>
          <w:b w:val="0"/>
          <w:i/>
          <w:sz w:val="20"/>
        </w:rPr>
        <w:t>Dokumen keputusan untuk Dewan Komisaris — disusun 7 September 2026</w:t>
      </w:r>
    </w:p>
    <w:p>
      <w:pPr>
        <w:spacing w:after="80"/>
      </w:pPr>
      <w:r>
        <w:rPr>
          <w:b w:val="0"/>
          <w:i w:val="0"/>
          <w:sz w:val="18"/>
        </w:rPr>
        <w:t>Turunan dari: DESAIN-ORGANISASI.md, AntarKita-Manual-Organisasi-dan-SOP.docx (26 uraian jabatan JD-01–JD-26, 12 SOP, RACI, register risiko), AntarKita-Model-Biaya-SDM.xlsx v1.0, dan RISET-KOMPENSASI-REGULASI.md. Model angka: AntarKita-Analisis-AI-vs-SDM.xlsx (dilampirkan).</w:t>
      </w:r>
    </w:p>
    <w:p>
      <w:pPr>
        <w:spacing w:after="80"/>
      </w:pPr>
      <w:r>
        <w:rPr>
          <w:b w:val="0"/>
          <w:i w:val="0"/>
        </w:rPr>
      </w:r>
      <w:r>
        <w:rPr>
          <w:b/>
          <w:color w:val="C00000"/>
        </w:rPr>
        <w:t xml:space="preserve">STATUS DOKUMEN — USULAN ANALIS, BUKAN KEPUTUSAN. </w:t>
      </w:r>
      <w:r>
        <w:rPr>
          <w:color w:val="C00000"/>
        </w:rPr>
        <w:t>Tidak satu pun pemangkasan posisi, pembelian tool, atau perubahan SOP dalam dokumen ini telah diputuskan. Perubahan struktur organisasi dan belanja di atas Rp50 juta adalah kewenangan Dewan Komisaris (DESAIN-ORGANISASI §6). Bagian yang menyatakan "diusulkan" adalah usulan analis; bagian yang menyatakan "wajib" merujuk pada ketentuan hukum atau SOP yang sudah berlaku.</w:t>
      </w:r>
    </w:p>
    <w:p>
      <w:pPr>
        <w:pStyle w:val="Heading1"/>
      </w:pPr>
      <w:r>
        <w:rPr>
          <w:color w:val="1F3B63"/>
        </w:rPr>
        <w:t>Ringkasan Eksekutif</w:t>
      </w:r>
    </w:p>
    <w:p>
      <w:pPr>
        <w:spacing w:after="80"/>
      </w:pPr>
      <w:r>
        <w:rPr>
          <w:b/>
          <w:i w:val="0"/>
        </w:rPr>
        <w:t>Rekomendasi: ambil Skenario B (Hibrida). Headcount Fase 2 turun dari 42 menjadi 30 orang, tumpukan AI dibangun sendiri di atas API model bahasa dan bukan dibeli per-resolusi, dan otomasi baru dibangun mulai kuartal 2 — bukan sekarang.</w:t>
      </w:r>
    </w:p>
    <w:p>
      <w:pPr>
        <w:spacing w:after="80"/>
      </w:pPr>
      <w:r>
        <w:rPr>
          <w:b w:val="0"/>
          <w:i w:val="0"/>
        </w:rPr>
        <w:t>Tiga temuan yang mengubah cara membaca angka ini:</w:t>
      </w:r>
    </w:p>
    <w:p>
      <w:pPr>
        <w:pStyle w:val="ListNumber"/>
        <w:spacing w:after="40"/>
      </w:pPr>
      <w:r>
        <w:t>Otomasi LEBIH MAHAL daripada manusia pada Fase 0 dan Fase 1. Pada Fase 0 selisihnya Rp13.102.842 per bulan (−5,2%) dan pada Fase 1 Rp3.089.948 per bulan (−0,6%). Penyebabnya sederhana: biaya implementasi, pemeliharaan, dan kepatuhan terjadi lebih dulu daripada penghematannya, sementara jumlah orang yang benar-benar dapat dipangkas pada dua fase itu hanya tiga.</w:t>
      </w:r>
    </w:p>
    <w:p>
      <w:pPr>
        <w:pStyle w:val="ListNumber"/>
        <w:spacing w:after="40"/>
      </w:pPr>
      <w:r>
        <w:t>Penghematan yang jujur adalah 12,6% pada run-rate Fase 2 dan 4,8% pada kumulatif 24 bulan — bukan 40–50%. Sebagian besar biaya AntarKita melekat pada peran lapangan (City Manager, Ops Supervisor, Partner Acquisition, Merchant Acquisition), direksi, dan kepatuhan. Semua itu tidak dapat diotomasi, dan justru merekalah yang menentukan apakah perusahaan ini hidup.</w:t>
      </w:r>
    </w:p>
    <w:p>
      <w:pPr>
        <w:pStyle w:val="ListNumber"/>
        <w:spacing w:after="40"/>
      </w:pPr>
      <w:r>
        <w:t>Biaya token model bahasa BUKAN masalahnya. Pada volume puncak Fase 2 (2.400 order/hari), seluruh pemakaian model bahasa hanya Rp2.703.318 per bulan — di bawah 0,5% total biaya bulanan. Yang mahal adalah platform, integrasi awal, engineer yang memelihara, dan beban kepatuhan baru.</w:t>
      </w:r>
    </w:p>
    <w:p>
      <w:pPr>
        <w:spacing w:after="80"/>
      </w:pPr>
      <w:r>
        <w:rPr>
          <w:b w:val="0"/>
          <w:i/>
        </w:rPr>
        <w:t>Keputusan yang diminta dari Dewan Komisaris ada di Bab 9. Semua angka di bawah dapat ditelusuri ke berkas model yang dilampirkan.</w:t>
      </w:r>
    </w:p>
    <w:p>
      <w:pPr>
        <w:pStyle w:val="Heading2"/>
      </w:pPr>
      <w:r>
        <w:rPr>
          <w:color w:val="1F3B63"/>
        </w:rPr>
        <w:t>Perbandingan tiga skenario</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381"/>
          </w:tcPr>
          <w:p>
            <w:r/>
            <w:r>
              <w:rPr>
                <w:b/>
                <w:sz w:val="17"/>
              </w:rPr>
              <w:t>Ukuran</w:t>
            </w:r>
          </w:p>
        </w:tc>
        <w:tc>
          <w:tcPr>
            <w:tcW w:type="dxa" w:w="2268"/>
          </w:tcPr>
          <w:p>
            <w:r/>
            <w:r>
              <w:rPr>
                <w:b/>
                <w:sz w:val="17"/>
              </w:rPr>
              <w:t>A — Semua manusia (baseline)</w:t>
            </w:r>
          </w:p>
        </w:tc>
        <w:tc>
          <w:tcPr>
            <w:tcW w:type="dxa" w:w="2381"/>
          </w:tcPr>
          <w:p>
            <w:r/>
            <w:r>
              <w:rPr>
                <w:b/>
                <w:sz w:val="17"/>
              </w:rPr>
              <w:t>B — Hibrida (rekomendasi)</w:t>
            </w:r>
          </w:p>
        </w:tc>
        <w:tc>
          <w:tcPr>
            <w:tcW w:type="dxa" w:w="2494"/>
          </w:tcPr>
          <w:p>
            <w:r/>
            <w:r>
              <w:rPr>
                <w:b/>
                <w:sz w:val="17"/>
              </w:rPr>
              <w:t>C — AI-maksimal</w:t>
            </w:r>
          </w:p>
        </w:tc>
      </w:tr>
      <w:tr>
        <w:tc>
          <w:tcPr>
            <w:tcW w:type="dxa" w:w="2381"/>
          </w:tcPr>
          <w:p>
            <w:pPr>
              <w:spacing w:after="20"/>
            </w:pPr>
            <w:r/>
            <w:r>
              <w:rPr>
                <w:sz w:val="16"/>
              </w:rPr>
              <w:t>Headcount Fase 0 / 1 / 2</w:t>
            </w:r>
          </w:p>
        </w:tc>
        <w:tc>
          <w:tcPr>
            <w:tcW w:type="dxa" w:w="2268"/>
          </w:tcPr>
          <w:p>
            <w:pPr>
              <w:spacing w:after="20"/>
            </w:pPr>
            <w:r/>
            <w:r>
              <w:rPr>
                <w:sz w:val="16"/>
              </w:rPr>
              <w:t>9 / 24 / 42</w:t>
            </w:r>
          </w:p>
        </w:tc>
        <w:tc>
          <w:tcPr>
            <w:tcW w:type="dxa" w:w="2381"/>
          </w:tcPr>
          <w:p>
            <w:pPr>
              <w:spacing w:after="20"/>
            </w:pPr>
            <w:r/>
            <w:r>
              <w:rPr>
                <w:sz w:val="16"/>
              </w:rPr>
              <w:t>9 / 21 / 30</w:t>
            </w:r>
          </w:p>
        </w:tc>
        <w:tc>
          <w:tcPr>
            <w:tcW w:type="dxa" w:w="2494"/>
          </w:tcPr>
          <w:p>
            <w:pPr>
              <w:spacing w:after="20"/>
            </w:pPr>
            <w:r/>
            <w:r>
              <w:rPr>
                <w:sz w:val="16"/>
              </w:rPr>
              <w:t>8 / 17 / 19</w:t>
            </w:r>
          </w:p>
        </w:tc>
      </w:tr>
      <w:tr>
        <w:tc>
          <w:tcPr>
            <w:tcW w:type="dxa" w:w="2381"/>
          </w:tcPr>
          <w:p>
            <w:pPr>
              <w:spacing w:after="20"/>
            </w:pPr>
            <w:r/>
            <w:r>
              <w:rPr>
                <w:sz w:val="16"/>
              </w:rPr>
              <w:t>Biaya SDM per bulan Fase 2</w:t>
            </w:r>
          </w:p>
        </w:tc>
        <w:tc>
          <w:tcPr>
            <w:tcW w:type="dxa" w:w="2268"/>
          </w:tcPr>
          <w:p>
            <w:pPr>
              <w:spacing w:after="20"/>
            </w:pPr>
            <w:r/>
            <w:r>
              <w:rPr>
                <w:sz w:val="16"/>
              </w:rPr>
              <w:t>Rp636.272.062</w:t>
            </w:r>
          </w:p>
        </w:tc>
        <w:tc>
          <w:tcPr>
            <w:tcW w:type="dxa" w:w="2381"/>
          </w:tcPr>
          <w:p>
            <w:pPr>
              <w:spacing w:after="20"/>
            </w:pPr>
            <w:r/>
            <w:r>
              <w:rPr>
                <w:sz w:val="16"/>
              </w:rPr>
              <w:t>Rp494.100.545</w:t>
            </w:r>
          </w:p>
        </w:tc>
        <w:tc>
          <w:tcPr>
            <w:tcW w:type="dxa" w:w="2494"/>
          </w:tcPr>
          <w:p>
            <w:pPr>
              <w:spacing w:after="20"/>
            </w:pPr>
            <w:r/>
            <w:r>
              <w:rPr>
                <w:sz w:val="16"/>
              </w:rPr>
              <w:t>Rp365.905.051</w:t>
            </w:r>
          </w:p>
        </w:tc>
      </w:tr>
      <w:tr>
        <w:tc>
          <w:tcPr>
            <w:tcW w:type="dxa" w:w="2381"/>
          </w:tcPr>
          <w:p>
            <w:pPr>
              <w:spacing w:after="20"/>
            </w:pPr>
            <w:r/>
            <w:r>
              <w:rPr>
                <w:sz w:val="16"/>
              </w:rPr>
              <w:t>Biaya non-gaji melekat SDM per bulan Fase 2</w:t>
            </w:r>
          </w:p>
        </w:tc>
        <w:tc>
          <w:tcPr>
            <w:tcW w:type="dxa" w:w="2268"/>
          </w:tcPr>
          <w:p>
            <w:pPr>
              <w:spacing w:after="20"/>
            </w:pPr>
            <w:r/>
            <w:r>
              <w:rPr>
                <w:sz w:val="16"/>
              </w:rPr>
              <w:t>Rp78.300.000</w:t>
            </w:r>
          </w:p>
        </w:tc>
        <w:tc>
          <w:tcPr>
            <w:tcW w:type="dxa" w:w="2381"/>
          </w:tcPr>
          <w:p>
            <w:pPr>
              <w:spacing w:after="20"/>
            </w:pPr>
            <w:r/>
            <w:r>
              <w:rPr>
                <w:sz w:val="16"/>
              </w:rPr>
              <w:t>Rp55.928.571</w:t>
            </w:r>
          </w:p>
        </w:tc>
        <w:tc>
          <w:tcPr>
            <w:tcW w:type="dxa" w:w="2494"/>
          </w:tcPr>
          <w:p>
            <w:pPr>
              <w:spacing w:after="20"/>
            </w:pPr>
            <w:r/>
            <w:r>
              <w:rPr>
                <w:sz w:val="16"/>
              </w:rPr>
              <w:t>Rp35.421.429</w:t>
            </w:r>
          </w:p>
        </w:tc>
      </w:tr>
      <w:tr>
        <w:tc>
          <w:tcPr>
            <w:tcW w:type="dxa" w:w="2381"/>
          </w:tcPr>
          <w:p>
            <w:pPr>
              <w:spacing w:after="20"/>
            </w:pPr>
            <w:r/>
            <w:r>
              <w:rPr>
                <w:sz w:val="16"/>
              </w:rPr>
              <w:t>Biaya AI per bulan Fase 2</w:t>
            </w:r>
          </w:p>
        </w:tc>
        <w:tc>
          <w:tcPr>
            <w:tcW w:type="dxa" w:w="2268"/>
          </w:tcPr>
          <w:p>
            <w:pPr>
              <w:spacing w:after="20"/>
            </w:pPr>
            <w:r/>
            <w:r>
              <w:rPr>
                <w:sz w:val="16"/>
              </w:rPr>
              <w:t>—</w:t>
            </w:r>
          </w:p>
        </w:tc>
        <w:tc>
          <w:tcPr>
            <w:tcW w:type="dxa" w:w="2381"/>
          </w:tcPr>
          <w:p>
            <w:pPr>
              <w:spacing w:after="20"/>
            </w:pPr>
            <w:r/>
            <w:r>
              <w:rPr>
                <w:sz w:val="16"/>
              </w:rPr>
              <w:t>Rp74.151.773</w:t>
            </w:r>
          </w:p>
        </w:tc>
        <w:tc>
          <w:tcPr>
            <w:tcW w:type="dxa" w:w="2494"/>
          </w:tcPr>
          <w:p>
            <w:pPr>
              <w:spacing w:after="20"/>
            </w:pPr>
            <w:r/>
            <w:r>
              <w:rPr>
                <w:sz w:val="16"/>
              </w:rPr>
              <w:t>Rp105.996.293</w:t>
            </w:r>
          </w:p>
        </w:tc>
      </w:tr>
      <w:tr>
        <w:tc>
          <w:tcPr>
            <w:tcW w:type="dxa" w:w="2381"/>
          </w:tcPr>
          <w:p>
            <w:pPr>
              <w:spacing w:after="20"/>
            </w:pPr>
            <w:r/>
            <w:r>
              <w:rPr>
                <w:sz w:val="16"/>
              </w:rPr>
              <w:t>TOTAL per bulan Fase 2</w:t>
            </w:r>
          </w:p>
        </w:tc>
        <w:tc>
          <w:tcPr>
            <w:tcW w:type="dxa" w:w="2268"/>
          </w:tcPr>
          <w:p>
            <w:pPr>
              <w:spacing w:after="20"/>
            </w:pPr>
            <w:r/>
            <w:r>
              <w:rPr>
                <w:sz w:val="16"/>
              </w:rPr>
              <w:t>Rp714.572.062</w:t>
            </w:r>
          </w:p>
        </w:tc>
        <w:tc>
          <w:tcPr>
            <w:tcW w:type="dxa" w:w="2381"/>
          </w:tcPr>
          <w:p>
            <w:pPr>
              <w:spacing w:after="20"/>
            </w:pPr>
            <w:r/>
            <w:r>
              <w:rPr>
                <w:sz w:val="16"/>
              </w:rPr>
              <w:t>Rp624.180.889</w:t>
            </w:r>
          </w:p>
        </w:tc>
        <w:tc>
          <w:tcPr>
            <w:tcW w:type="dxa" w:w="2494"/>
          </w:tcPr>
          <w:p>
            <w:pPr>
              <w:spacing w:after="20"/>
            </w:pPr>
            <w:r/>
            <w:r>
              <w:rPr>
                <w:sz w:val="16"/>
              </w:rPr>
              <w:t>Rp507.322.772</w:t>
            </w:r>
          </w:p>
        </w:tc>
      </w:tr>
      <w:tr>
        <w:tc>
          <w:tcPr>
            <w:tcW w:type="dxa" w:w="2381"/>
          </w:tcPr>
          <w:p>
            <w:pPr>
              <w:spacing w:after="20"/>
            </w:pPr>
            <w:r/>
            <w:r>
              <w:rPr>
                <w:sz w:val="16"/>
              </w:rPr>
              <w:t>Penghematan per bulan Fase 2</w:t>
            </w:r>
          </w:p>
        </w:tc>
        <w:tc>
          <w:tcPr>
            <w:tcW w:type="dxa" w:w="2268"/>
          </w:tcPr>
          <w:p>
            <w:pPr>
              <w:spacing w:after="20"/>
            </w:pPr>
            <w:r/>
            <w:r>
              <w:rPr>
                <w:sz w:val="16"/>
              </w:rPr>
              <w:t>—</w:t>
            </w:r>
          </w:p>
        </w:tc>
        <w:tc>
          <w:tcPr>
            <w:tcW w:type="dxa" w:w="2381"/>
          </w:tcPr>
          <w:p>
            <w:pPr>
              <w:spacing w:after="20"/>
            </w:pPr>
            <w:r/>
            <w:r>
              <w:rPr>
                <w:sz w:val="16"/>
              </w:rPr>
              <w:t>Rp90.391.173  (12,6%)</w:t>
            </w:r>
          </w:p>
        </w:tc>
        <w:tc>
          <w:tcPr>
            <w:tcW w:type="dxa" w:w="2494"/>
          </w:tcPr>
          <w:p>
            <w:pPr>
              <w:spacing w:after="20"/>
            </w:pPr>
            <w:r/>
            <w:r>
              <w:rPr>
                <w:sz w:val="16"/>
              </w:rPr>
              <w:t>Rp207.249.290  (29,0%)</w:t>
            </w:r>
          </w:p>
        </w:tc>
      </w:tr>
      <w:tr>
        <w:tc>
          <w:tcPr>
            <w:tcW w:type="dxa" w:w="2381"/>
          </w:tcPr>
          <w:p>
            <w:pPr>
              <w:spacing w:after="20"/>
            </w:pPr>
            <w:r/>
            <w:r>
              <w:rPr>
                <w:sz w:val="16"/>
              </w:rPr>
              <w:t>TOTAL kumulatif 24 bulan</w:t>
            </w:r>
          </w:p>
        </w:tc>
        <w:tc>
          <w:tcPr>
            <w:tcW w:type="dxa" w:w="2268"/>
          </w:tcPr>
          <w:p>
            <w:pPr>
              <w:spacing w:after="20"/>
            </w:pPr>
            <w:r/>
            <w:r>
              <w:rPr>
                <w:sz w:val="16"/>
              </w:rPr>
              <w:t>Rp13.605.044.567</w:t>
            </w:r>
          </w:p>
        </w:tc>
        <w:tc>
          <w:tcPr>
            <w:tcW w:type="dxa" w:w="2381"/>
          </w:tcPr>
          <w:p>
            <w:pPr>
              <w:spacing w:after="20"/>
            </w:pPr>
            <w:r/>
            <w:r>
              <w:rPr>
                <w:sz w:val="16"/>
              </w:rPr>
              <w:t>Rp12.958.224.581</w:t>
            </w:r>
          </w:p>
        </w:tc>
        <w:tc>
          <w:tcPr>
            <w:tcW w:type="dxa" w:w="2494"/>
          </w:tcPr>
          <w:p>
            <w:pPr>
              <w:spacing w:after="20"/>
            </w:pPr>
            <w:r/>
            <w:r>
              <w:rPr>
                <w:sz w:val="16"/>
              </w:rPr>
              <w:t>Rp11.211.969.977</w:t>
            </w:r>
          </w:p>
        </w:tc>
      </w:tr>
      <w:tr>
        <w:tc>
          <w:tcPr>
            <w:tcW w:type="dxa" w:w="2381"/>
          </w:tcPr>
          <w:p>
            <w:pPr>
              <w:spacing w:after="20"/>
            </w:pPr>
            <w:r/>
            <w:r>
              <w:rPr>
                <w:sz w:val="16"/>
              </w:rPr>
              <w:t>Penghematan kumulatif 24 bulan</w:t>
            </w:r>
          </w:p>
        </w:tc>
        <w:tc>
          <w:tcPr>
            <w:tcW w:type="dxa" w:w="2268"/>
          </w:tcPr>
          <w:p>
            <w:pPr>
              <w:spacing w:after="20"/>
            </w:pPr>
            <w:r/>
            <w:r>
              <w:rPr>
                <w:sz w:val="16"/>
              </w:rPr>
              <w:t>—</w:t>
            </w:r>
          </w:p>
        </w:tc>
        <w:tc>
          <w:tcPr>
            <w:tcW w:type="dxa" w:w="2381"/>
          </w:tcPr>
          <w:p>
            <w:pPr>
              <w:spacing w:after="20"/>
            </w:pPr>
            <w:r/>
            <w:r>
              <w:rPr>
                <w:sz w:val="16"/>
              </w:rPr>
              <w:t>Rp646.819.986  (4,8%)</w:t>
            </w:r>
          </w:p>
        </w:tc>
        <w:tc>
          <w:tcPr>
            <w:tcW w:type="dxa" w:w="2494"/>
          </w:tcPr>
          <w:p>
            <w:pPr>
              <w:spacing w:after="20"/>
            </w:pPr>
            <w:r/>
            <w:r>
              <w:rPr>
                <w:sz w:val="16"/>
              </w:rPr>
              <w:t>Rp2.393.074.590  (17,6%)</w:t>
            </w:r>
          </w:p>
        </w:tc>
      </w:tr>
      <w:tr>
        <w:tc>
          <w:tcPr>
            <w:tcW w:type="dxa" w:w="2381"/>
          </w:tcPr>
          <w:p>
            <w:pPr>
              <w:spacing w:after="20"/>
            </w:pPr>
            <w:r/>
            <w:r>
              <w:rPr>
                <w:sz w:val="16"/>
              </w:rPr>
              <w:t>Titik impas kumulatif</w:t>
            </w:r>
          </w:p>
        </w:tc>
        <w:tc>
          <w:tcPr>
            <w:tcW w:type="dxa" w:w="2268"/>
          </w:tcPr>
          <w:p>
            <w:pPr>
              <w:spacing w:after="20"/>
            </w:pPr>
            <w:r/>
            <w:r>
              <w:rPr>
                <w:sz w:val="16"/>
              </w:rPr>
              <w:t>—</w:t>
            </w:r>
          </w:p>
        </w:tc>
        <w:tc>
          <w:tcPr>
            <w:tcW w:type="dxa" w:w="2381"/>
          </w:tcPr>
          <w:p>
            <w:pPr>
              <w:spacing w:after="20"/>
            </w:pPr>
            <w:r/>
            <w:r>
              <w:rPr>
                <w:sz w:val="16"/>
              </w:rPr>
              <w:t>bulan ke-18</w:t>
            </w:r>
          </w:p>
        </w:tc>
        <w:tc>
          <w:tcPr>
            <w:tcW w:type="dxa" w:w="2494"/>
          </w:tcPr>
          <w:p>
            <w:pPr>
              <w:spacing w:after="20"/>
            </w:pPr>
            <w:r/>
            <w:r>
              <w:rPr>
                <w:sz w:val="16"/>
              </w:rPr>
              <w:t>bulan ke-2</w:t>
            </w:r>
          </w:p>
        </w:tc>
      </w:tr>
      <w:tr>
        <w:tc>
          <w:tcPr>
            <w:tcW w:type="dxa" w:w="2381"/>
          </w:tcPr>
          <w:p>
            <w:pPr>
              <w:spacing w:after="20"/>
            </w:pPr>
            <w:r/>
            <w:r>
              <w:rPr>
                <w:sz w:val="16"/>
              </w:rPr>
              <w:t>Risiko utama</w:t>
            </w:r>
          </w:p>
        </w:tc>
        <w:tc>
          <w:tcPr>
            <w:tcW w:type="dxa" w:w="2268"/>
          </w:tcPr>
          <w:p>
            <w:pPr>
              <w:spacing w:after="20"/>
            </w:pPr>
            <w:r/>
            <w:r>
              <w:rPr>
                <w:sz w:val="16"/>
              </w:rPr>
              <w:t>Biaya tetap tertinggi, runway terpendek. Tidak ada risiko baru dari otomasi.</w:t>
            </w:r>
          </w:p>
        </w:tc>
        <w:tc>
          <w:tcPr>
            <w:tcW w:type="dxa" w:w="2381"/>
          </w:tcPr>
          <w:p>
            <w:pPr>
              <w:spacing w:after="20"/>
            </w:pPr>
            <w:r/>
            <w:r>
              <w:rPr>
                <w:sz w:val="16"/>
              </w:rPr>
              <w:t>Ketergantungan pada satu pemelihara otomasi; kewajiban baru UU PDP. Pemisahan tugas keuangan TETAP utuh.</w:t>
            </w:r>
          </w:p>
        </w:tc>
        <w:tc>
          <w:tcPr>
            <w:tcW w:type="dxa" w:w="2494"/>
          </w:tcPr>
          <w:p>
            <w:pPr>
              <w:spacing w:after="20"/>
            </w:pPr>
            <w:r/>
            <w:r>
              <w:rPr>
                <w:sz w:val="16"/>
              </w:rPr>
              <w:t>MELANGGAR pemisahan tugas keuangan (SOP-07) dan menipiskan kanal darurat 24 jam (SOP-05). Tidak layak diajukan ke uji tuntas.</w:t>
            </w:r>
          </w:p>
        </w:tc>
      </w:tr>
    </w:tbl>
    <w:p>
      <w:pPr>
        <w:spacing w:after="40"/>
      </w:pPr>
    </w:p>
    <w:p>
      <w:pPr>
        <w:spacing w:after="80"/>
      </w:pPr>
      <w:r>
        <w:rPr>
          <w:b w:val="0"/>
          <w:i/>
          <w:sz w:val="18"/>
        </w:rPr>
        <w:t>Catatan: Skenario C secara kumulatif terlihat paling murah dan impas paling cepat. Itu bukan alasan untuk memilihnya — angka itu justru menunjukkan bahwa kontrol internal dan cakupan keselamatan memang berbiaya, dan menghapusnya memang menghemat uang. Yang dibeli dengan penghematan itu adalah temuan pada uji tuntas investor dan risiko keselamatan penumpang.</w:t>
      </w:r>
    </w:p>
    <w:p>
      <w:r>
        <w:br w:type="page"/>
      </w:r>
    </w:p>
    <w:p>
      <w:pPr>
        <w:pStyle w:val="Heading1"/>
      </w:pPr>
      <w:r>
        <w:rPr>
          <w:color w:val="1F3B63"/>
        </w:rPr>
        <w:t>Bab 1  Metode Penilaian</w:t>
      </w:r>
    </w:p>
    <w:p>
      <w:pPr>
        <w:spacing w:after="80"/>
      </w:pPr>
      <w:r>
        <w:rPr>
          <w:b w:val="0"/>
          <w:i w:val="0"/>
        </w:rPr>
        <w:t>Setiap uraian jabatan pada Bab 3 manual organisasi dibongkar menjadi tugas, lalu dinilai pada empat sumbu dengan skala 0–100:</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041"/>
          </w:tcPr>
          <w:p>
            <w:r/>
            <w:r>
              <w:rPr>
                <w:b/>
                <w:sz w:val="17"/>
              </w:rPr>
              <w:t>Sumbu</w:t>
            </w:r>
          </w:p>
        </w:tc>
        <w:tc>
          <w:tcPr>
            <w:tcW w:type="dxa" w:w="5329"/>
          </w:tcPr>
          <w:p>
            <w:r/>
            <w:r>
              <w:rPr>
                <w:b/>
                <w:sz w:val="17"/>
              </w:rPr>
              <w:t>Yang dinilai</w:t>
            </w:r>
          </w:p>
        </w:tc>
        <w:tc>
          <w:tcPr>
            <w:tcW w:type="dxa" w:w="2154"/>
          </w:tcPr>
          <w:p>
            <w:r/>
            <w:r>
              <w:rPr>
                <w:b/>
                <w:sz w:val="17"/>
              </w:rPr>
              <w:t>Arah</w:t>
            </w:r>
          </w:p>
        </w:tc>
      </w:tr>
      <w:tr>
        <w:tc>
          <w:tcPr>
            <w:tcW w:type="dxa" w:w="2041"/>
          </w:tcPr>
          <w:p>
            <w:pPr>
              <w:spacing w:after="20"/>
            </w:pPr>
            <w:r/>
            <w:r>
              <w:rPr>
                <w:sz w:val="17"/>
              </w:rPr>
              <w:t>A. Sifat tugas</w:t>
            </w:r>
          </w:p>
        </w:tc>
        <w:tc>
          <w:tcPr>
            <w:tcW w:type="dxa" w:w="5329"/>
          </w:tcPr>
          <w:p>
            <w:pPr>
              <w:spacing w:after="20"/>
            </w:pPr>
            <w:r/>
            <w:r>
              <w:rPr>
                <w:sz w:val="17"/>
              </w:rPr>
              <w:t>Seberapa rutin dan terstruktur pekerjaannya, versus seberapa banyak ia menuntut penilaian, negosiasi, atau tanggung jawab hukum</w:t>
            </w:r>
          </w:p>
        </w:tc>
        <w:tc>
          <w:tcPr>
            <w:tcW w:type="dxa" w:w="2154"/>
          </w:tcPr>
          <w:p>
            <w:pPr>
              <w:spacing w:after="20"/>
            </w:pPr>
            <w:r/>
            <w:r>
              <w:rPr>
                <w:sz w:val="17"/>
              </w:rPr>
              <w:t>Makin tinggi, makin mudah diotomasi</w:t>
            </w:r>
          </w:p>
        </w:tc>
      </w:tr>
      <w:tr>
        <w:tc>
          <w:tcPr>
            <w:tcW w:type="dxa" w:w="2041"/>
          </w:tcPr>
          <w:p>
            <w:pPr>
              <w:spacing w:after="20"/>
            </w:pPr>
            <w:r/>
            <w:r>
              <w:rPr>
                <w:sz w:val="17"/>
              </w:rPr>
              <w:t>B. Volume &amp; prediktabilitas</w:t>
            </w:r>
          </w:p>
        </w:tc>
        <w:tc>
          <w:tcPr>
            <w:tcW w:type="dxa" w:w="5329"/>
          </w:tcPr>
          <w:p>
            <w:pPr>
              <w:spacing w:after="20"/>
            </w:pPr>
            <w:r/>
            <w:r>
              <w:rPr>
                <w:sz w:val="17"/>
              </w:rPr>
              <w:t>Berapa banyak kejadian per bulan dan seberapa berulang polanya</w:t>
            </w:r>
          </w:p>
        </w:tc>
        <w:tc>
          <w:tcPr>
            <w:tcW w:type="dxa" w:w="2154"/>
          </w:tcPr>
          <w:p>
            <w:pPr>
              <w:spacing w:after="20"/>
            </w:pPr>
            <w:r/>
            <w:r>
              <w:rPr>
                <w:sz w:val="17"/>
              </w:rPr>
              <w:t>Makin tinggi, makin mudah diotomasi</w:t>
            </w:r>
          </w:p>
        </w:tc>
      </w:tr>
      <w:tr>
        <w:tc>
          <w:tcPr>
            <w:tcW w:type="dxa" w:w="2041"/>
          </w:tcPr>
          <w:p>
            <w:pPr>
              <w:spacing w:after="20"/>
            </w:pPr>
            <w:r/>
            <w:r>
              <w:rPr>
                <w:sz w:val="17"/>
              </w:rPr>
              <w:t>C. Risiko bila salah</w:t>
            </w:r>
          </w:p>
        </w:tc>
        <w:tc>
          <w:tcPr>
            <w:tcW w:type="dxa" w:w="5329"/>
          </w:tcPr>
          <w:p>
            <w:pPr>
              <w:spacing w:after="20"/>
            </w:pPr>
            <w:r/>
            <w:r>
              <w:rPr>
                <w:sz w:val="17"/>
              </w:rPr>
              <w:t>Akibat satu kesalahan: kehilangan uang pengguna, cedera, sanksi regulator, kehilangan mitra</w:t>
            </w:r>
          </w:p>
        </w:tc>
        <w:tc>
          <w:tcPr>
            <w:tcW w:type="dxa" w:w="2154"/>
          </w:tcPr>
          <w:p>
            <w:pPr>
              <w:spacing w:after="20"/>
            </w:pPr>
            <w:r/>
            <w:r>
              <w:rPr>
                <w:sz w:val="17"/>
              </w:rPr>
              <w:t>Makin tinggi, makin sulit diotomasi</w:t>
            </w:r>
          </w:p>
        </w:tc>
      </w:tr>
      <w:tr>
        <w:tc>
          <w:tcPr>
            <w:tcW w:type="dxa" w:w="2041"/>
          </w:tcPr>
          <w:p>
            <w:pPr>
              <w:spacing w:after="20"/>
            </w:pPr>
            <w:r/>
            <w:r>
              <w:rPr>
                <w:sz w:val="17"/>
              </w:rPr>
              <w:t>D. Syarat hukum/keselamatan yang mengharuskan manusia</w:t>
            </w:r>
          </w:p>
        </w:tc>
        <w:tc>
          <w:tcPr>
            <w:tcW w:type="dxa" w:w="5329"/>
          </w:tcPr>
          <w:p>
            <w:pPr>
              <w:spacing w:after="20"/>
            </w:pPr>
            <w:r/>
            <w:r>
              <w:rPr>
                <w:sz w:val="17"/>
              </w:rPr>
              <w:t>Apakah ada ketentuan yang menuntut orang, bukan sistem</w:t>
            </w:r>
          </w:p>
        </w:tc>
        <w:tc>
          <w:tcPr>
            <w:tcW w:type="dxa" w:w="2154"/>
          </w:tcPr>
          <w:p>
            <w:pPr>
              <w:spacing w:after="20"/>
            </w:pPr>
            <w:r/>
            <w:r>
              <w:rPr>
                <w:sz w:val="17"/>
              </w:rPr>
              <w:t>Makin tinggi, makin sulit diotomasi</w:t>
            </w:r>
          </w:p>
        </w:tc>
      </w:tr>
    </w:tbl>
    <w:p>
      <w:pPr>
        <w:spacing w:after="40"/>
      </w:pPr>
    </w:p>
    <w:p>
      <w:pPr>
        <w:spacing w:after="80"/>
      </w:pPr>
      <w:r>
        <w:rPr>
          <w:b w:val="0"/>
          <w:i w:val="0"/>
        </w:rPr>
        <w:t>Skor otomatisasi = 0,35×A + 0,25×B + 0,25×(100−C) + 0,15×(100−D). Kategori diturunkan dari skor: ≥70 OTOMATIS PENUH, 50–69 AUGMENTASI TINGGI, 35–49 AUGMENTASI RENDAH, &lt;35 WAJIB MANUSIA. Bila sumbu D ≥ 80, kategori langsung menjadi WAJIB MANUSIA berapa pun skornya.</w:t>
      </w:r>
    </w:p>
    <w:p>
      <w:pPr>
        <w:spacing w:after="80"/>
      </w:pPr>
      <w:r>
        <w:rPr>
          <w:b w:val="0"/>
          <w:i w:val="0"/>
        </w:rPr>
        <w:t>Satu pengecualian sengaja dibuat transparan: JD-17 CS Agent memperoleh skor 78 (OTOMATIS PENUH) karena tugas hariannya memang sangat terotomasi, tetapi kategori finalnya diturunkan menjadi AUGMENTASI TINGGI karena SOP-05 mewajibkan manusia menerima peringatan darurat dalam 15 menit sepanjang 24 jam. Kolom "Kategori final" pada lembar Penilaian Peran adalah yang mengikat, bukan skornya.</w:t>
      </w:r>
    </w:p>
    <w:p>
      <w:pPr>
        <w:spacing w:after="80"/>
      </w:pPr>
      <w:r>
        <w:rPr>
          <w:b w:val="0"/>
          <w:i/>
          <w:sz w:val="18"/>
        </w:rPr>
        <w:t>Pembobotan sumbu adalah [ASUMSI] penyusun. Tidak ada kerangka baku yang dapat dikutip untuk hal ini; yang dapat dipertanggungjawabkan adalah bahwa seluruh nilai per sumbu terbuka pada lembar model dan dapat diubah pemilik.</w:t>
      </w:r>
    </w:p>
    <w:p>
      <w:pPr>
        <w:pStyle w:val="Heading1"/>
      </w:pPr>
      <w:r>
        <w:rPr>
          <w:color w:val="1F3B63"/>
        </w:rPr>
        <w:t>Bab 2  Hasil Penilaian 26 Uraian Jabatan</w:t>
      </w:r>
    </w:p>
    <w:p>
      <w:pPr>
        <w:spacing w:after="80"/>
      </w:pPr>
      <w:r>
        <w:rPr>
          <w:b w:val="0"/>
          <w:i w:val="0"/>
        </w:rPr>
        <w:t>Empat peran masuk kategori OTOMATIS PENUH, delapan AUGMENTASI TINGGI, delapan AUGMENTASI RENDAH, dan enam WAJIB MANUSIA.</w:t>
      </w:r>
    </w:p>
    <w:p>
      <w:pPr>
        <w:pStyle w:val="Heading2"/>
      </w:pPr>
      <w:r>
        <w:rPr>
          <w:color w:val="1F3B63"/>
        </w:rPr>
        <w:t>OTOMATIS PENUH</w:t>
      </w:r>
    </w:p>
    <w:p>
      <w:pPr>
        <w:spacing w:after="80"/>
      </w:pPr>
      <w:r>
        <w:rPr>
          <w:b w:val="0"/>
          <w:i/>
          <w:sz w:val="18"/>
        </w:rPr>
        <w:t>Peran dihapus dari struktur; pekerjaannya dijalankan sistem dan akuntabilitasnya dipindahkan ke jabatan lain yang disebut secara eksplisit.</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268"/>
          </w:tcPr>
          <w:p>
            <w:r/>
            <w:r>
              <w:rPr>
                <w:b/>
                <w:sz w:val="17"/>
              </w:rPr>
              <w:t>Jabatan</w:t>
            </w:r>
          </w:p>
        </w:tc>
        <w:tc>
          <w:tcPr>
            <w:tcW w:type="dxa" w:w="624"/>
          </w:tcPr>
          <w:p>
            <w:r/>
            <w:r>
              <w:rPr>
                <w:b/>
                <w:sz w:val="17"/>
              </w:rPr>
              <w:t>Skor</w:t>
            </w:r>
          </w:p>
        </w:tc>
        <w:tc>
          <w:tcPr>
            <w:tcW w:type="dxa" w:w="3345"/>
          </w:tcPr>
          <w:p>
            <w:r/>
            <w:r>
              <w:rPr>
                <w:b/>
                <w:sz w:val="17"/>
              </w:rPr>
              <w:t>Tindakan yang diusulkan</w:t>
            </w:r>
          </w:p>
        </w:tc>
        <w:tc>
          <w:tcPr>
            <w:tcW w:type="dxa" w:w="3288"/>
          </w:tcPr>
          <w:p>
            <w:r/>
            <w:r>
              <w:rPr>
                <w:b/>
                <w:sz w:val="17"/>
              </w:rPr>
              <w:t>Pembatas hukum / operasional</w:t>
            </w:r>
          </w:p>
        </w:tc>
      </w:tr>
      <w:tr>
        <w:tc>
          <w:tcPr>
            <w:tcW w:type="dxa" w:w="2268"/>
          </w:tcPr>
          <w:p>
            <w:pPr>
              <w:spacing w:after="20"/>
            </w:pPr>
            <w:r/>
            <w:r>
              <w:rPr>
                <w:sz w:val="16"/>
              </w:rPr>
              <w:t>JD-09  QA Engineer</w:t>
            </w:r>
          </w:p>
        </w:tc>
        <w:tc>
          <w:tcPr>
            <w:tcW w:type="dxa" w:w="624"/>
          </w:tcPr>
          <w:p>
            <w:pPr>
              <w:spacing w:after="20"/>
            </w:pPr>
            <w:r/>
            <w:r>
              <w:rPr>
                <w:sz w:val="16"/>
              </w:rPr>
              <w:t>75</w:t>
            </w:r>
          </w:p>
        </w:tc>
        <w:tc>
          <w:tcPr>
            <w:tcW w:type="dxa" w:w="3345"/>
          </w:tcPr>
          <w:p>
            <w:pPr>
              <w:spacing w:after="20"/>
            </w:pPr>
            <w:r/>
            <w:r>
              <w:rPr>
                <w:sz w:val="16"/>
              </w:rPr>
              <w:t>Kedua baris dihapus; gerbang rilis dijalankan pipeline uji + Engineering Manager.</w:t>
            </w:r>
          </w:p>
        </w:tc>
        <w:tc>
          <w:tcPr>
            <w:tcW w:type="dxa" w:w="3288"/>
          </w:tcPr>
          <w:p>
            <w:pPr>
              <w:spacing w:after="20"/>
            </w:pPr>
            <w:r/>
            <w:r>
              <w:rPr>
                <w:sz w:val="16"/>
              </w:rPr>
              <w:t>Hak menahan rilis (SOP-11) berpindah ke Engineering Manager</w:t>
            </w:r>
          </w:p>
        </w:tc>
      </w:tr>
      <w:tr>
        <w:tc>
          <w:tcPr>
            <w:tcW w:type="dxa" w:w="2268"/>
          </w:tcPr>
          <w:p>
            <w:pPr>
              <w:spacing w:after="20"/>
            </w:pPr>
            <w:r/>
            <w:r>
              <w:rPr>
                <w:sz w:val="16"/>
              </w:rPr>
              <w:t>JD-10  Junior Software Engineer</w:t>
            </w:r>
          </w:p>
        </w:tc>
        <w:tc>
          <w:tcPr>
            <w:tcW w:type="dxa" w:w="624"/>
          </w:tcPr>
          <w:p>
            <w:pPr>
              <w:spacing w:after="20"/>
            </w:pPr>
            <w:r/>
            <w:r>
              <w:rPr>
                <w:sz w:val="16"/>
              </w:rPr>
              <w:t>82</w:t>
            </w:r>
          </w:p>
        </w:tc>
        <w:tc>
          <w:tcPr>
            <w:tcW w:type="dxa" w:w="3345"/>
          </w:tcPr>
          <w:p>
            <w:pPr>
              <w:spacing w:after="20"/>
            </w:pPr>
            <w:r/>
            <w:r>
              <w:rPr>
                <w:sz w:val="16"/>
              </w:rPr>
              <w:t>Baris Pekanbaru dihapus; baris Padang dipertahankan sebagai keputusan kaderisasi - MENUNGGU KOMISARIS.</w:t>
            </w:r>
          </w:p>
        </w:tc>
        <w:tc>
          <w:tcPr>
            <w:tcW w:type="dxa" w:w="3288"/>
          </w:tcPr>
          <w:p>
            <w:pPr>
              <w:spacing w:after="20"/>
            </w:pPr>
            <w:r/>
            <w:r>
              <w:rPr>
                <w:sz w:val="16"/>
              </w:rPr>
              <w:t>Nilai kaderisasi lokal (keputusan strategis, bukan teknis)</w:t>
            </w:r>
          </w:p>
        </w:tc>
      </w:tr>
      <w:tr>
        <w:tc>
          <w:tcPr>
            <w:tcW w:type="dxa" w:w="2268"/>
          </w:tcPr>
          <w:p>
            <w:pPr>
              <w:spacing w:after="20"/>
            </w:pPr>
            <w:r/>
            <w:r>
              <w:rPr>
                <w:sz w:val="16"/>
              </w:rPr>
              <w:t>JD-12  Data Analyst</w:t>
            </w:r>
          </w:p>
        </w:tc>
        <w:tc>
          <w:tcPr>
            <w:tcW w:type="dxa" w:w="624"/>
          </w:tcPr>
          <w:p>
            <w:pPr>
              <w:spacing w:after="20"/>
            </w:pPr>
            <w:r/>
            <w:r>
              <w:rPr>
                <w:sz w:val="16"/>
              </w:rPr>
              <w:t>74</w:t>
            </w:r>
          </w:p>
        </w:tc>
        <w:tc>
          <w:tcPr>
            <w:tcW w:type="dxa" w:w="3345"/>
          </w:tcPr>
          <w:p>
            <w:pPr>
              <w:spacing w:after="20"/>
            </w:pPr>
            <w:r/>
            <w:r>
              <w:rPr>
                <w:sz w:val="16"/>
              </w:rPr>
              <w:t>Posisi dihapus; kepemilikan definisi metrik pindah ke Head of Finance, produksi laporan ke BI bahasa alami.</w:t>
            </w:r>
          </w:p>
        </w:tc>
        <w:tc>
          <w:tcPr>
            <w:tcW w:type="dxa" w:w="3288"/>
          </w:tcPr>
          <w:p>
            <w:pPr>
              <w:spacing w:after="20"/>
            </w:pPr>
            <w:r/>
            <w:r>
              <w:rPr>
                <w:sz w:val="16"/>
              </w:rPr>
              <w:t>Definisi resmi metrik butuh pemilik manusia yang dapat dimintai pertanggungjawaban</w:t>
            </w:r>
          </w:p>
        </w:tc>
      </w:tr>
      <w:tr>
        <w:tc>
          <w:tcPr>
            <w:tcW w:type="dxa" w:w="2268"/>
          </w:tcPr>
          <w:p>
            <w:pPr>
              <w:spacing w:after="20"/>
            </w:pPr>
            <w:r/>
            <w:r>
              <w:rPr>
                <w:sz w:val="16"/>
              </w:rPr>
              <w:t>JD-24  Digital Marketing Staff</w:t>
            </w:r>
          </w:p>
        </w:tc>
        <w:tc>
          <w:tcPr>
            <w:tcW w:type="dxa" w:w="624"/>
          </w:tcPr>
          <w:p>
            <w:pPr>
              <w:spacing w:after="20"/>
            </w:pPr>
            <w:r/>
            <w:r>
              <w:rPr>
                <w:sz w:val="16"/>
              </w:rPr>
              <w:t>76</w:t>
            </w:r>
          </w:p>
        </w:tc>
        <w:tc>
          <w:tcPr>
            <w:tcW w:type="dxa" w:w="3345"/>
          </w:tcPr>
          <w:p>
            <w:pPr>
              <w:spacing w:after="20"/>
            </w:pPr>
            <w:r/>
            <w:r>
              <w:rPr>
                <w:sz w:val="16"/>
              </w:rPr>
              <w:t>Posisi dihapus; produksi konten &amp; pengukuran otomatis, pagu dipegang Head of Growth.</w:t>
            </w:r>
          </w:p>
        </w:tc>
        <w:tc>
          <w:tcPr>
            <w:tcW w:type="dxa" w:w="3288"/>
          </w:tcPr>
          <w:p>
            <w:pPr>
              <w:spacing w:after="20"/>
            </w:pPr>
            <w:r/>
            <w:r>
              <w:rPr>
                <w:sz w:val="16"/>
              </w:rPr>
              <w:t>Pagu belanja iklan tetap butuh pemegang kewenangan manusia</w:t>
            </w:r>
          </w:p>
        </w:tc>
      </w:tr>
    </w:tbl>
    <w:p>
      <w:pPr>
        <w:spacing w:after="40"/>
      </w:pPr>
    </w:p>
    <w:p>
      <w:pPr>
        <w:pStyle w:val="Heading2"/>
      </w:pPr>
      <w:r>
        <w:rPr>
          <w:color w:val="1F3B63"/>
        </w:rPr>
        <w:t>AUGMENTASI TINGGI</w:t>
      </w:r>
    </w:p>
    <w:p>
      <w:pPr>
        <w:spacing w:after="80"/>
      </w:pPr>
      <w:r>
        <w:rPr>
          <w:b w:val="0"/>
          <w:i/>
          <w:sz w:val="18"/>
        </w:rPr>
        <w:t>Peran tetap ada tetapi jumlah orangnya turun: satu orang mengerjakan pekerjaan dua sampai empat orang.</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268"/>
          </w:tcPr>
          <w:p>
            <w:r/>
            <w:r>
              <w:rPr>
                <w:b/>
                <w:sz w:val="17"/>
              </w:rPr>
              <w:t>Jabatan</w:t>
            </w:r>
          </w:p>
        </w:tc>
        <w:tc>
          <w:tcPr>
            <w:tcW w:type="dxa" w:w="624"/>
          </w:tcPr>
          <w:p>
            <w:r/>
            <w:r>
              <w:rPr>
                <w:b/>
                <w:sz w:val="17"/>
              </w:rPr>
              <w:t>Skor</w:t>
            </w:r>
          </w:p>
        </w:tc>
        <w:tc>
          <w:tcPr>
            <w:tcW w:type="dxa" w:w="3345"/>
          </w:tcPr>
          <w:p>
            <w:r/>
            <w:r>
              <w:rPr>
                <w:b/>
                <w:sz w:val="17"/>
              </w:rPr>
              <w:t>Tindakan yang diusulkan</w:t>
            </w:r>
          </w:p>
        </w:tc>
        <w:tc>
          <w:tcPr>
            <w:tcW w:type="dxa" w:w="3288"/>
          </w:tcPr>
          <w:p>
            <w:r/>
            <w:r>
              <w:rPr>
                <w:b/>
                <w:sz w:val="17"/>
              </w:rPr>
              <w:t>Pembatas hukum / operasional</w:t>
            </w:r>
          </w:p>
        </w:tc>
      </w:tr>
      <w:tr>
        <w:tc>
          <w:tcPr>
            <w:tcW w:type="dxa" w:w="2268"/>
          </w:tcPr>
          <w:p>
            <w:pPr>
              <w:spacing w:after="20"/>
            </w:pPr>
            <w:r/>
            <w:r>
              <w:rPr>
                <w:sz w:val="16"/>
              </w:rPr>
              <w:t>JD-05  Mobile Engineer - Senior</w:t>
            </w:r>
          </w:p>
        </w:tc>
        <w:tc>
          <w:tcPr>
            <w:tcW w:type="dxa" w:w="624"/>
          </w:tcPr>
          <w:p>
            <w:pPr>
              <w:spacing w:after="20"/>
            </w:pPr>
            <w:r/>
            <w:r>
              <w:rPr>
                <w:sz w:val="16"/>
              </w:rPr>
              <w:t>59</w:t>
            </w:r>
          </w:p>
        </w:tc>
        <w:tc>
          <w:tcPr>
            <w:tcW w:type="dxa" w:w="3345"/>
          </w:tcPr>
          <w:p>
            <w:pPr>
              <w:spacing w:after="20"/>
            </w:pPr>
            <w:r/>
            <w:r>
              <w:rPr>
                <w:sz w:val="16"/>
              </w:rPr>
              <w:t>Tetap 1 orang; menyerap pekerjaan 1 Mobile Mid dengan agen koding.</w:t>
            </w:r>
          </w:p>
        </w:tc>
        <w:tc>
          <w:tcPr>
            <w:tcW w:type="dxa" w:w="3288"/>
          </w:tcPr>
          <w:p>
            <w:pPr>
              <w:spacing w:after="20"/>
            </w:pPr>
            <w:r/>
            <w:r>
              <w:rPr>
                <w:sz w:val="16"/>
              </w:rPr>
              <w:t>-</w:t>
            </w:r>
          </w:p>
        </w:tc>
      </w:tr>
      <w:tr>
        <w:tc>
          <w:tcPr>
            <w:tcW w:type="dxa" w:w="2268"/>
          </w:tcPr>
          <w:p>
            <w:pPr>
              <w:spacing w:after="20"/>
            </w:pPr>
            <w:r/>
            <w:r>
              <w:rPr>
                <w:sz w:val="16"/>
              </w:rPr>
              <w:t>JD-06  Mobile Engineer - Mid</w:t>
            </w:r>
          </w:p>
        </w:tc>
        <w:tc>
          <w:tcPr>
            <w:tcW w:type="dxa" w:w="624"/>
          </w:tcPr>
          <w:p>
            <w:pPr>
              <w:spacing w:after="20"/>
            </w:pPr>
            <w:r/>
            <w:r>
              <w:rPr>
                <w:sz w:val="16"/>
              </w:rPr>
              <w:t>68</w:t>
            </w:r>
          </w:p>
        </w:tc>
        <w:tc>
          <w:tcPr>
            <w:tcW w:type="dxa" w:w="3345"/>
          </w:tcPr>
          <w:p>
            <w:pPr>
              <w:spacing w:after="20"/>
            </w:pPr>
            <w:r/>
            <w:r>
              <w:rPr>
                <w:sz w:val="16"/>
              </w:rPr>
              <w:t>Kedua baris (dasar + gelombang 2) dihapus pada Skenario B.</w:t>
            </w:r>
          </w:p>
        </w:tc>
        <w:tc>
          <w:tcPr>
            <w:tcW w:type="dxa" w:w="3288"/>
          </w:tcPr>
          <w:p>
            <w:pPr>
              <w:spacing w:after="20"/>
            </w:pPr>
            <w:r/>
            <w:r>
              <w:rPr>
                <w:sz w:val="16"/>
              </w:rPr>
              <w:t>-</w:t>
            </w:r>
          </w:p>
        </w:tc>
      </w:tr>
      <w:tr>
        <w:tc>
          <w:tcPr>
            <w:tcW w:type="dxa" w:w="2268"/>
          </w:tcPr>
          <w:p>
            <w:pPr>
              <w:spacing w:after="20"/>
            </w:pPr>
            <w:r/>
            <w:r>
              <w:rPr>
                <w:sz w:val="16"/>
              </w:rPr>
              <w:t>JD-08  Backend Engineer - Mid</w:t>
            </w:r>
          </w:p>
        </w:tc>
        <w:tc>
          <w:tcPr>
            <w:tcW w:type="dxa" w:w="624"/>
          </w:tcPr>
          <w:p>
            <w:pPr>
              <w:spacing w:after="20"/>
            </w:pPr>
            <w:r/>
            <w:r>
              <w:rPr>
                <w:sz w:val="16"/>
              </w:rPr>
              <w:t>64</w:t>
            </w:r>
          </w:p>
        </w:tc>
        <w:tc>
          <w:tcPr>
            <w:tcW w:type="dxa" w:w="3345"/>
          </w:tcPr>
          <w:p>
            <w:pPr>
              <w:spacing w:after="20"/>
            </w:pPr>
            <w:r/>
            <w:r>
              <w:rPr>
                <w:sz w:val="16"/>
              </w:rPr>
              <w:t>Baris dasar dipertahankan &amp; dialihfungsikan jadi pemelihara otomasi; gelombang 2 dihapus.</w:t>
            </w:r>
          </w:p>
        </w:tc>
        <w:tc>
          <w:tcPr>
            <w:tcW w:type="dxa" w:w="3288"/>
          </w:tcPr>
          <w:p>
            <w:pPr>
              <w:spacing w:after="20"/>
            </w:pPr>
            <w:r/>
            <w:r>
              <w:rPr>
                <w:sz w:val="16"/>
              </w:rPr>
              <w:t>-</w:t>
            </w:r>
          </w:p>
        </w:tc>
      </w:tr>
      <w:tr>
        <w:tc>
          <w:tcPr>
            <w:tcW w:type="dxa" w:w="2268"/>
          </w:tcPr>
          <w:p>
            <w:pPr>
              <w:spacing w:after="20"/>
            </w:pPr>
            <w:r/>
            <w:r>
              <w:rPr>
                <w:sz w:val="16"/>
              </w:rPr>
              <w:t>JD-11  Product Designer (UI/UX)</w:t>
            </w:r>
          </w:p>
        </w:tc>
        <w:tc>
          <w:tcPr>
            <w:tcW w:type="dxa" w:w="624"/>
          </w:tcPr>
          <w:p>
            <w:pPr>
              <w:spacing w:after="20"/>
            </w:pPr>
            <w:r/>
            <w:r>
              <w:rPr>
                <w:sz w:val="16"/>
              </w:rPr>
              <w:t>59</w:t>
            </w:r>
          </w:p>
        </w:tc>
        <w:tc>
          <w:tcPr>
            <w:tcW w:type="dxa" w:w="3345"/>
          </w:tcPr>
          <w:p>
            <w:pPr>
              <w:spacing w:after="20"/>
            </w:pPr>
            <w:r/>
            <w:r>
              <w:rPr>
                <w:sz w:val="16"/>
              </w:rPr>
              <w:t>Baris dasar tetap; gelombang 2 dihapus.</w:t>
            </w:r>
          </w:p>
        </w:tc>
        <w:tc>
          <w:tcPr>
            <w:tcW w:type="dxa" w:w="3288"/>
          </w:tcPr>
          <w:p>
            <w:pPr>
              <w:spacing w:after="20"/>
            </w:pPr>
            <w:r/>
            <w:r>
              <w:rPr>
                <w:sz w:val="16"/>
              </w:rPr>
              <w:t>Uji dengan pengguna nyata tidak dapat disimulasikan</w:t>
            </w:r>
          </w:p>
        </w:tc>
      </w:tr>
      <w:tr>
        <w:tc>
          <w:tcPr>
            <w:tcW w:type="dxa" w:w="2268"/>
          </w:tcPr>
          <w:p>
            <w:pPr>
              <w:spacing w:after="20"/>
            </w:pPr>
            <w:r/>
            <w:r>
              <w:rPr>
                <w:sz w:val="16"/>
              </w:rPr>
              <w:t>JD-17  CS Agent</w:t>
            </w:r>
          </w:p>
        </w:tc>
        <w:tc>
          <w:tcPr>
            <w:tcW w:type="dxa" w:w="624"/>
          </w:tcPr>
          <w:p>
            <w:pPr>
              <w:spacing w:after="20"/>
            </w:pPr>
            <w:r/>
            <w:r>
              <w:rPr>
                <w:sz w:val="16"/>
              </w:rPr>
              <w:t>78</w:t>
            </w:r>
          </w:p>
        </w:tc>
        <w:tc>
          <w:tcPr>
            <w:tcW w:type="dxa" w:w="3345"/>
          </w:tcPr>
          <w:p>
            <w:pPr>
              <w:spacing w:after="20"/>
            </w:pPr>
            <w:r/>
            <w:r>
              <w:rPr>
                <w:sz w:val="16"/>
              </w:rPr>
              <w:t>Pekanbaru 3 -&gt; 2, Padang 2 -&gt; 1. Tidak boleh nol.</w:t>
            </w:r>
          </w:p>
        </w:tc>
        <w:tc>
          <w:tcPr>
            <w:tcW w:type="dxa" w:w="3288"/>
          </w:tcPr>
          <w:p>
            <w:pPr>
              <w:spacing w:after="20"/>
            </w:pPr>
            <w:r/>
            <w:r>
              <w:rPr>
                <w:sz w:val="16"/>
              </w:rPr>
              <w:t>SOP-05: CS Agent adalah penerima pertama peringatan darurat di luar jam Trust &amp; Safety - kanal 24 jam wajib manusia</w:t>
            </w:r>
          </w:p>
        </w:tc>
      </w:tr>
      <w:tr>
        <w:tc>
          <w:tcPr>
            <w:tcW w:type="dxa" w:w="2268"/>
          </w:tcPr>
          <w:p>
            <w:pPr>
              <w:spacing w:after="20"/>
            </w:pPr>
            <w:r/>
            <w:r>
              <w:rPr>
                <w:sz w:val="16"/>
              </w:rPr>
              <w:t>JD-20  Finance &amp; Accounting Staff</w:t>
            </w:r>
          </w:p>
        </w:tc>
        <w:tc>
          <w:tcPr>
            <w:tcW w:type="dxa" w:w="624"/>
          </w:tcPr>
          <w:p>
            <w:pPr>
              <w:spacing w:after="20"/>
            </w:pPr>
            <w:r/>
            <w:r>
              <w:rPr>
                <w:sz w:val="16"/>
              </w:rPr>
              <w:t>63</w:t>
            </w:r>
          </w:p>
        </w:tc>
        <w:tc>
          <w:tcPr>
            <w:tcW w:type="dxa" w:w="3345"/>
          </w:tcPr>
          <w:p>
            <w:pPr>
              <w:spacing w:after="20"/>
            </w:pPr>
            <w:r/>
            <w:r>
              <w:rPr>
                <w:sz w:val="16"/>
              </w:rPr>
              <w:t>Baris Padang dihapus; satu pelaksana terpusat cukup.</w:t>
            </w:r>
          </w:p>
        </w:tc>
        <w:tc>
          <w:tcPr>
            <w:tcW w:type="dxa" w:w="3288"/>
          </w:tcPr>
          <w:p>
            <w:pPr>
              <w:spacing w:after="20"/>
            </w:pPr>
            <w:r/>
            <w:r>
              <w:rPr>
                <w:sz w:val="16"/>
              </w:rPr>
              <w:t>Pelaksana dalam pemisahan tugas (DESAIN 6) - tidak boleh sama dengan penyetuju/perekonsiliasi</w:t>
            </w:r>
          </w:p>
        </w:tc>
      </w:tr>
      <w:tr>
        <w:tc>
          <w:tcPr>
            <w:tcW w:type="dxa" w:w="2268"/>
          </w:tcPr>
          <w:p>
            <w:pPr>
              <w:spacing w:after="20"/>
            </w:pPr>
            <w:r/>
            <w:r>
              <w:rPr>
                <w:sz w:val="16"/>
              </w:rPr>
              <w:t>JD-21  Treasury / Settlement Officer</w:t>
            </w:r>
          </w:p>
        </w:tc>
        <w:tc>
          <w:tcPr>
            <w:tcW w:type="dxa" w:w="624"/>
          </w:tcPr>
          <w:p>
            <w:pPr>
              <w:spacing w:after="20"/>
            </w:pPr>
            <w:r/>
            <w:r>
              <w:rPr>
                <w:sz w:val="16"/>
              </w:rPr>
              <w:t>60</w:t>
            </w:r>
          </w:p>
        </w:tc>
        <w:tc>
          <w:tcPr>
            <w:tcW w:type="dxa" w:w="3345"/>
          </w:tcPr>
          <w:p>
            <w:pPr>
              <w:spacing w:after="20"/>
            </w:pPr>
            <w:r/>
            <w:r>
              <w:rPr>
                <w:sz w:val="16"/>
              </w:rPr>
              <w:t>Tetap 1 orang. Rekonsiliasi otomatis penuh; manusia hanya menangani selisih. Dihapus HANYA di Skenario C - melanggar pemisahan tugas.</w:t>
            </w:r>
          </w:p>
        </w:tc>
        <w:tc>
          <w:tcPr>
            <w:tcW w:type="dxa" w:w="3288"/>
          </w:tcPr>
          <w:p>
            <w:pPr>
              <w:spacing w:after="20"/>
            </w:pPr>
            <w:r/>
            <w:r>
              <w:rPr>
                <w:sz w:val="16"/>
              </w:rPr>
              <w:t>Perekonsiliasi wajib pihak ketiga yang berbeda (DESAIN 6, SOP-07)</w:t>
            </w:r>
          </w:p>
        </w:tc>
      </w:tr>
      <w:tr>
        <w:tc>
          <w:tcPr>
            <w:tcW w:type="dxa" w:w="2268"/>
          </w:tcPr>
          <w:p>
            <w:pPr>
              <w:spacing w:after="20"/>
            </w:pPr>
            <w:r/>
            <w:r>
              <w:rPr>
                <w:sz w:val="16"/>
              </w:rPr>
              <w:t>JD-26  HR &amp; GA Generalist</w:t>
            </w:r>
          </w:p>
        </w:tc>
        <w:tc>
          <w:tcPr>
            <w:tcW w:type="dxa" w:w="624"/>
          </w:tcPr>
          <w:p>
            <w:pPr>
              <w:spacing w:after="20"/>
            </w:pPr>
            <w:r/>
            <w:r>
              <w:rPr>
                <w:sz w:val="16"/>
              </w:rPr>
              <w:t>52</w:t>
            </w:r>
          </w:p>
        </w:tc>
        <w:tc>
          <w:tcPr>
            <w:tcW w:type="dxa" w:w="3345"/>
          </w:tcPr>
          <w:p>
            <w:pPr>
              <w:spacing w:after="20"/>
            </w:pPr>
            <w:r/>
            <w:r>
              <w:rPr>
                <w:sz w:val="16"/>
              </w:rPr>
              <w:t>Tetap 1 orang (tidak dapat dipangkas lebih jauh); payroll &amp; administrasi diotomasi.</w:t>
            </w:r>
          </w:p>
        </w:tc>
        <w:tc>
          <w:tcPr>
            <w:tcW w:type="dxa" w:w="3288"/>
          </w:tcPr>
          <w:p>
            <w:pPr>
              <w:spacing w:after="20"/>
            </w:pPr>
            <w:r/>
            <w:r>
              <w:rPr>
                <w:sz w:val="16"/>
              </w:rPr>
              <w:t>Penanggung jawab kepatuhan pengupahan &amp; pelaporan jaminan sosial</w:t>
            </w:r>
          </w:p>
        </w:tc>
      </w:tr>
    </w:tbl>
    <w:p>
      <w:pPr>
        <w:spacing w:after="40"/>
      </w:pPr>
    </w:p>
    <w:p>
      <w:pPr>
        <w:pStyle w:val="Heading2"/>
      </w:pPr>
      <w:r>
        <w:rPr>
          <w:color w:val="1F3B63"/>
        </w:rPr>
        <w:t>AUGMENTASI RENDAH</w:t>
      </w:r>
    </w:p>
    <w:p>
      <w:pPr>
        <w:spacing w:after="80"/>
      </w:pPr>
      <w:r>
        <w:rPr>
          <w:b w:val="0"/>
          <w:i/>
          <w:sz w:val="18"/>
        </w:rPr>
        <w:t>Peran tetap dengan jumlah orang yang sama; AI mempercepat sebagian tugas tetapi tidak mengubah kebutuhan tenaga.</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268"/>
          </w:tcPr>
          <w:p>
            <w:r/>
            <w:r>
              <w:rPr>
                <w:b/>
                <w:sz w:val="17"/>
              </w:rPr>
              <w:t>Jabatan</w:t>
            </w:r>
          </w:p>
        </w:tc>
        <w:tc>
          <w:tcPr>
            <w:tcW w:type="dxa" w:w="624"/>
          </w:tcPr>
          <w:p>
            <w:r/>
            <w:r>
              <w:rPr>
                <w:b/>
                <w:sz w:val="17"/>
              </w:rPr>
              <w:t>Skor</w:t>
            </w:r>
          </w:p>
        </w:tc>
        <w:tc>
          <w:tcPr>
            <w:tcW w:type="dxa" w:w="3345"/>
          </w:tcPr>
          <w:p>
            <w:r/>
            <w:r>
              <w:rPr>
                <w:b/>
                <w:sz w:val="17"/>
              </w:rPr>
              <w:t>Tindakan yang diusulkan</w:t>
            </w:r>
          </w:p>
        </w:tc>
        <w:tc>
          <w:tcPr>
            <w:tcW w:type="dxa" w:w="3288"/>
          </w:tcPr>
          <w:p>
            <w:r/>
            <w:r>
              <w:rPr>
                <w:b/>
                <w:sz w:val="17"/>
              </w:rPr>
              <w:t>Pembatas hukum / operasional</w:t>
            </w:r>
          </w:p>
        </w:tc>
      </w:tr>
      <w:tr>
        <w:tc>
          <w:tcPr>
            <w:tcW w:type="dxa" w:w="2268"/>
          </w:tcPr>
          <w:p>
            <w:pPr>
              <w:spacing w:after="20"/>
            </w:pPr>
            <w:r/>
            <w:r>
              <w:rPr>
                <w:sz w:val="16"/>
              </w:rPr>
              <w:t>JD-04  Engineering Manager</w:t>
            </w:r>
          </w:p>
        </w:tc>
        <w:tc>
          <w:tcPr>
            <w:tcW w:type="dxa" w:w="624"/>
          </w:tcPr>
          <w:p>
            <w:pPr>
              <w:spacing w:after="20"/>
            </w:pPr>
            <w:r/>
            <w:r>
              <w:rPr>
                <w:sz w:val="16"/>
              </w:rPr>
              <w:t>44</w:t>
            </w:r>
          </w:p>
        </w:tc>
        <w:tc>
          <w:tcPr>
            <w:tcW w:type="dxa" w:w="3345"/>
          </w:tcPr>
          <w:p>
            <w:pPr>
              <w:spacing w:after="20"/>
            </w:pPr>
            <w:r/>
            <w:r>
              <w:rPr>
                <w:sz w:val="16"/>
              </w:rPr>
              <w:t>Tetap 1 orang, mengambil alih gerbang rilis dari QA Engineer.</w:t>
            </w:r>
          </w:p>
        </w:tc>
        <w:tc>
          <w:tcPr>
            <w:tcW w:type="dxa" w:w="3288"/>
          </w:tcPr>
          <w:p>
            <w:pPr>
              <w:spacing w:after="20"/>
            </w:pPr>
            <w:r/>
            <w:r>
              <w:rPr>
                <w:sz w:val="16"/>
              </w:rPr>
              <w:t>Pemilik postmortem &amp; gerbang penggabungan kode</w:t>
            </w:r>
          </w:p>
        </w:tc>
      </w:tr>
      <w:tr>
        <w:tc>
          <w:tcPr>
            <w:tcW w:type="dxa" w:w="2268"/>
          </w:tcPr>
          <w:p>
            <w:pPr>
              <w:spacing w:after="20"/>
            </w:pPr>
            <w:r/>
            <w:r>
              <w:rPr>
                <w:sz w:val="16"/>
              </w:rPr>
              <w:t>JD-07  Backend Engineer - Senior</w:t>
            </w:r>
          </w:p>
        </w:tc>
        <w:tc>
          <w:tcPr>
            <w:tcW w:type="dxa" w:w="624"/>
          </w:tcPr>
          <w:p>
            <w:pPr>
              <w:spacing w:after="20"/>
            </w:pPr>
            <w:r/>
            <w:r>
              <w:rPr>
                <w:sz w:val="16"/>
              </w:rPr>
              <w:t>45</w:t>
            </w:r>
          </w:p>
        </w:tc>
        <w:tc>
          <w:tcPr>
            <w:tcW w:type="dxa" w:w="3345"/>
          </w:tcPr>
          <w:p>
            <w:pPr>
              <w:spacing w:after="20"/>
            </w:pPr>
            <w:r/>
            <w:r>
              <w:rPr>
                <w:sz w:val="16"/>
              </w:rPr>
              <w:t>Tetap. Gelombang 2 dipertahankan di Skenario B (titik tunggal kegagalan bila dihapus).</w:t>
            </w:r>
          </w:p>
        </w:tc>
        <w:tc>
          <w:tcPr>
            <w:tcW w:type="dxa" w:w="3288"/>
          </w:tcPr>
          <w:p>
            <w:pPr>
              <w:spacing w:after="20"/>
            </w:pPr>
            <w:r/>
            <w:r>
              <w:rPr>
                <w:sz w:val="16"/>
              </w:rPr>
              <w:t>Perubahan yang menyentuh uang wajib ditinjau manusia (SOP-11, DESAIN 6)</w:t>
            </w:r>
          </w:p>
        </w:tc>
      </w:tr>
      <w:tr>
        <w:tc>
          <w:tcPr>
            <w:tcW w:type="dxa" w:w="2268"/>
          </w:tcPr>
          <w:p>
            <w:pPr>
              <w:spacing w:after="20"/>
            </w:pPr>
            <w:r/>
            <w:r>
              <w:rPr>
                <w:sz w:val="16"/>
              </w:rPr>
              <w:t>JD-14  Ops Supervisor</w:t>
            </w:r>
          </w:p>
        </w:tc>
        <w:tc>
          <w:tcPr>
            <w:tcW w:type="dxa" w:w="624"/>
          </w:tcPr>
          <w:p>
            <w:pPr>
              <w:spacing w:after="20"/>
            </w:pPr>
            <w:r/>
            <w:r>
              <w:rPr>
                <w:sz w:val="16"/>
              </w:rPr>
              <w:t>48</w:t>
            </w:r>
          </w:p>
        </w:tc>
        <w:tc>
          <w:tcPr>
            <w:tcW w:type="dxa" w:w="3345"/>
          </w:tcPr>
          <w:p>
            <w:pPr>
              <w:spacing w:after="20"/>
            </w:pPr>
            <w:r/>
            <w:r>
              <w:rPr>
                <w:sz w:val="16"/>
              </w:rPr>
              <w:t>Tetap 2 orang; pemantauan order tersendat diambil alih orkestrator.</w:t>
            </w:r>
          </w:p>
        </w:tc>
        <w:tc>
          <w:tcPr>
            <w:tcW w:type="dxa" w:w="3288"/>
          </w:tcPr>
          <w:p>
            <w:pPr>
              <w:spacing w:after="20"/>
            </w:pPr>
            <w:r/>
            <w:r>
              <w:rPr>
                <w:sz w:val="16"/>
              </w:rPr>
              <w:t>Pemeriksaan fisik kendaraan &amp; penanganan insiden lapangan</w:t>
            </w:r>
          </w:p>
        </w:tc>
      </w:tr>
      <w:tr>
        <w:tc>
          <w:tcPr>
            <w:tcW w:type="dxa" w:w="2268"/>
          </w:tcPr>
          <w:p>
            <w:pPr>
              <w:spacing w:after="20"/>
            </w:pPr>
            <w:r/>
            <w:r>
              <w:rPr>
                <w:sz w:val="16"/>
              </w:rPr>
              <w:t>JD-15  Partner Acquisition Officer</w:t>
            </w:r>
          </w:p>
        </w:tc>
        <w:tc>
          <w:tcPr>
            <w:tcW w:type="dxa" w:w="624"/>
          </w:tcPr>
          <w:p>
            <w:pPr>
              <w:spacing w:after="20"/>
            </w:pPr>
            <w:r/>
            <w:r>
              <w:rPr>
                <w:sz w:val="16"/>
              </w:rPr>
              <w:t>43</w:t>
            </w:r>
          </w:p>
        </w:tc>
        <w:tc>
          <w:tcPr>
            <w:tcW w:type="dxa" w:w="3345"/>
          </w:tcPr>
          <w:p>
            <w:pPr>
              <w:spacing w:after="20"/>
            </w:pPr>
            <w:r/>
            <w:r>
              <w:rPr>
                <w:sz w:val="16"/>
              </w:rPr>
              <w:t>Tetap 4 orang. Justru posisi terakhir yang boleh dipangkas.</w:t>
            </w:r>
          </w:p>
        </w:tc>
        <w:tc>
          <w:tcPr>
            <w:tcW w:type="dxa" w:w="3288"/>
          </w:tcPr>
          <w:p>
            <w:pPr>
              <w:spacing w:after="20"/>
            </w:pPr>
            <w:r/>
            <w:r>
              <w:rPr>
                <w:sz w:val="16"/>
              </w:rPr>
              <w:t>Rekrutmen tatap muka; R-07 menjadikan pasokan mitra risiko tertinggi</w:t>
            </w:r>
          </w:p>
        </w:tc>
      </w:tr>
      <w:tr>
        <w:tc>
          <w:tcPr>
            <w:tcW w:type="dxa" w:w="2268"/>
          </w:tcPr>
          <w:p>
            <w:pPr>
              <w:spacing w:after="20"/>
            </w:pPr>
            <w:r/>
            <w:r>
              <w:rPr>
                <w:sz w:val="16"/>
              </w:rPr>
              <w:t>JD-16  Head of Customer Experience</w:t>
            </w:r>
          </w:p>
        </w:tc>
        <w:tc>
          <w:tcPr>
            <w:tcW w:type="dxa" w:w="624"/>
          </w:tcPr>
          <w:p>
            <w:pPr>
              <w:spacing w:after="20"/>
            </w:pPr>
            <w:r/>
            <w:r>
              <w:rPr>
                <w:sz w:val="16"/>
              </w:rPr>
              <w:t>50</w:t>
            </w:r>
          </w:p>
        </w:tc>
        <w:tc>
          <w:tcPr>
            <w:tcW w:type="dxa" w:w="3345"/>
          </w:tcPr>
          <w:p>
            <w:pPr>
              <w:spacing w:after="20"/>
            </w:pPr>
            <w:r/>
            <w:r>
              <w:rPr>
                <w:sz w:val="16"/>
              </w:rPr>
              <w:t>Tetap 1 orang, berubah menjadi pengawas agen AI + pemilik basis pengetahuan.</w:t>
            </w:r>
          </w:p>
        </w:tc>
        <w:tc>
          <w:tcPr>
            <w:tcW w:type="dxa" w:w="3288"/>
          </w:tcPr>
          <w:p>
            <w:pPr>
              <w:spacing w:after="20"/>
            </w:pPr>
            <w:r/>
            <w:r>
              <w:rPr>
                <w:sz w:val="16"/>
              </w:rPr>
              <w:t>Penanggung jawab komunikasi publik saat insiden</w:t>
            </w:r>
          </w:p>
        </w:tc>
      </w:tr>
      <w:tr>
        <w:tc>
          <w:tcPr>
            <w:tcW w:type="dxa" w:w="2268"/>
          </w:tcPr>
          <w:p>
            <w:pPr>
              <w:spacing w:after="20"/>
            </w:pPr>
            <w:r/>
            <w:r>
              <w:rPr>
                <w:sz w:val="16"/>
              </w:rPr>
              <w:t>JD-18  Trust &amp; Safety Officer</w:t>
            </w:r>
          </w:p>
        </w:tc>
        <w:tc>
          <w:tcPr>
            <w:tcW w:type="dxa" w:w="624"/>
          </w:tcPr>
          <w:p>
            <w:pPr>
              <w:spacing w:after="20"/>
            </w:pPr>
            <w:r/>
            <w:r>
              <w:rPr>
                <w:sz w:val="16"/>
              </w:rPr>
              <w:t>36</w:t>
            </w:r>
          </w:p>
        </w:tc>
        <w:tc>
          <w:tcPr>
            <w:tcW w:type="dxa" w:w="3345"/>
          </w:tcPr>
          <w:p>
            <w:pPr>
              <w:spacing w:after="20"/>
            </w:pPr>
            <w:r/>
            <w:r>
              <w:rPr>
                <w:sz w:val="16"/>
              </w:rPr>
              <w:t>Tetap 1 orang. Triase &amp; pemeringkatan otomatis, keputusan penangguhan tetap manusia.</w:t>
            </w:r>
          </w:p>
        </w:tc>
        <w:tc>
          <w:tcPr>
            <w:tcW w:type="dxa" w:w="3288"/>
          </w:tcPr>
          <w:p>
            <w:pPr>
              <w:spacing w:after="20"/>
            </w:pPr>
            <w:r/>
            <w:r>
              <w:rPr>
                <w:sz w:val="16"/>
              </w:rPr>
              <w:t>UU PDP Pasal 10: subjek data berhak keberatan atas keputusan yang hanya berdasar pemrosesan otomatis; penangguhan akun berdampak signifikan</w:t>
            </w:r>
          </w:p>
        </w:tc>
      </w:tr>
      <w:tr>
        <w:tc>
          <w:tcPr>
            <w:tcW w:type="dxa" w:w="2268"/>
          </w:tcPr>
          <w:p>
            <w:pPr>
              <w:spacing w:after="20"/>
            </w:pPr>
            <w:r/>
            <w:r>
              <w:rPr>
                <w:sz w:val="16"/>
              </w:rPr>
              <w:t>JD-23  Head of Growth &amp; Partnership</w:t>
            </w:r>
          </w:p>
        </w:tc>
        <w:tc>
          <w:tcPr>
            <w:tcW w:type="dxa" w:w="624"/>
          </w:tcPr>
          <w:p>
            <w:pPr>
              <w:spacing w:after="20"/>
            </w:pPr>
            <w:r/>
            <w:r>
              <w:rPr>
                <w:sz w:val="16"/>
              </w:rPr>
              <w:t>36</w:t>
            </w:r>
          </w:p>
        </w:tc>
        <w:tc>
          <w:tcPr>
            <w:tcW w:type="dxa" w:w="3345"/>
          </w:tcPr>
          <w:p>
            <w:pPr>
              <w:spacing w:after="20"/>
            </w:pPr>
            <w:r/>
            <w:r>
              <w:rPr>
                <w:sz w:val="16"/>
              </w:rPr>
              <w:t>Tetap 1 orang; menyerap pagu &amp; eksekusi kampanye dari Digital Marketing Staff.</w:t>
            </w:r>
          </w:p>
        </w:tc>
        <w:tc>
          <w:tcPr>
            <w:tcW w:type="dxa" w:w="3288"/>
          </w:tcPr>
          <w:p>
            <w:pPr>
              <w:spacing w:after="20"/>
            </w:pPr>
            <w:r/>
            <w:r>
              <w:rPr>
                <w:sz w:val="16"/>
              </w:rPr>
              <w:t>Menandatangani kesepakatan komersial; menyetujui materi publik</w:t>
            </w:r>
          </w:p>
        </w:tc>
      </w:tr>
      <w:tr>
        <w:tc>
          <w:tcPr>
            <w:tcW w:type="dxa" w:w="2268"/>
          </w:tcPr>
          <w:p>
            <w:pPr>
              <w:spacing w:after="20"/>
            </w:pPr>
            <w:r/>
            <w:r>
              <w:rPr>
                <w:sz w:val="16"/>
              </w:rPr>
              <w:t>JD-25  Merchant Acquisition Officer</w:t>
            </w:r>
          </w:p>
        </w:tc>
        <w:tc>
          <w:tcPr>
            <w:tcW w:type="dxa" w:w="624"/>
          </w:tcPr>
          <w:p>
            <w:pPr>
              <w:spacing w:after="20"/>
            </w:pPr>
            <w:r/>
            <w:r>
              <w:rPr>
                <w:sz w:val="16"/>
              </w:rPr>
              <w:t>42</w:t>
            </w:r>
          </w:p>
        </w:tc>
        <w:tc>
          <w:tcPr>
            <w:tcW w:type="dxa" w:w="3345"/>
          </w:tcPr>
          <w:p>
            <w:pPr>
              <w:spacing w:after="20"/>
            </w:pPr>
            <w:r/>
            <w:r>
              <w:rPr>
                <w:sz w:val="16"/>
              </w:rPr>
              <w:t>Tetap 1 orang; onboarding mandiri + moderasi katalog otomatis mengurangi beban, bukan menghapus peran.</w:t>
            </w:r>
          </w:p>
        </w:tc>
        <w:tc>
          <w:tcPr>
            <w:tcW w:type="dxa" w:w="3288"/>
          </w:tcPr>
          <w:p>
            <w:pPr>
              <w:spacing w:after="20"/>
            </w:pPr>
            <w:r/>
            <w:r>
              <w:rPr>
                <w:sz w:val="16"/>
              </w:rPr>
              <w:t>Negosiasi paket komisi &amp; pelatihan tatap muka pedagang pasar</w:t>
            </w:r>
          </w:p>
        </w:tc>
      </w:tr>
    </w:tbl>
    <w:p>
      <w:pPr>
        <w:spacing w:after="40"/>
      </w:pPr>
    </w:p>
    <w:p>
      <w:pPr>
        <w:pStyle w:val="Heading2"/>
      </w:pPr>
      <w:r>
        <w:rPr>
          <w:color w:val="1F3B63"/>
        </w:rPr>
        <w:t>WAJIB MANUSIA</w:t>
      </w:r>
    </w:p>
    <w:p>
      <w:pPr>
        <w:spacing w:after="80"/>
      </w:pPr>
      <w:r>
        <w:rPr>
          <w:b w:val="0"/>
          <w:i/>
          <w:sz w:val="18"/>
        </w:rPr>
        <w:t>Peran tidak boleh dihapus maupun dikurangi. Dasarnya disebutkan pada kolom terakhir.</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268"/>
          </w:tcPr>
          <w:p>
            <w:r/>
            <w:r>
              <w:rPr>
                <w:b/>
                <w:sz w:val="17"/>
              </w:rPr>
              <w:t>Jabatan</w:t>
            </w:r>
          </w:p>
        </w:tc>
        <w:tc>
          <w:tcPr>
            <w:tcW w:type="dxa" w:w="624"/>
          </w:tcPr>
          <w:p>
            <w:r/>
            <w:r>
              <w:rPr>
                <w:b/>
                <w:sz w:val="17"/>
              </w:rPr>
              <w:t>Skor</w:t>
            </w:r>
          </w:p>
        </w:tc>
        <w:tc>
          <w:tcPr>
            <w:tcW w:type="dxa" w:w="3345"/>
          </w:tcPr>
          <w:p>
            <w:r/>
            <w:r>
              <w:rPr>
                <w:b/>
                <w:sz w:val="17"/>
              </w:rPr>
              <w:t>Tindakan yang diusulkan</w:t>
            </w:r>
          </w:p>
        </w:tc>
        <w:tc>
          <w:tcPr>
            <w:tcW w:type="dxa" w:w="3288"/>
          </w:tcPr>
          <w:p>
            <w:r/>
            <w:r>
              <w:rPr>
                <w:b/>
                <w:sz w:val="17"/>
              </w:rPr>
              <w:t>Pembatas hukum / operasional</w:t>
            </w:r>
          </w:p>
        </w:tc>
      </w:tr>
      <w:tr>
        <w:tc>
          <w:tcPr>
            <w:tcW w:type="dxa" w:w="2268"/>
          </w:tcPr>
          <w:p>
            <w:pPr>
              <w:spacing w:after="20"/>
            </w:pPr>
            <w:r/>
            <w:r>
              <w:rPr>
                <w:sz w:val="16"/>
              </w:rPr>
              <w:t>JD-01  Direktur Utama (CEO)</w:t>
            </w:r>
          </w:p>
        </w:tc>
        <w:tc>
          <w:tcPr>
            <w:tcW w:type="dxa" w:w="624"/>
          </w:tcPr>
          <w:p>
            <w:pPr>
              <w:spacing w:after="20"/>
            </w:pPr>
            <w:r/>
            <w:r>
              <w:rPr>
                <w:sz w:val="16"/>
              </w:rPr>
              <w:t>12</w:t>
            </w:r>
          </w:p>
        </w:tc>
        <w:tc>
          <w:tcPr>
            <w:tcW w:type="dxa" w:w="3345"/>
          </w:tcPr>
          <w:p>
            <w:pPr>
              <w:spacing w:after="20"/>
            </w:pPr>
            <w:r/>
            <w:r>
              <w:rPr>
                <w:sz w:val="16"/>
              </w:rPr>
              <w:t>Tetap 1 orang. AI dipakai untuk penyusunan paket laporan &amp; analisis skenario.</w:t>
            </w:r>
          </w:p>
        </w:tc>
        <w:tc>
          <w:tcPr>
            <w:tcW w:type="dxa" w:w="3288"/>
          </w:tcPr>
          <w:p>
            <w:pPr>
              <w:spacing w:after="20"/>
            </w:pPr>
            <w:r/>
            <w:r>
              <w:rPr>
                <w:sz w:val="16"/>
              </w:rPr>
              <w:t>Organ perseroan; menandatangani perjanjian; akuntabilitas hukum tidak dapat didelegasikan ke sistem</w:t>
            </w:r>
          </w:p>
        </w:tc>
      </w:tr>
      <w:tr>
        <w:tc>
          <w:tcPr>
            <w:tcW w:type="dxa" w:w="2268"/>
          </w:tcPr>
          <w:p>
            <w:pPr>
              <w:spacing w:after="20"/>
            </w:pPr>
            <w:r/>
            <w:r>
              <w:rPr>
                <w:sz w:val="16"/>
              </w:rPr>
              <w:t>JD-02  Direktur Teknologi (CTO)</w:t>
            </w:r>
          </w:p>
        </w:tc>
        <w:tc>
          <w:tcPr>
            <w:tcW w:type="dxa" w:w="624"/>
          </w:tcPr>
          <w:p>
            <w:pPr>
              <w:spacing w:after="20"/>
            </w:pPr>
            <w:r/>
            <w:r>
              <w:rPr>
                <w:sz w:val="16"/>
              </w:rPr>
              <w:t>20</w:t>
            </w:r>
          </w:p>
        </w:tc>
        <w:tc>
          <w:tcPr>
            <w:tcW w:type="dxa" w:w="3345"/>
          </w:tcPr>
          <w:p>
            <w:pPr>
              <w:spacing w:after="20"/>
            </w:pPr>
            <w:r/>
            <w:r>
              <w:rPr>
                <w:sz w:val="16"/>
              </w:rPr>
              <w:t>Tetap 1 orang. Rentang kendali teknis naik karena agen koding; tetap pemilik akuntabilitas.</w:t>
            </w:r>
          </w:p>
        </w:tc>
        <w:tc>
          <w:tcPr>
            <w:tcW w:type="dxa" w:w="3288"/>
          </w:tcPr>
          <w:p>
            <w:pPr>
              <w:spacing w:after="20"/>
            </w:pPr>
            <w:r/>
            <w:r>
              <w:rPr>
                <w:sz w:val="16"/>
              </w:rPr>
              <w:t>Pengendali teknis UU PDP; penetapan keparahan insiden; direksi</w:t>
            </w:r>
          </w:p>
        </w:tc>
      </w:tr>
      <w:tr>
        <w:tc>
          <w:tcPr>
            <w:tcW w:type="dxa" w:w="2268"/>
          </w:tcPr>
          <w:p>
            <w:pPr>
              <w:spacing w:after="20"/>
            </w:pPr>
            <w:r/>
            <w:r>
              <w:rPr>
                <w:sz w:val="16"/>
              </w:rPr>
              <w:t>JD-03  Direktur Operasi (COO)</w:t>
            </w:r>
          </w:p>
        </w:tc>
        <w:tc>
          <w:tcPr>
            <w:tcW w:type="dxa" w:w="624"/>
          </w:tcPr>
          <w:p>
            <w:pPr>
              <w:spacing w:after="20"/>
            </w:pPr>
            <w:r/>
            <w:r>
              <w:rPr>
                <w:sz w:val="16"/>
              </w:rPr>
              <w:t>22</w:t>
            </w:r>
          </w:p>
        </w:tc>
        <w:tc>
          <w:tcPr>
            <w:tcW w:type="dxa" w:w="3345"/>
          </w:tcPr>
          <w:p>
            <w:pPr>
              <w:spacing w:after="20"/>
            </w:pPr>
            <w:r/>
            <w:r>
              <w:rPr>
                <w:sz w:val="16"/>
              </w:rPr>
              <w:t>Tetap 1 orang. Pada Skenario C merangkap Head of CX - inilah titik pecah pertama.</w:t>
            </w:r>
          </w:p>
        </w:tc>
        <w:tc>
          <w:tcPr>
            <w:tcW w:type="dxa" w:w="3288"/>
          </w:tcPr>
          <w:p>
            <w:pPr>
              <w:spacing w:after="20"/>
            </w:pPr>
            <w:r/>
            <w:r>
              <w:rPr>
                <w:sz w:val="16"/>
              </w:rPr>
              <w:t>Keputusan darurat operasional &amp; keselamatan; direksi</w:t>
            </w:r>
          </w:p>
        </w:tc>
      </w:tr>
      <w:tr>
        <w:tc>
          <w:tcPr>
            <w:tcW w:type="dxa" w:w="2268"/>
          </w:tcPr>
          <w:p>
            <w:pPr>
              <w:spacing w:after="20"/>
            </w:pPr>
            <w:r/>
            <w:r>
              <w:rPr>
                <w:sz w:val="16"/>
              </w:rPr>
              <w:t>JD-13  City Manager</w:t>
            </w:r>
          </w:p>
        </w:tc>
        <w:tc>
          <w:tcPr>
            <w:tcW w:type="dxa" w:w="624"/>
          </w:tcPr>
          <w:p>
            <w:pPr>
              <w:spacing w:after="20"/>
            </w:pPr>
            <w:r/>
            <w:r>
              <w:rPr>
                <w:sz w:val="16"/>
              </w:rPr>
              <w:t>30</w:t>
            </w:r>
          </w:p>
        </w:tc>
        <w:tc>
          <w:tcPr>
            <w:tcW w:type="dxa" w:w="3345"/>
          </w:tcPr>
          <w:p>
            <w:pPr>
              <w:spacing w:after="20"/>
            </w:pPr>
            <w:r/>
            <w:r>
              <w:rPr>
                <w:sz w:val="16"/>
              </w:rPr>
              <w:t>Tetap 2 orang (Pekanbaru + Padang). Tidak boleh dipangkas.</w:t>
            </w:r>
          </w:p>
        </w:tc>
        <w:tc>
          <w:tcPr>
            <w:tcW w:type="dxa" w:w="3288"/>
          </w:tcPr>
          <w:p>
            <w:pPr>
              <w:spacing w:after="20"/>
            </w:pPr>
            <w:r/>
            <w:r>
              <w:rPr>
                <w:sz w:val="16"/>
              </w:rPr>
              <w:t>Kehadiran fisik, negosiasi komunitas &amp; pemda</w:t>
            </w:r>
          </w:p>
        </w:tc>
      </w:tr>
      <w:tr>
        <w:tc>
          <w:tcPr>
            <w:tcW w:type="dxa" w:w="2268"/>
          </w:tcPr>
          <w:p>
            <w:pPr>
              <w:spacing w:after="20"/>
            </w:pPr>
            <w:r/>
            <w:r>
              <w:rPr>
                <w:sz w:val="16"/>
              </w:rPr>
              <w:t>JD-19  Head of Finance</w:t>
            </w:r>
          </w:p>
        </w:tc>
        <w:tc>
          <w:tcPr>
            <w:tcW w:type="dxa" w:w="624"/>
          </w:tcPr>
          <w:p>
            <w:pPr>
              <w:spacing w:after="20"/>
            </w:pPr>
            <w:r/>
            <w:r>
              <w:rPr>
                <w:sz w:val="16"/>
              </w:rPr>
              <w:t>20</w:t>
            </w:r>
          </w:p>
        </w:tc>
        <w:tc>
          <w:tcPr>
            <w:tcW w:type="dxa" w:w="3345"/>
          </w:tcPr>
          <w:p>
            <w:pPr>
              <w:spacing w:after="20"/>
            </w:pPr>
            <w:r/>
            <w:r>
              <w:rPr>
                <w:sz w:val="16"/>
              </w:rPr>
              <w:t>Tetap 1 orang; menyerap kepemilikan definisi metrik dari Data Analyst.</w:t>
            </w:r>
          </w:p>
        </w:tc>
        <w:tc>
          <w:tcPr>
            <w:tcW w:type="dxa" w:w="3288"/>
          </w:tcPr>
          <w:p>
            <w:pPr>
              <w:spacing w:after="20"/>
            </w:pPr>
            <w:r/>
            <w:r>
              <w:rPr>
                <w:sz w:val="16"/>
              </w:rPr>
              <w:t>Penanggung jawab laporan keuangan &amp; pajak; penyetuju dalam pemisahan tugas</w:t>
            </w:r>
          </w:p>
        </w:tc>
      </w:tr>
      <w:tr>
        <w:tc>
          <w:tcPr>
            <w:tcW w:type="dxa" w:w="2268"/>
          </w:tcPr>
          <w:p>
            <w:pPr>
              <w:spacing w:after="20"/>
            </w:pPr>
            <w:r/>
            <w:r>
              <w:rPr>
                <w:sz w:val="16"/>
              </w:rPr>
              <w:t>JD-22  Head of Legal &amp; Compliance (DPO)</w:t>
            </w:r>
          </w:p>
        </w:tc>
        <w:tc>
          <w:tcPr>
            <w:tcW w:type="dxa" w:w="624"/>
          </w:tcPr>
          <w:p>
            <w:pPr>
              <w:spacing w:after="20"/>
            </w:pPr>
            <w:r/>
            <w:r>
              <w:rPr>
                <w:sz w:val="16"/>
              </w:rPr>
              <w:t>19</w:t>
            </w:r>
          </w:p>
        </w:tc>
        <w:tc>
          <w:tcPr>
            <w:tcW w:type="dxa" w:w="3345"/>
          </w:tcPr>
          <w:p>
            <w:pPr>
              <w:spacing w:after="20"/>
            </w:pPr>
            <w:r/>
            <w:r>
              <w:rPr>
                <w:sz w:val="16"/>
              </w:rPr>
              <w:t>Tetap 1 orang. Beban naik karena otomasi menambah kewajiban DPIA &amp; transfer data.</w:t>
            </w:r>
          </w:p>
        </w:tc>
        <w:tc>
          <w:tcPr>
            <w:tcW w:type="dxa" w:w="3288"/>
          </w:tcPr>
          <w:p>
            <w:pPr>
              <w:spacing w:after="20"/>
            </w:pPr>
            <w:r/>
            <w:r>
              <w:rPr>
                <w:sz w:val="16"/>
              </w:rPr>
              <w:t>UU 27/2022 Pasal 53 mewajibkan penunjukan PEJABAT/PETUGAS - jabatan melekat pada orang, bukan sistem; MK 151/PUU-XXII/2024</w:t>
            </w:r>
          </w:p>
        </w:tc>
      </w:tr>
    </w:tbl>
    <w:p>
      <w:pPr>
        <w:spacing w:after="40"/>
      </w:pPr>
    </w:p>
    <w:p>
      <w:pPr>
        <w:pStyle w:val="Heading2"/>
      </w:pPr>
      <w:r>
        <w:rPr>
          <w:color w:val="1F3B63"/>
        </w:rPr>
        <w:t>Peran yang jujur memang sangat dapat diotomasi</w:t>
      </w:r>
    </w:p>
    <w:p>
      <w:pPr>
        <w:spacing w:after="80"/>
      </w:pPr>
      <w:r>
        <w:rPr>
          <w:b w:val="0"/>
          <w:i w:val="0"/>
        </w:rPr>
        <w:t>Agar dokumen ini tidak dibaca sebagai pembelaan terhadap struktur yang ada, berikut daftar tugas yang memang sudah matang untuk diotomasi hari ini:</w:t>
      </w:r>
    </w:p>
    <w:p>
      <w:pPr>
        <w:pStyle w:val="ListBullet"/>
        <w:spacing w:after="40"/>
      </w:pPr>
      <w:r>
        <w:t>Tiket CS tingkat 1 — pertanyaan status order, saldo, promo, dan keluhan ringan sesuai naskah baku (JD-17, SOP-04).</w:t>
      </w:r>
    </w:p>
    <w:p>
      <w:pPr>
        <w:pStyle w:val="ListBullet"/>
        <w:spacing w:after="40"/>
      </w:pPr>
      <w:r>
        <w:t>Moderasi konten katalog merchant dan pemeriksaan kewajaran harga komoditas pasar (JD-25, SOP-02).</w:t>
      </w:r>
    </w:p>
    <w:p>
      <w:pPr>
        <w:pStyle w:val="ListBullet"/>
        <w:spacing w:after="40"/>
      </w:pPr>
      <w:r>
        <w:t>Verifikasi dokumen KYC mitra — OCR KTP/SIM/STNK, kecocokan wajah, uji keaktifan, dan penghitungan skor verifikasi otomatis (SOP-01 sudah merancang ambang skor 80).</w:t>
      </w:r>
    </w:p>
    <w:p>
      <w:pPr>
        <w:pStyle w:val="ListBullet"/>
        <w:spacing w:after="40"/>
      </w:pPr>
      <w:r>
        <w:t>Rekonsiliasi dompet harian terhadap laporan keuangan berjenjang dan pembagian hasil per order (JD-21, SOP-07) — mesin lebih baik daripada manusia untuk pencocokan, manusia tetap diperlukan untuk menjelaskan selisih.</w:t>
      </w:r>
    </w:p>
    <w:p>
      <w:pPr>
        <w:pStyle w:val="ListBullet"/>
        <w:spacing w:after="40"/>
      </w:pPr>
      <w:r>
        <w:t>Pengujian aplikasi: simulasi transaksi ujung-ke-ujung dan sapuan rute otomatis untuk tiga aplikasi (JD-09, SOP-11).</w:t>
      </w:r>
    </w:p>
    <w:p>
      <w:pPr>
        <w:pStyle w:val="ListBullet"/>
        <w:spacing w:after="40"/>
      </w:pPr>
      <w:r>
        <w:t>Penulisan konten pemasaran, kalender kampanye, dan pengukuran hasil sampai ke order (JD-24).</w:t>
      </w:r>
    </w:p>
    <w:p>
      <w:pPr>
        <w:pStyle w:val="ListBullet"/>
        <w:spacing w:after="40"/>
      </w:pPr>
      <w:r>
        <w:t>Analisis data rutin dan produksi laporan Portal Eksekutif serta paket Komisaris (JD-12, SOP-12).</w:t>
      </w:r>
    </w:p>
    <w:p>
      <w:pPr>
        <w:pStyle w:val="ListBullet"/>
        <w:spacing w:after="40"/>
      </w:pPr>
      <w:r>
        <w:t>Sebagian dispatch — penugasan ulang order yang tersendat melewati ambang waktu (JD-14, SOP-03).</w:t>
      </w:r>
    </w:p>
    <w:p>
      <w:pPr>
        <w:pStyle w:val="ListBullet"/>
        <w:spacing w:after="40"/>
      </w:pPr>
      <w:r>
        <w:t>Sebagian deteksi fraud — pemeringkatan sinyal pembatalan berulang, lompatan lokasi, perangkat dipakai bersama, harga di luar kewajaran (JD-18, SOP-06). Pemeringkatan, bukan keputusan.</w:t>
      </w:r>
    </w:p>
    <w:p>
      <w:pPr>
        <w:spacing w:after="80"/>
      </w:pPr>
      <w:r>
        <w:rPr>
          <w:b w:val="0"/>
          <w:i w:val="0"/>
        </w:rPr>
        <w:t>Dan berikut yang tidak dapat diotomasi hari ini, apa pun kemajuan teknologinya: rekrutmen dan pembinaan mitra pengemudi di lapangan, penanganan kecelakaan dan insiden keselamatan, hubungan dengan pemerintah daerah dan pengelola pasar, serta negosiasi paket komisi merchant. Keempatnya adalah pekerjaan yang menentukan apakah AntarKita punya pasokan mitra — dan register risiko manual organisasi menempatkan kegagalan pasokan mitra (R-07) sebagai risiko dengan kemungkinan TERTINGGI.</w:t>
      </w:r>
    </w:p>
    <w:p>
      <w:r>
        <w:br w:type="page"/>
      </w:r>
    </w:p>
    <w:p>
      <w:pPr>
        <w:pStyle w:val="Heading1"/>
      </w:pPr>
      <w:r>
        <w:rPr>
          <w:color w:val="1F3B63"/>
        </w:rPr>
        <w:t>Bab 3  Tumpukan Tool AI yang Diusulkan</w:t>
      </w:r>
    </w:p>
    <w:p>
      <w:pPr>
        <w:spacing w:after="80"/>
      </w:pPr>
      <w:r>
        <w:rPr>
          <w:b w:val="0"/>
          <w:i w:val="0"/>
        </w:rPr>
        <w:t>Asumsi kurs: Rp17.631 per USD, kurs 4 September 2026 [S-74]. Seluruh langganan ke penyedia luar negeri ditambah PPN PMSE efektif 11% (tarif 12% atas DPP nilai lain 11/12) [S-75], buffer risiko kurs 8% [ASUMSI], dan cadangan gross-up PPh Pasal 26 sebesar 10% [ASUMSI; tarif umum 20%, dapat lebih rendah dengan P3B — S-77]. Gabungan tambahan ini adalah 29% atas porsi luar negeri.</w:t>
      </w:r>
    </w:p>
    <w:p>
      <w:pPr>
        <w:pStyle w:val="Heading2"/>
      </w:pPr>
      <w:r>
        <w:rPr>
          <w:color w:val="1F3B63"/>
        </w:rPr>
        <w:t>3.1  Asumsi volume yang dipakai</w:t>
      </w:r>
    </w:p>
    <w:p>
      <w:pPr>
        <w:spacing w:after="80"/>
      </w:pPr>
      <w:r>
        <w:rPr>
          <w:b w:val="0"/>
          <w:i w:val="0"/>
        </w:rPr>
        <w:t>Volume diturunkan dari target Bab 5 manual organisasi. Target itu sendiri berlabel [ASUMSI] penyusun manual karena AntarKita belum beroperasi komersial.</w:t>
      </w:r>
    </w:p>
    <w:tbl>
      <w:tblPr>
        <w:tblStyle w:val="LightGrid-Accent1"/>
        <w:tblW w:type="auto" w:w="0"/>
        <w:tblLayout w:type="fixed"/>
        <w:tblLook w:firstColumn="1" w:firstRow="1" w:lastColumn="0" w:lastRow="0" w:noHBand="0" w:noVBand="1" w:val="04A0"/>
      </w:tblPr>
      <w:tblGrid>
        <w:gridCol w:w="1949"/>
        <w:gridCol w:w="1949"/>
        <w:gridCol w:w="1949"/>
        <w:gridCol w:w="1949"/>
        <w:gridCol w:w="1949"/>
      </w:tblGrid>
      <w:tr>
        <w:tc>
          <w:tcPr>
            <w:tcW w:type="dxa" w:w="2608"/>
          </w:tcPr>
          <w:p>
            <w:r/>
            <w:r>
              <w:rPr>
                <w:b/>
                <w:sz w:val="17"/>
              </w:rPr>
              <w:t>Ukuran per bulan</w:t>
            </w:r>
          </w:p>
        </w:tc>
        <w:tc>
          <w:tcPr>
            <w:tcW w:type="dxa" w:w="1134"/>
          </w:tcPr>
          <w:p>
            <w:r/>
            <w:r>
              <w:rPr>
                <w:b/>
                <w:sz w:val="17"/>
              </w:rPr>
              <w:t>Fase 0</w:t>
            </w:r>
          </w:p>
        </w:tc>
        <w:tc>
          <w:tcPr>
            <w:tcW w:type="dxa" w:w="1134"/>
          </w:tcPr>
          <w:p>
            <w:r/>
            <w:r>
              <w:rPr>
                <w:b/>
                <w:sz w:val="17"/>
              </w:rPr>
              <w:t>Fase 1</w:t>
            </w:r>
          </w:p>
        </w:tc>
        <w:tc>
          <w:tcPr>
            <w:tcW w:type="dxa" w:w="1134"/>
          </w:tcPr>
          <w:p>
            <w:r/>
            <w:r>
              <w:rPr>
                <w:b/>
                <w:sz w:val="17"/>
              </w:rPr>
              <w:t>Fase 2</w:t>
            </w:r>
          </w:p>
        </w:tc>
        <w:tc>
          <w:tcPr>
            <w:tcW w:type="dxa" w:w="3515"/>
          </w:tcPr>
          <w:p>
            <w:r/>
            <w:r>
              <w:rPr>
                <w:b/>
                <w:sz w:val="17"/>
              </w:rPr>
              <w:t>Dasar</w:t>
            </w:r>
          </w:p>
        </w:tc>
      </w:tr>
      <w:tr>
        <w:tc>
          <w:tcPr>
            <w:tcW w:type="dxa" w:w="2608"/>
          </w:tcPr>
          <w:p>
            <w:pPr>
              <w:spacing w:after="20"/>
            </w:pPr>
            <w:r/>
            <w:r>
              <w:rPr>
                <w:sz w:val="16"/>
              </w:rPr>
              <w:t>Order selesai</w:t>
            </w:r>
          </w:p>
        </w:tc>
        <w:tc>
          <w:tcPr>
            <w:tcW w:type="dxa" w:w="1134"/>
          </w:tcPr>
          <w:p>
            <w:pPr>
              <w:spacing w:after="20"/>
            </w:pPr>
            <w:r/>
            <w:r>
              <w:rPr>
                <w:sz w:val="16"/>
              </w:rPr>
              <w:t>900</w:t>
            </w:r>
          </w:p>
        </w:tc>
        <w:tc>
          <w:tcPr>
            <w:tcW w:type="dxa" w:w="1134"/>
          </w:tcPr>
          <w:p>
            <w:pPr>
              <w:spacing w:after="20"/>
            </w:pPr>
            <w:r/>
            <w:r>
              <w:rPr>
                <w:sz w:val="16"/>
              </w:rPr>
              <w:t>18.000</w:t>
            </w:r>
          </w:p>
        </w:tc>
        <w:tc>
          <w:tcPr>
            <w:tcW w:type="dxa" w:w="1134"/>
          </w:tcPr>
          <w:p>
            <w:pPr>
              <w:spacing w:after="20"/>
            </w:pPr>
            <w:r/>
            <w:r>
              <w:rPr>
                <w:sz w:val="16"/>
              </w:rPr>
              <w:t>72.000</w:t>
            </w:r>
          </w:p>
        </w:tc>
        <w:tc>
          <w:tcPr>
            <w:tcW w:type="dxa" w:w="3515"/>
          </w:tcPr>
          <w:p>
            <w:pPr>
              <w:spacing w:after="20"/>
            </w:pPr>
            <w:r/>
            <w:r>
              <w:rPr>
                <w:sz w:val="16"/>
              </w:rPr>
              <w:t>30 / 600 / 2.400 order per hari × 30 hari — target Bab 5</w:t>
            </w:r>
          </w:p>
        </w:tc>
      </w:tr>
      <w:tr>
        <w:tc>
          <w:tcPr>
            <w:tcW w:type="dxa" w:w="2608"/>
          </w:tcPr>
          <w:p>
            <w:pPr>
              <w:spacing w:after="20"/>
            </w:pPr>
            <w:r/>
            <w:r>
              <w:rPr>
                <w:sz w:val="16"/>
              </w:rPr>
              <w:t>Tiket masuk</w:t>
            </w:r>
          </w:p>
        </w:tc>
        <w:tc>
          <w:tcPr>
            <w:tcW w:type="dxa" w:w="1134"/>
          </w:tcPr>
          <w:p>
            <w:pPr>
              <w:spacing w:after="20"/>
            </w:pPr>
            <w:r/>
            <w:r>
              <w:rPr>
                <w:sz w:val="16"/>
              </w:rPr>
              <w:t>32</w:t>
            </w:r>
          </w:p>
        </w:tc>
        <w:tc>
          <w:tcPr>
            <w:tcW w:type="dxa" w:w="1134"/>
          </w:tcPr>
          <w:p>
            <w:pPr>
              <w:spacing w:after="20"/>
            </w:pPr>
            <w:r/>
            <w:r>
              <w:rPr>
                <w:sz w:val="16"/>
              </w:rPr>
              <w:t>630</w:t>
            </w:r>
          </w:p>
        </w:tc>
        <w:tc>
          <w:tcPr>
            <w:tcW w:type="dxa" w:w="1134"/>
          </w:tcPr>
          <w:p>
            <w:pPr>
              <w:spacing w:after="20"/>
            </w:pPr>
            <w:r/>
            <w:r>
              <w:rPr>
                <w:sz w:val="16"/>
              </w:rPr>
              <w:t>1.584</w:t>
            </w:r>
          </w:p>
        </w:tc>
        <w:tc>
          <w:tcPr>
            <w:tcW w:type="dxa" w:w="3515"/>
          </w:tcPr>
          <w:p>
            <w:pPr>
              <w:spacing w:after="20"/>
            </w:pPr>
            <w:r/>
            <w:r>
              <w:rPr>
                <w:sz w:val="16"/>
              </w:rPr>
              <w:t>35 tiket per 1.000 order (tahun 1), 22 (tahun 2) — target Bab 5</w:t>
            </w:r>
          </w:p>
        </w:tc>
      </w:tr>
      <w:tr>
        <w:tc>
          <w:tcPr>
            <w:tcW w:type="dxa" w:w="2608"/>
          </w:tcPr>
          <w:p>
            <w:pPr>
              <w:spacing w:after="20"/>
            </w:pPr>
            <w:r/>
            <w:r>
              <w:rPr>
                <w:sz w:val="16"/>
              </w:rPr>
              <w:t>Tiket ditangani agen AI</w:t>
            </w:r>
          </w:p>
        </w:tc>
        <w:tc>
          <w:tcPr>
            <w:tcW w:type="dxa" w:w="1134"/>
          </w:tcPr>
          <w:p>
            <w:pPr>
              <w:spacing w:after="20"/>
            </w:pPr>
            <w:r/>
            <w:r>
              <w:rPr>
                <w:sz w:val="16"/>
              </w:rPr>
              <w:t>19</w:t>
            </w:r>
          </w:p>
        </w:tc>
        <w:tc>
          <w:tcPr>
            <w:tcW w:type="dxa" w:w="1134"/>
          </w:tcPr>
          <w:p>
            <w:pPr>
              <w:spacing w:after="20"/>
            </w:pPr>
            <w:r/>
            <w:r>
              <w:rPr>
                <w:sz w:val="16"/>
              </w:rPr>
              <w:t>378</w:t>
            </w:r>
          </w:p>
        </w:tc>
        <w:tc>
          <w:tcPr>
            <w:tcW w:type="dxa" w:w="1134"/>
          </w:tcPr>
          <w:p>
            <w:pPr>
              <w:spacing w:after="20"/>
            </w:pPr>
            <w:r/>
            <w:r>
              <w:rPr>
                <w:sz w:val="16"/>
              </w:rPr>
              <w:t>950</w:t>
            </w:r>
          </w:p>
        </w:tc>
        <w:tc>
          <w:tcPr>
            <w:tcW w:type="dxa" w:w="3515"/>
          </w:tcPr>
          <w:p>
            <w:pPr>
              <w:spacing w:after="20"/>
            </w:pPr>
            <w:r/>
            <w:r>
              <w:rPr>
                <w:sz w:val="16"/>
              </w:rPr>
              <w:t>deflection 60% [ASUMSI]</w:t>
            </w:r>
          </w:p>
        </w:tc>
      </w:tr>
      <w:tr>
        <w:tc>
          <w:tcPr>
            <w:tcW w:type="dxa" w:w="2608"/>
          </w:tcPr>
          <w:p>
            <w:pPr>
              <w:spacing w:after="20"/>
            </w:pPr>
            <w:r/>
            <w:r>
              <w:rPr>
                <w:sz w:val="16"/>
              </w:rPr>
              <w:t>Tiket dieskalasi ke manusia</w:t>
            </w:r>
          </w:p>
        </w:tc>
        <w:tc>
          <w:tcPr>
            <w:tcW w:type="dxa" w:w="1134"/>
          </w:tcPr>
          <w:p>
            <w:pPr>
              <w:spacing w:after="20"/>
            </w:pPr>
            <w:r/>
            <w:r>
              <w:rPr>
                <w:sz w:val="16"/>
              </w:rPr>
              <w:t>13</w:t>
            </w:r>
          </w:p>
        </w:tc>
        <w:tc>
          <w:tcPr>
            <w:tcW w:type="dxa" w:w="1134"/>
          </w:tcPr>
          <w:p>
            <w:pPr>
              <w:spacing w:after="20"/>
            </w:pPr>
            <w:r/>
            <w:r>
              <w:rPr>
                <w:sz w:val="16"/>
              </w:rPr>
              <w:t>252</w:t>
            </w:r>
          </w:p>
        </w:tc>
        <w:tc>
          <w:tcPr>
            <w:tcW w:type="dxa" w:w="1134"/>
          </w:tcPr>
          <w:p>
            <w:pPr>
              <w:spacing w:after="20"/>
            </w:pPr>
            <w:r/>
            <w:r>
              <w:rPr>
                <w:sz w:val="16"/>
              </w:rPr>
              <w:t>634</w:t>
            </w:r>
          </w:p>
        </w:tc>
        <w:tc>
          <w:tcPr>
            <w:tcW w:type="dxa" w:w="3515"/>
          </w:tcPr>
          <w:p>
            <w:pPr>
              <w:spacing w:after="20"/>
            </w:pPr>
            <w:r/>
            <w:r>
              <w:rPr>
                <w:sz w:val="16"/>
              </w:rPr>
              <w:t>sisanya</w:t>
            </w:r>
          </w:p>
        </w:tc>
      </w:tr>
      <w:tr>
        <w:tc>
          <w:tcPr>
            <w:tcW w:type="dxa" w:w="2608"/>
          </w:tcPr>
          <w:p>
            <w:pPr>
              <w:spacing w:after="20"/>
            </w:pPr>
            <w:r/>
            <w:r>
              <w:rPr>
                <w:sz w:val="16"/>
              </w:rPr>
              <w:t>Verifikasi identitas mitra &amp; merchant</w:t>
            </w:r>
          </w:p>
        </w:tc>
        <w:tc>
          <w:tcPr>
            <w:tcW w:type="dxa" w:w="1134"/>
          </w:tcPr>
          <w:p>
            <w:pPr>
              <w:spacing w:after="20"/>
            </w:pPr>
            <w:r/>
            <w:r>
              <w:rPr>
                <w:sz w:val="16"/>
              </w:rPr>
              <w:t>40</w:t>
            </w:r>
          </w:p>
        </w:tc>
        <w:tc>
          <w:tcPr>
            <w:tcW w:type="dxa" w:w="1134"/>
          </w:tcPr>
          <w:p>
            <w:pPr>
              <w:spacing w:after="20"/>
            </w:pPr>
            <w:r/>
            <w:r>
              <w:rPr>
                <w:sz w:val="16"/>
              </w:rPr>
              <w:t>180</w:t>
            </w:r>
          </w:p>
        </w:tc>
        <w:tc>
          <w:tcPr>
            <w:tcW w:type="dxa" w:w="1134"/>
          </w:tcPr>
          <w:p>
            <w:pPr>
              <w:spacing w:after="20"/>
            </w:pPr>
            <w:r/>
            <w:r>
              <w:rPr>
                <w:sz w:val="16"/>
              </w:rPr>
              <w:t>404</w:t>
            </w:r>
          </w:p>
        </w:tc>
        <w:tc>
          <w:tcPr>
            <w:tcW w:type="dxa" w:w="3515"/>
          </w:tcPr>
          <w:p>
            <w:pPr>
              <w:spacing w:after="20"/>
            </w:pPr>
            <w:r/>
            <w:r>
              <w:rPr>
                <w:sz w:val="16"/>
              </w:rPr>
              <w:t>[ASUMSI] turunan target 1.100 mitra aktif dan rasio mitra aktif 20% [S-58]</w:t>
            </w:r>
          </w:p>
        </w:tc>
      </w:tr>
      <w:tr>
        <w:tc>
          <w:tcPr>
            <w:tcW w:type="dxa" w:w="2608"/>
          </w:tcPr>
          <w:p>
            <w:pPr>
              <w:spacing w:after="20"/>
            </w:pPr>
            <w:r/>
            <w:r>
              <w:rPr>
                <w:sz w:val="16"/>
              </w:rPr>
              <w:t>Order ditriase anti-fraud</w:t>
            </w:r>
          </w:p>
        </w:tc>
        <w:tc>
          <w:tcPr>
            <w:tcW w:type="dxa" w:w="1134"/>
          </w:tcPr>
          <w:p>
            <w:pPr>
              <w:spacing w:after="20"/>
            </w:pPr>
            <w:r/>
            <w:r>
              <w:rPr>
                <w:sz w:val="16"/>
              </w:rPr>
              <w:t>27</w:t>
            </w:r>
          </w:p>
        </w:tc>
        <w:tc>
          <w:tcPr>
            <w:tcW w:type="dxa" w:w="1134"/>
          </w:tcPr>
          <w:p>
            <w:pPr>
              <w:spacing w:after="20"/>
            </w:pPr>
            <w:r/>
            <w:r>
              <w:rPr>
                <w:sz w:val="16"/>
              </w:rPr>
              <w:t>540</w:t>
            </w:r>
          </w:p>
        </w:tc>
        <w:tc>
          <w:tcPr>
            <w:tcW w:type="dxa" w:w="1134"/>
          </w:tcPr>
          <w:p>
            <w:pPr>
              <w:spacing w:after="20"/>
            </w:pPr>
            <w:r/>
            <w:r>
              <w:rPr>
                <w:sz w:val="16"/>
              </w:rPr>
              <w:t>2.160</w:t>
            </w:r>
          </w:p>
        </w:tc>
        <w:tc>
          <w:tcPr>
            <w:tcW w:type="dxa" w:w="3515"/>
          </w:tcPr>
          <w:p>
            <w:pPr>
              <w:spacing w:after="20"/>
            </w:pPr>
            <w:r/>
            <w:r>
              <w:rPr>
                <w:sz w:val="16"/>
              </w:rPr>
              <w:t>3% order [ASUMSI]</w:t>
            </w:r>
          </w:p>
        </w:tc>
      </w:tr>
    </w:tbl>
    <w:p>
      <w:pPr>
        <w:spacing w:after="40"/>
      </w:pPr>
    </w:p>
    <w:p>
      <w:pPr>
        <w:sectPr>
          <w:pgSz w:w="12240" w:h="15840"/>
          <w:pgMar w:top="1134" w:right="1247" w:bottom="1134" w:left="1247" w:header="720" w:footer="720" w:gutter="0"/>
          <w:cols w:space="720"/>
          <w:docGrid w:linePitch="360"/>
        </w:sectPr>
      </w:pPr>
    </w:p>
    <w:p>
      <w:pPr>
        <w:pStyle w:val="Heading2"/>
      </w:pPr>
      <w:r>
        <w:rPr>
          <w:color w:val="1F3B63"/>
        </w:rPr>
        <w:t>3.2  Tiga belas tool, fungsinya, dan biayanya</w:t>
      </w:r>
    </w:p>
    <w:tbl>
      <w:tblPr>
        <w:tblStyle w:val="LightGrid-Accent1"/>
        <w:tblW w:type="auto" w:w="0"/>
        <w:tblLayout w:type="fixed"/>
        <w:tblLook w:firstColumn="1" w:firstRow="1" w:lastColumn="0" w:lastRow="0" w:noHBand="0" w:noVBand="1" w:val="04A0"/>
      </w:tblPr>
      <w:tblGrid>
        <w:gridCol w:w="1558"/>
        <w:gridCol w:w="1558"/>
        <w:gridCol w:w="1558"/>
        <w:gridCol w:w="1558"/>
        <w:gridCol w:w="1558"/>
        <w:gridCol w:w="1558"/>
        <w:gridCol w:w="1558"/>
        <w:gridCol w:w="1558"/>
        <w:gridCol w:w="1558"/>
      </w:tblGrid>
      <w:tr>
        <w:tc>
          <w:tcPr>
            <w:tcW w:type="dxa" w:w="510"/>
          </w:tcPr>
          <w:p>
            <w:r/>
            <w:r>
              <w:rPr>
                <w:b/>
                <w:sz w:val="17"/>
              </w:rPr>
              <w:t>Kode</w:t>
            </w:r>
          </w:p>
        </w:tc>
        <w:tc>
          <w:tcPr>
            <w:tcW w:type="dxa" w:w="1417"/>
          </w:tcPr>
          <w:p>
            <w:r/>
            <w:r>
              <w:rPr>
                <w:b/>
                <w:sz w:val="17"/>
              </w:rPr>
              <w:t>Tool</w:t>
            </w:r>
          </w:p>
        </w:tc>
        <w:tc>
          <w:tcPr>
            <w:tcW w:type="dxa" w:w="1928"/>
          </w:tcPr>
          <w:p>
            <w:r/>
            <w:r>
              <w:rPr>
                <w:b/>
                <w:sz w:val="17"/>
              </w:rPr>
              <w:t>Fungsi</w:t>
            </w:r>
          </w:p>
        </w:tc>
        <w:tc>
          <w:tcPr>
            <w:tcW w:type="dxa" w:w="850"/>
          </w:tcPr>
          <w:p>
            <w:r/>
            <w:r>
              <w:rPr>
                <w:b/>
                <w:sz w:val="17"/>
              </w:rPr>
              <w:t>Peran JD</w:t>
            </w:r>
          </w:p>
        </w:tc>
        <w:tc>
          <w:tcPr>
            <w:tcW w:type="dxa" w:w="1701"/>
          </w:tcPr>
          <w:p>
            <w:r/>
            <w:r>
              <w:rPr>
                <w:b/>
                <w:sz w:val="17"/>
              </w:rPr>
              <w:t>Model harga</w:t>
            </w:r>
          </w:p>
        </w:tc>
        <w:tc>
          <w:tcPr>
            <w:tcW w:type="dxa" w:w="850"/>
          </w:tcPr>
          <w:p>
            <w:r/>
            <w:r>
              <w:rPr>
                <w:b/>
                <w:sz w:val="17"/>
              </w:rPr>
              <w:t>F0 (Rp/bln)</w:t>
            </w:r>
          </w:p>
        </w:tc>
        <w:tc>
          <w:tcPr>
            <w:tcW w:type="dxa" w:w="850"/>
          </w:tcPr>
          <w:p>
            <w:r/>
            <w:r>
              <w:rPr>
                <w:b/>
                <w:sz w:val="17"/>
              </w:rPr>
              <w:t>F1 (Rp/bln)</w:t>
            </w:r>
          </w:p>
        </w:tc>
        <w:tc>
          <w:tcPr>
            <w:tcW w:type="dxa" w:w="850"/>
          </w:tcPr>
          <w:p>
            <w:r/>
            <w:r>
              <w:rPr>
                <w:b/>
                <w:sz w:val="17"/>
              </w:rPr>
              <w:t>F2 (Rp/bln)</w:t>
            </w:r>
          </w:p>
        </w:tc>
        <w:tc>
          <w:tcPr>
            <w:tcW w:type="dxa" w:w="1701"/>
          </w:tcPr>
          <w:p>
            <w:r/>
            <w:r>
              <w:rPr>
                <w:b/>
                <w:sz w:val="17"/>
              </w:rPr>
              <w:t>Risiko utama</w:t>
            </w:r>
          </w:p>
        </w:tc>
      </w:tr>
      <w:tr>
        <w:tc>
          <w:tcPr>
            <w:tcW w:type="dxa" w:w="510"/>
          </w:tcPr>
          <w:p>
            <w:pPr>
              <w:spacing w:after="20"/>
            </w:pPr>
            <w:r/>
            <w:r>
              <w:rPr>
                <w:sz w:val="14"/>
              </w:rPr>
              <w:t>T-01</w:t>
            </w:r>
          </w:p>
        </w:tc>
        <w:tc>
          <w:tcPr>
            <w:tcW w:type="dxa" w:w="1417"/>
          </w:tcPr>
          <w:p>
            <w:pPr>
              <w:spacing w:after="20"/>
            </w:pPr>
            <w:r/>
            <w:r>
              <w:rPr>
                <w:sz w:val="14"/>
              </w:rPr>
              <w:t>Claude Haiku 4.5 + Claude Sonnet 5 (API)</w:t>
            </w:r>
          </w:p>
        </w:tc>
        <w:tc>
          <w:tcPr>
            <w:tcW w:type="dxa" w:w="1928"/>
          </w:tcPr>
          <w:p>
            <w:pPr>
              <w:spacing w:after="20"/>
            </w:pPr>
            <w:r/>
            <w:r>
              <w:rPr>
                <w:sz w:val="14"/>
              </w:rPr>
              <w:t>Mesin bahasa untuk agen CS, triase tiket &amp; fraud, moderasi katalog, analitik bahasa alami, produksi konten</w:t>
            </w:r>
          </w:p>
        </w:tc>
        <w:tc>
          <w:tcPr>
            <w:tcW w:type="dxa" w:w="850"/>
          </w:tcPr>
          <w:p>
            <w:pPr>
              <w:spacing w:after="20"/>
            </w:pPr>
            <w:r/>
            <w:r>
              <w:rPr>
                <w:sz w:val="14"/>
              </w:rPr>
              <w:t>JD-17, JD-12, JD-24, JD-18</w:t>
            </w:r>
          </w:p>
        </w:tc>
        <w:tc>
          <w:tcPr>
            <w:tcW w:type="dxa" w:w="1701"/>
          </w:tcPr>
          <w:p>
            <w:pPr>
              <w:spacing w:after="20"/>
            </w:pPr>
            <w:r/>
            <w:r>
              <w:rPr>
                <w:sz w:val="14"/>
              </w:rPr>
              <w:t>Per juta token: USD 1/5 (Haiku 4.5), USD 2/10 (Sonnet 5) [S-62]</w:t>
            </w:r>
          </w:p>
        </w:tc>
        <w:tc>
          <w:tcPr>
            <w:tcW w:type="dxa" w:w="850"/>
          </w:tcPr>
          <w:p>
            <w:pPr>
              <w:spacing w:after="20"/>
            </w:pPr>
            <w:r/>
            <w:r>
              <w:rPr>
                <w:sz w:val="14"/>
              </w:rPr>
              <w:t>108.711</w:t>
            </w:r>
          </w:p>
        </w:tc>
        <w:tc>
          <w:tcPr>
            <w:tcW w:type="dxa" w:w="850"/>
          </w:tcPr>
          <w:p>
            <w:pPr>
              <w:spacing w:after="20"/>
            </w:pPr>
            <w:r/>
            <w:r>
              <w:rPr>
                <w:sz w:val="14"/>
              </w:rPr>
              <w:t>951.651</w:t>
            </w:r>
          </w:p>
        </w:tc>
        <w:tc>
          <w:tcPr>
            <w:tcW w:type="dxa" w:w="850"/>
          </w:tcPr>
          <w:p>
            <w:pPr>
              <w:spacing w:after="20"/>
            </w:pPr>
            <w:r/>
            <w:r>
              <w:rPr>
                <w:sz w:val="14"/>
              </w:rPr>
              <w:t>2.703.318</w:t>
            </w:r>
          </w:p>
        </w:tc>
        <w:tc>
          <w:tcPr>
            <w:tcW w:type="dxa" w:w="1701"/>
          </w:tcPr>
          <w:p>
            <w:pPr>
              <w:spacing w:after="20"/>
            </w:pPr>
            <w:r/>
            <w:r>
              <w:rPr>
                <w:sz w:val="14"/>
              </w:rPr>
              <w:t>Halusinasi pada pertanyaan saldo &amp; pencairan. Prompt WAJIB dimasking dari NIK, alamat, dan nomor telepon.</w:t>
            </w:r>
          </w:p>
        </w:tc>
      </w:tr>
      <w:tr>
        <w:tc>
          <w:tcPr>
            <w:tcW w:type="dxa" w:w="510"/>
          </w:tcPr>
          <w:p>
            <w:pPr>
              <w:spacing w:after="20"/>
            </w:pPr>
            <w:r/>
            <w:r>
              <w:rPr>
                <w:sz w:val="14"/>
              </w:rPr>
              <w:t>T-02</w:t>
            </w:r>
          </w:p>
        </w:tc>
        <w:tc>
          <w:tcPr>
            <w:tcW w:type="dxa" w:w="1417"/>
          </w:tcPr>
          <w:p>
            <w:pPr>
              <w:spacing w:after="20"/>
            </w:pPr>
            <w:r/>
            <w:r>
              <w:rPr>
                <w:sz w:val="14"/>
              </w:rPr>
              <w:t>WhatsApp Business Platform (Meta)</w:t>
            </w:r>
          </w:p>
        </w:tc>
        <w:tc>
          <w:tcPr>
            <w:tcW w:type="dxa" w:w="1928"/>
          </w:tcPr>
          <w:p>
            <w:pPr>
              <w:spacing w:after="20"/>
            </w:pPr>
            <w:r/>
            <w:r>
              <w:rPr>
                <w:sz w:val="14"/>
              </w:rPr>
              <w:t>Kanal masuk agen CS dan notifikasi order</w:t>
            </w:r>
          </w:p>
        </w:tc>
        <w:tc>
          <w:tcPr>
            <w:tcW w:type="dxa" w:w="850"/>
          </w:tcPr>
          <w:p>
            <w:pPr>
              <w:spacing w:after="20"/>
            </w:pPr>
            <w:r/>
            <w:r>
              <w:rPr>
                <w:sz w:val="14"/>
              </w:rPr>
              <w:t>JD-17 (kanal), JD-24</w:t>
            </w:r>
          </w:p>
        </w:tc>
        <w:tc>
          <w:tcPr>
            <w:tcW w:type="dxa" w:w="1701"/>
          </w:tcPr>
          <w:p>
            <w:pPr>
              <w:spacing w:after="20"/>
            </w:pPr>
            <w:r/>
            <w:r>
              <w:rPr>
                <w:sz w:val="14"/>
              </w:rPr>
              <w:t>Rp356,65 per pesan Utility; pesan Service dalam jendela 24 jam gratis [S-73]</w:t>
            </w:r>
          </w:p>
        </w:tc>
        <w:tc>
          <w:tcPr>
            <w:tcW w:type="dxa" w:w="850"/>
          </w:tcPr>
          <w:p>
            <w:pPr>
              <w:spacing w:after="20"/>
            </w:pPr>
            <w:r/>
            <w:r>
              <w:rPr>
                <w:sz w:val="14"/>
              </w:rPr>
              <w:t>48.148</w:t>
            </w:r>
          </w:p>
        </w:tc>
        <w:tc>
          <w:tcPr>
            <w:tcW w:type="dxa" w:w="850"/>
          </w:tcPr>
          <w:p>
            <w:pPr>
              <w:spacing w:after="20"/>
            </w:pPr>
            <w:r/>
            <w:r>
              <w:rPr>
                <w:sz w:val="14"/>
              </w:rPr>
              <w:t>962.955</w:t>
            </w:r>
          </w:p>
        </w:tc>
        <w:tc>
          <w:tcPr>
            <w:tcW w:type="dxa" w:w="850"/>
          </w:tcPr>
          <w:p>
            <w:pPr>
              <w:spacing w:after="20"/>
            </w:pPr>
            <w:r/>
            <w:r>
              <w:rPr>
                <w:sz w:val="14"/>
              </w:rPr>
              <w:t>3.851.820</w:t>
            </w:r>
          </w:p>
        </w:tc>
        <w:tc>
          <w:tcPr>
            <w:tcW w:type="dxa" w:w="1701"/>
          </w:tcPr>
          <w:p>
            <w:pPr>
              <w:spacing w:after="20"/>
            </w:pPr>
            <w:r/>
            <w:r>
              <w:rPr>
                <w:sz w:val="14"/>
              </w:rPr>
              <w:t>Perubahan sepihak kebijakan tarif Meta; pemblokiran nomor bila keluhan spam tinggi.</w:t>
            </w:r>
          </w:p>
        </w:tc>
      </w:tr>
      <w:tr>
        <w:tc>
          <w:tcPr>
            <w:tcW w:type="dxa" w:w="510"/>
          </w:tcPr>
          <w:p>
            <w:pPr>
              <w:spacing w:after="20"/>
            </w:pPr>
            <w:r/>
            <w:r>
              <w:rPr>
                <w:sz w:val="14"/>
              </w:rPr>
              <w:t>T-03</w:t>
            </w:r>
          </w:p>
        </w:tc>
        <w:tc>
          <w:tcPr>
            <w:tcW w:type="dxa" w:w="1417"/>
          </w:tcPr>
          <w:p>
            <w:pPr>
              <w:spacing w:after="20"/>
            </w:pPr>
            <w:r/>
            <w:r>
              <w:rPr>
                <w:sz w:val="14"/>
              </w:rPr>
              <w:t>Verifikasi identitas + liveness (penyedia LOKAL berizin)</w:t>
            </w:r>
          </w:p>
        </w:tc>
        <w:tc>
          <w:tcPr>
            <w:tcW w:type="dxa" w:w="1928"/>
          </w:tcPr>
          <w:p>
            <w:pPr>
              <w:spacing w:after="20"/>
            </w:pPr>
            <w:r/>
            <w:r>
              <w:rPr>
                <w:sz w:val="14"/>
              </w:rPr>
              <w:t>OCR KTP/SIM/STNK, kecocokan wajah 1:1, uji keaktifan, skor verifikasi otomatis SOP-01</w:t>
            </w:r>
          </w:p>
        </w:tc>
        <w:tc>
          <w:tcPr>
            <w:tcW w:type="dxa" w:w="850"/>
          </w:tcPr>
          <w:p>
            <w:pPr>
              <w:spacing w:after="20"/>
            </w:pPr>
            <w:r/>
            <w:r>
              <w:rPr>
                <w:sz w:val="14"/>
              </w:rPr>
              <w:t>JD-15 (bagian dokumen), admin SOP-01</w:t>
            </w:r>
          </w:p>
        </w:tc>
        <w:tc>
          <w:tcPr>
            <w:tcW w:type="dxa" w:w="1701"/>
          </w:tcPr>
          <w:p>
            <w:pPr>
              <w:spacing w:after="20"/>
            </w:pPr>
            <w:r/>
            <w:r>
              <w:rPr>
                <w:sz w:val="14"/>
              </w:rPr>
              <w:t>Rp10.000 per verifikasi [ASUMSI]; pembanding terverifikasi Didit USD 0,33 [S-67]</w:t>
            </w:r>
          </w:p>
        </w:tc>
        <w:tc>
          <w:tcPr>
            <w:tcW w:type="dxa" w:w="850"/>
          </w:tcPr>
          <w:p>
            <w:pPr>
              <w:spacing w:after="20"/>
            </w:pPr>
            <w:r/>
            <w:r>
              <w:rPr>
                <w:sz w:val="14"/>
              </w:rPr>
              <w:t>400.000</w:t>
            </w:r>
          </w:p>
        </w:tc>
        <w:tc>
          <w:tcPr>
            <w:tcW w:type="dxa" w:w="850"/>
          </w:tcPr>
          <w:p>
            <w:pPr>
              <w:spacing w:after="20"/>
            </w:pPr>
            <w:r/>
            <w:r>
              <w:rPr>
                <w:sz w:val="14"/>
              </w:rPr>
              <w:t>1.800.000</w:t>
            </w:r>
          </w:p>
        </w:tc>
        <w:tc>
          <w:tcPr>
            <w:tcW w:type="dxa" w:w="850"/>
          </w:tcPr>
          <w:p>
            <w:pPr>
              <w:spacing w:after="20"/>
            </w:pPr>
            <w:r/>
            <w:r>
              <w:rPr>
                <w:sz w:val="14"/>
              </w:rPr>
              <w:t>4.040.000</w:t>
            </w:r>
          </w:p>
        </w:tc>
        <w:tc>
          <w:tcPr>
            <w:tcW w:type="dxa" w:w="1701"/>
          </w:tcPr>
          <w:p>
            <w:pPr>
              <w:spacing w:after="20"/>
            </w:pPr>
            <w:r/>
            <w:r>
              <w:rPr>
                <w:sz w:val="14"/>
              </w:rPr>
              <w:t>Memakai penyedia luar negeri memindahkan foto KTP dan swafoto keluar wilayah RI — memicu Pasal 56 UU PDP.</w:t>
            </w:r>
          </w:p>
        </w:tc>
      </w:tr>
      <w:tr>
        <w:tc>
          <w:tcPr>
            <w:tcW w:type="dxa" w:w="510"/>
          </w:tcPr>
          <w:p>
            <w:pPr>
              <w:spacing w:after="20"/>
            </w:pPr>
            <w:r/>
            <w:r>
              <w:rPr>
                <w:sz w:val="14"/>
              </w:rPr>
              <w:t>T-04</w:t>
            </w:r>
          </w:p>
        </w:tc>
        <w:tc>
          <w:tcPr>
            <w:tcW w:type="dxa" w:w="1417"/>
          </w:tcPr>
          <w:p>
            <w:pPr>
              <w:spacing w:after="20"/>
            </w:pPr>
            <w:r/>
            <w:r>
              <w:rPr>
                <w:sz w:val="14"/>
              </w:rPr>
              <w:t>Intelijen perangkat &amp; skoring fraud</w:t>
            </w:r>
          </w:p>
        </w:tc>
        <w:tc>
          <w:tcPr>
            <w:tcW w:type="dxa" w:w="1928"/>
          </w:tcPr>
          <w:p>
            <w:pPr>
              <w:spacing w:after="20"/>
            </w:pPr>
            <w:r/>
            <w:r>
              <w:rPr>
                <w:sz w:val="14"/>
              </w:rPr>
              <w:t>Sidik jari perangkat, deteksi perangkat dipakai bersama, lompatan lokasi, pemeringkatan risiko pencairan</w:t>
            </w:r>
          </w:p>
        </w:tc>
        <w:tc>
          <w:tcPr>
            <w:tcW w:type="dxa" w:w="850"/>
          </w:tcPr>
          <w:p>
            <w:pPr>
              <w:spacing w:after="20"/>
            </w:pPr>
            <w:r/>
            <w:r>
              <w:rPr>
                <w:sz w:val="14"/>
              </w:rPr>
              <w:t>JD-18 (triase), JD-07 (aturan)</w:t>
            </w:r>
          </w:p>
        </w:tc>
        <w:tc>
          <w:tcPr>
            <w:tcW w:type="dxa" w:w="1701"/>
          </w:tcPr>
          <w:p>
            <w:pPr>
              <w:spacing w:after="20"/>
            </w:pPr>
            <w:r/>
            <w:r>
              <w:rPr>
                <w:sz w:val="14"/>
              </w:rPr>
              <w:t>Langganan bulanan [ASUMSI — tidak ada daftar harga publik]</w:t>
            </w:r>
          </w:p>
        </w:tc>
        <w:tc>
          <w:tcPr>
            <w:tcW w:type="dxa" w:w="850"/>
          </w:tcPr>
          <w:p>
            <w:pPr>
              <w:spacing w:after="20"/>
            </w:pPr>
            <w:r/>
            <w:r>
              <w:rPr>
                <w:sz w:val="14"/>
              </w:rPr>
              <w:t>0</w:t>
            </w:r>
          </w:p>
        </w:tc>
        <w:tc>
          <w:tcPr>
            <w:tcW w:type="dxa" w:w="850"/>
          </w:tcPr>
          <w:p>
            <w:pPr>
              <w:spacing w:after="20"/>
            </w:pPr>
            <w:r/>
            <w:r>
              <w:rPr>
                <w:sz w:val="14"/>
              </w:rPr>
              <w:t>4.000.000</w:t>
            </w:r>
          </w:p>
        </w:tc>
        <w:tc>
          <w:tcPr>
            <w:tcW w:type="dxa" w:w="850"/>
          </w:tcPr>
          <w:p>
            <w:pPr>
              <w:spacing w:after="20"/>
            </w:pPr>
            <w:r/>
            <w:r>
              <w:rPr>
                <w:sz w:val="14"/>
              </w:rPr>
              <w:t>8.000.000</w:t>
            </w:r>
          </w:p>
        </w:tc>
        <w:tc>
          <w:tcPr>
            <w:tcW w:type="dxa" w:w="1701"/>
          </w:tcPr>
          <w:p>
            <w:pPr>
              <w:spacing w:after="20"/>
            </w:pPr>
            <w:r/>
            <w:r>
              <w:rPr>
                <w:sz w:val="14"/>
              </w:rPr>
              <w:t>Positif palsu memblokir mitra yang sah. UU PDP Pasal 10 memberi hak keberatan atas keputusan otomatis.</w:t>
            </w:r>
          </w:p>
        </w:tc>
      </w:tr>
      <w:tr>
        <w:tc>
          <w:tcPr>
            <w:tcW w:type="dxa" w:w="510"/>
          </w:tcPr>
          <w:p>
            <w:pPr>
              <w:spacing w:after="20"/>
            </w:pPr>
            <w:r/>
            <w:r>
              <w:rPr>
                <w:sz w:val="14"/>
              </w:rPr>
              <w:t>T-05</w:t>
            </w:r>
          </w:p>
        </w:tc>
        <w:tc>
          <w:tcPr>
            <w:tcW w:type="dxa" w:w="1417"/>
          </w:tcPr>
          <w:p>
            <w:pPr>
              <w:spacing w:after="20"/>
            </w:pPr>
            <w:r/>
            <w:r>
              <w:rPr>
                <w:sz w:val="14"/>
              </w:rPr>
              <w:t>Platform tiket &amp; orkestrasi percakapan</w:t>
            </w:r>
          </w:p>
        </w:tc>
        <w:tc>
          <w:tcPr>
            <w:tcW w:type="dxa" w:w="1928"/>
          </w:tcPr>
          <w:p>
            <w:pPr>
              <w:spacing w:after="20"/>
            </w:pPr>
            <w:r/>
            <w:r>
              <w:rPr>
                <w:sz w:val="14"/>
              </w:rPr>
              <w:t>Antrean, penugasan, auto-triage, SLA balas pertama — di atas panel tickets/ticket_messages yang sudah ada</w:t>
            </w:r>
          </w:p>
        </w:tc>
        <w:tc>
          <w:tcPr>
            <w:tcW w:type="dxa" w:w="850"/>
          </w:tcPr>
          <w:p>
            <w:pPr>
              <w:spacing w:after="20"/>
            </w:pPr>
            <w:r/>
            <w:r>
              <w:rPr>
                <w:sz w:val="14"/>
              </w:rPr>
              <w:t>JD-16, JD-17</w:t>
            </w:r>
          </w:p>
        </w:tc>
        <w:tc>
          <w:tcPr>
            <w:tcW w:type="dxa" w:w="1701"/>
          </w:tcPr>
          <w:p>
            <w:pPr>
              <w:spacing w:after="20"/>
            </w:pPr>
            <w:r/>
            <w:r>
              <w:rPr>
                <w:sz w:val="14"/>
              </w:rPr>
              <w:t>Langganan bulanan [ASUMSI]; pembanding Zendesk Suite Team USD 55/agen [S-66]</w:t>
            </w:r>
          </w:p>
        </w:tc>
        <w:tc>
          <w:tcPr>
            <w:tcW w:type="dxa" w:w="850"/>
          </w:tcPr>
          <w:p>
            <w:pPr>
              <w:spacing w:after="20"/>
            </w:pPr>
            <w:r/>
            <w:r>
              <w:rPr>
                <w:sz w:val="14"/>
              </w:rPr>
              <w:t>1.000.000</w:t>
            </w:r>
          </w:p>
        </w:tc>
        <w:tc>
          <w:tcPr>
            <w:tcW w:type="dxa" w:w="850"/>
          </w:tcPr>
          <w:p>
            <w:pPr>
              <w:spacing w:after="20"/>
            </w:pPr>
            <w:r/>
            <w:r>
              <w:rPr>
                <w:sz w:val="14"/>
              </w:rPr>
              <w:t>2.000.000</w:t>
            </w:r>
          </w:p>
        </w:tc>
        <w:tc>
          <w:tcPr>
            <w:tcW w:type="dxa" w:w="850"/>
          </w:tcPr>
          <w:p>
            <w:pPr>
              <w:spacing w:after="20"/>
            </w:pPr>
            <w:r/>
            <w:r>
              <w:rPr>
                <w:sz w:val="14"/>
              </w:rPr>
              <w:t>3.000.000</w:t>
            </w:r>
          </w:p>
        </w:tc>
        <w:tc>
          <w:tcPr>
            <w:tcW w:type="dxa" w:w="1701"/>
          </w:tcPr>
          <w:p>
            <w:pPr>
              <w:spacing w:after="20"/>
            </w:pPr>
            <w:r/>
            <w:r>
              <w:rPr>
                <w:sz w:val="14"/>
              </w:rPr>
              <w:t>Model per-resolusi (Intercom Fin USD 0,99 [S-65]) tidak ekonomis pada volume AntarKita — lihat §3.3.</w:t>
            </w:r>
          </w:p>
        </w:tc>
      </w:tr>
      <w:tr>
        <w:tc>
          <w:tcPr>
            <w:tcW w:type="dxa" w:w="510"/>
          </w:tcPr>
          <w:p>
            <w:pPr>
              <w:spacing w:after="20"/>
            </w:pPr>
            <w:r/>
            <w:r>
              <w:rPr>
                <w:sz w:val="14"/>
              </w:rPr>
              <w:t>T-06</w:t>
            </w:r>
          </w:p>
        </w:tc>
        <w:tc>
          <w:tcPr>
            <w:tcW w:type="dxa" w:w="1417"/>
          </w:tcPr>
          <w:p>
            <w:pPr>
              <w:spacing w:after="20"/>
            </w:pPr>
            <w:r/>
            <w:r>
              <w:rPr>
                <w:sz w:val="14"/>
              </w:rPr>
              <w:t>Claude Team / Claude Code</w:t>
            </w:r>
          </w:p>
        </w:tc>
        <w:tc>
          <w:tcPr>
            <w:tcW w:type="dxa" w:w="1928"/>
          </w:tcPr>
          <w:p>
            <w:pPr>
              <w:spacing w:after="20"/>
            </w:pPr>
            <w:r/>
            <w:r>
              <w:rPr>
                <w:sz w:val="14"/>
              </w:rPr>
              <w:t>Agen koding untuk fitur, cakupan uji, sapuan rute otomatis, tinjauan kode tahap pertama</w:t>
            </w:r>
          </w:p>
        </w:tc>
        <w:tc>
          <w:tcPr>
            <w:tcW w:type="dxa" w:w="850"/>
          </w:tcPr>
          <w:p>
            <w:pPr>
              <w:spacing w:after="20"/>
            </w:pPr>
            <w:r/>
            <w:r>
              <w:rPr>
                <w:sz w:val="14"/>
              </w:rPr>
              <w:t>JD-06, JD-08, JD-09, JD-10</w:t>
            </w:r>
          </w:p>
        </w:tc>
        <w:tc>
          <w:tcPr>
            <w:tcW w:type="dxa" w:w="1701"/>
          </w:tcPr>
          <w:p>
            <w:pPr>
              <w:spacing w:after="20"/>
            </w:pPr>
            <w:r/>
            <w:r>
              <w:rPr>
                <w:sz w:val="14"/>
              </w:rPr>
              <w:t>USD 100 kursi premium, USD 20 kursi standar per bulan (tagihan tahunan) [S-71]</w:t>
            </w:r>
          </w:p>
        </w:tc>
        <w:tc>
          <w:tcPr>
            <w:tcW w:type="dxa" w:w="850"/>
          </w:tcPr>
          <w:p>
            <w:pPr>
              <w:spacing w:after="20"/>
            </w:pPr>
            <w:r/>
            <w:r>
              <w:rPr>
                <w:sz w:val="14"/>
              </w:rPr>
              <w:t>4.231.440</w:t>
            </w:r>
          </w:p>
        </w:tc>
        <w:tc>
          <w:tcPr>
            <w:tcW w:type="dxa" w:w="850"/>
          </w:tcPr>
          <w:p>
            <w:pPr>
              <w:spacing w:after="20"/>
            </w:pPr>
            <w:r/>
            <w:r>
              <w:rPr>
                <w:sz w:val="14"/>
              </w:rPr>
              <w:t>6.347.160</w:t>
            </w:r>
          </w:p>
        </w:tc>
        <w:tc>
          <w:tcPr>
            <w:tcW w:type="dxa" w:w="850"/>
          </w:tcPr>
          <w:p>
            <w:pPr>
              <w:spacing w:after="20"/>
            </w:pPr>
            <w:r/>
            <w:r>
              <w:rPr>
                <w:sz w:val="14"/>
              </w:rPr>
              <w:t>7.052.400</w:t>
            </w:r>
          </w:p>
        </w:tc>
        <w:tc>
          <w:tcPr>
            <w:tcW w:type="dxa" w:w="1701"/>
          </w:tcPr>
          <w:p>
            <w:pPr>
              <w:spacing w:after="20"/>
            </w:pPr>
            <w:r/>
            <w:r>
              <w:rPr>
                <w:sz w:val="14"/>
              </w:rPr>
              <w:t>Bergantung pada mutu tinjauan manusia. Kode yang menyentuh dompet WAJIB ditinjau Backend Engineer Senior yang bukan penulisnya.</w:t>
            </w:r>
          </w:p>
        </w:tc>
      </w:tr>
      <w:tr>
        <w:tc>
          <w:tcPr>
            <w:tcW w:type="dxa" w:w="510"/>
          </w:tcPr>
          <w:p>
            <w:pPr>
              <w:spacing w:after="20"/>
            </w:pPr>
            <w:r/>
            <w:r>
              <w:rPr>
                <w:sz w:val="14"/>
              </w:rPr>
              <w:t>T-07</w:t>
            </w:r>
          </w:p>
        </w:tc>
        <w:tc>
          <w:tcPr>
            <w:tcW w:type="dxa" w:w="1417"/>
          </w:tcPr>
          <w:p>
            <w:pPr>
              <w:spacing w:after="20"/>
            </w:pPr>
            <w:r/>
            <w:r>
              <w:rPr>
                <w:sz w:val="14"/>
              </w:rPr>
              <w:t>Metabase Cloud Starter + kueri bahasa alami</w:t>
            </w:r>
          </w:p>
        </w:tc>
        <w:tc>
          <w:tcPr>
            <w:tcW w:type="dxa" w:w="1928"/>
          </w:tcPr>
          <w:p>
            <w:pPr>
              <w:spacing w:after="20"/>
            </w:pPr>
            <w:r/>
            <w:r>
              <w:rPr>
                <w:sz w:val="14"/>
              </w:rPr>
              <w:t>Portal Eksekutif, Laba Rugi per bulan &amp; per layanan, audit KPI, penyiapan data uji tuntas</w:t>
            </w:r>
          </w:p>
        </w:tc>
        <w:tc>
          <w:tcPr>
            <w:tcW w:type="dxa" w:w="850"/>
          </w:tcPr>
          <w:p>
            <w:pPr>
              <w:spacing w:after="20"/>
            </w:pPr>
            <w:r/>
            <w:r>
              <w:rPr>
                <w:sz w:val="14"/>
              </w:rPr>
              <w:t>JD-12</w:t>
            </w:r>
          </w:p>
        </w:tc>
        <w:tc>
          <w:tcPr>
            <w:tcW w:type="dxa" w:w="1701"/>
          </w:tcPr>
          <w:p>
            <w:pPr>
              <w:spacing w:after="20"/>
            </w:pPr>
            <w:r/>
            <w:r>
              <w:rPr>
                <w:sz w:val="14"/>
              </w:rPr>
              <w:t>USD 100/bulan (5 pengguna) + USD 6 per pengguna tambahan [S-69]</w:t>
            </w:r>
          </w:p>
        </w:tc>
        <w:tc>
          <w:tcPr>
            <w:tcW w:type="dxa" w:w="850"/>
          </w:tcPr>
          <w:p>
            <w:pPr>
              <w:spacing w:after="20"/>
            </w:pPr>
            <w:r/>
            <w:r>
              <w:rPr>
                <w:sz w:val="14"/>
              </w:rPr>
              <w:t>1.763.100</w:t>
            </w:r>
          </w:p>
        </w:tc>
        <w:tc>
          <w:tcPr>
            <w:tcW w:type="dxa" w:w="850"/>
          </w:tcPr>
          <w:p>
            <w:pPr>
              <w:spacing w:after="20"/>
            </w:pPr>
            <w:r/>
            <w:r>
              <w:rPr>
                <w:sz w:val="14"/>
              </w:rPr>
              <w:t>2.080.458</w:t>
            </w:r>
          </w:p>
        </w:tc>
        <w:tc>
          <w:tcPr>
            <w:tcW w:type="dxa" w:w="850"/>
          </w:tcPr>
          <w:p>
            <w:pPr>
              <w:spacing w:after="20"/>
            </w:pPr>
            <w:r/>
            <w:r>
              <w:rPr>
                <w:sz w:val="14"/>
              </w:rPr>
              <w:t>2.503.602</w:t>
            </w:r>
          </w:p>
        </w:tc>
        <w:tc>
          <w:tcPr>
            <w:tcW w:type="dxa" w:w="1701"/>
          </w:tcPr>
          <w:p>
            <w:pPr>
              <w:spacing w:after="20"/>
            </w:pPr>
            <w:r/>
            <w:r>
              <w:rPr>
                <w:sz w:val="14"/>
              </w:rPr>
              <w:t>Definisi metrik tanpa pemilik manusia menghasilkan dua versi angka — dilarang Bab 5 manual.</w:t>
            </w:r>
          </w:p>
        </w:tc>
      </w:tr>
      <w:tr>
        <w:tc>
          <w:tcPr>
            <w:tcW w:type="dxa" w:w="510"/>
          </w:tcPr>
          <w:p>
            <w:pPr>
              <w:spacing w:after="20"/>
            </w:pPr>
            <w:r/>
            <w:r>
              <w:rPr>
                <w:sz w:val="14"/>
              </w:rPr>
              <w:t>T-08</w:t>
            </w:r>
          </w:p>
        </w:tc>
        <w:tc>
          <w:tcPr>
            <w:tcW w:type="dxa" w:w="1417"/>
          </w:tcPr>
          <w:p>
            <w:pPr>
              <w:spacing w:after="20"/>
            </w:pPr>
            <w:r/>
            <w:r>
              <w:rPr>
                <w:sz w:val="14"/>
              </w:rPr>
              <w:t>Moderasi konten &amp; gambar katalog</w:t>
            </w:r>
          </w:p>
        </w:tc>
        <w:tc>
          <w:tcPr>
            <w:tcW w:type="dxa" w:w="1928"/>
          </w:tcPr>
          <w:p>
            <w:pPr>
              <w:spacing w:after="20"/>
            </w:pPr>
            <w:r/>
            <w:r>
              <w:rPr>
                <w:sz w:val="14"/>
              </w:rPr>
              <w:t>Penyaringan foto dan teks lapak, deteksi harga di luar kewajaran, penyaringan ulasan</w:t>
            </w:r>
          </w:p>
        </w:tc>
        <w:tc>
          <w:tcPr>
            <w:tcW w:type="dxa" w:w="850"/>
          </w:tcPr>
          <w:p>
            <w:pPr>
              <w:spacing w:after="20"/>
            </w:pPr>
            <w:r/>
            <w:r>
              <w:rPr>
                <w:sz w:val="14"/>
              </w:rPr>
              <w:t>JD-25, JD-18</w:t>
            </w:r>
          </w:p>
        </w:tc>
        <w:tc>
          <w:tcPr>
            <w:tcW w:type="dxa" w:w="1701"/>
          </w:tcPr>
          <w:p>
            <w:pPr>
              <w:spacing w:after="20"/>
            </w:pPr>
            <w:r/>
            <w:r>
              <w:rPr>
                <w:sz w:val="14"/>
              </w:rPr>
              <w:t>Langganan [ASUMSI]</w:t>
            </w:r>
          </w:p>
        </w:tc>
        <w:tc>
          <w:tcPr>
            <w:tcW w:type="dxa" w:w="850"/>
          </w:tcPr>
          <w:p>
            <w:pPr>
              <w:spacing w:after="20"/>
            </w:pPr>
            <w:r/>
            <w:r>
              <w:rPr>
                <w:sz w:val="14"/>
              </w:rPr>
              <w:t>0</w:t>
            </w:r>
          </w:p>
        </w:tc>
        <w:tc>
          <w:tcPr>
            <w:tcW w:type="dxa" w:w="850"/>
          </w:tcPr>
          <w:p>
            <w:pPr>
              <w:spacing w:after="20"/>
            </w:pPr>
            <w:r/>
            <w:r>
              <w:rPr>
                <w:sz w:val="14"/>
              </w:rPr>
              <w:t>750.000</w:t>
            </w:r>
          </w:p>
        </w:tc>
        <w:tc>
          <w:tcPr>
            <w:tcW w:type="dxa" w:w="850"/>
          </w:tcPr>
          <w:p>
            <w:pPr>
              <w:spacing w:after="20"/>
            </w:pPr>
            <w:r/>
            <w:r>
              <w:rPr>
                <w:sz w:val="14"/>
              </w:rPr>
              <w:t>1.500.000</w:t>
            </w:r>
          </w:p>
        </w:tc>
        <w:tc>
          <w:tcPr>
            <w:tcW w:type="dxa" w:w="1701"/>
          </w:tcPr>
          <w:p>
            <w:pPr>
              <w:spacing w:after="20"/>
            </w:pPr>
            <w:r/>
            <w:r>
              <w:rPr>
                <w:sz w:val="14"/>
              </w:rPr>
              <w:t>Salah blokir merchant kecil. Wajib ada jalur banding manusia.</w:t>
            </w:r>
          </w:p>
        </w:tc>
      </w:tr>
      <w:tr>
        <w:tc>
          <w:tcPr>
            <w:tcW w:type="dxa" w:w="510"/>
          </w:tcPr>
          <w:p>
            <w:pPr>
              <w:spacing w:after="20"/>
            </w:pPr>
            <w:r/>
            <w:r>
              <w:rPr>
                <w:sz w:val="14"/>
              </w:rPr>
              <w:t>T-09</w:t>
            </w:r>
          </w:p>
        </w:tc>
        <w:tc>
          <w:tcPr>
            <w:tcW w:type="dxa" w:w="1417"/>
          </w:tcPr>
          <w:p>
            <w:pPr>
              <w:spacing w:after="20"/>
            </w:pPr>
            <w:r/>
            <w:r>
              <w:rPr>
                <w:sz w:val="14"/>
              </w:rPr>
              <w:t>ElevenLabs (text-to-speech)</w:t>
            </w:r>
          </w:p>
        </w:tc>
        <w:tc>
          <w:tcPr>
            <w:tcW w:type="dxa" w:w="1928"/>
          </w:tcPr>
          <w:p>
            <w:pPr>
              <w:spacing w:after="20"/>
            </w:pPr>
            <w:r/>
            <w:r>
              <w:rPr>
                <w:sz w:val="14"/>
              </w:rPr>
              <w:t>Panggilan keluar otomatis: konfirmasi order tak terjawab, pengingat mitra, IVR status tiket</w:t>
            </w:r>
          </w:p>
        </w:tc>
        <w:tc>
          <w:tcPr>
            <w:tcW w:type="dxa" w:w="850"/>
          </w:tcPr>
          <w:p>
            <w:pPr>
              <w:spacing w:after="20"/>
            </w:pPr>
            <w:r/>
            <w:r>
              <w:rPr>
                <w:sz w:val="14"/>
              </w:rPr>
              <w:t>JD-17 (panggilan rutin), JD-14</w:t>
            </w:r>
          </w:p>
        </w:tc>
        <w:tc>
          <w:tcPr>
            <w:tcW w:type="dxa" w:w="1701"/>
          </w:tcPr>
          <w:p>
            <w:pPr>
              <w:spacing w:after="20"/>
            </w:pPr>
            <w:r/>
            <w:r>
              <w:rPr>
                <w:sz w:val="14"/>
              </w:rPr>
              <w:t>USD 11 Creator (121 rb kredit); USD 99 Pro (600 rb kredit) per bulan [S-72]</w:t>
            </w:r>
          </w:p>
        </w:tc>
        <w:tc>
          <w:tcPr>
            <w:tcW w:type="dxa" w:w="850"/>
          </w:tcPr>
          <w:p>
            <w:pPr>
              <w:spacing w:after="20"/>
            </w:pPr>
            <w:r/>
            <w:r>
              <w:rPr>
                <w:sz w:val="14"/>
              </w:rPr>
              <w:t>0</w:t>
            </w:r>
          </w:p>
        </w:tc>
        <w:tc>
          <w:tcPr>
            <w:tcW w:type="dxa" w:w="850"/>
          </w:tcPr>
          <w:p>
            <w:pPr>
              <w:spacing w:after="20"/>
            </w:pPr>
            <w:r/>
            <w:r>
              <w:rPr>
                <w:sz w:val="14"/>
              </w:rPr>
              <w:t>193.941</w:t>
            </w:r>
          </w:p>
        </w:tc>
        <w:tc>
          <w:tcPr>
            <w:tcW w:type="dxa" w:w="850"/>
          </w:tcPr>
          <w:p>
            <w:pPr>
              <w:spacing w:after="20"/>
            </w:pPr>
            <w:r/>
            <w:r>
              <w:rPr>
                <w:sz w:val="14"/>
              </w:rPr>
              <w:t>1.745.469</w:t>
            </w:r>
          </w:p>
        </w:tc>
        <w:tc>
          <w:tcPr>
            <w:tcW w:type="dxa" w:w="1701"/>
          </w:tcPr>
          <w:p>
            <w:pPr>
              <w:spacing w:after="20"/>
            </w:pPr>
            <w:r/>
            <w:r>
              <w:rPr>
                <w:sz w:val="14"/>
              </w:rPr>
              <w:t>DILARANG dipakai pada kanal darurat. SOP-05 mewajibkan manusia dalam 15 menit.</w:t>
            </w:r>
          </w:p>
        </w:tc>
      </w:tr>
      <w:tr>
        <w:tc>
          <w:tcPr>
            <w:tcW w:type="dxa" w:w="510"/>
          </w:tcPr>
          <w:p>
            <w:pPr>
              <w:spacing w:after="20"/>
            </w:pPr>
            <w:r/>
            <w:r>
              <w:rPr>
                <w:sz w:val="14"/>
              </w:rPr>
              <w:t>T-10</w:t>
            </w:r>
          </w:p>
        </w:tc>
        <w:tc>
          <w:tcPr>
            <w:tcW w:type="dxa" w:w="1417"/>
          </w:tcPr>
          <w:p>
            <w:pPr>
              <w:spacing w:after="20"/>
            </w:pPr>
            <w:r/>
            <w:r>
              <w:rPr>
                <w:sz w:val="14"/>
              </w:rPr>
              <w:t>n8n (swakelola) — orkestrator</w:t>
            </w:r>
          </w:p>
        </w:tc>
        <w:tc>
          <w:tcPr>
            <w:tcW w:type="dxa" w:w="1928"/>
          </w:tcPr>
          <w:p>
            <w:pPr>
              <w:spacing w:after="20"/>
            </w:pPr>
            <w:r/>
            <w:r>
              <w:rPr>
                <w:sz w:val="14"/>
              </w:rPr>
              <w:t>Rekonsiliasi dompet harian, laporan bulanan Komisaris, penugasan ulang order tersendat, alur onboarding</w:t>
            </w:r>
          </w:p>
        </w:tc>
        <w:tc>
          <w:tcPr>
            <w:tcW w:type="dxa" w:w="850"/>
          </w:tcPr>
          <w:p>
            <w:pPr>
              <w:spacing w:after="20"/>
            </w:pPr>
            <w:r/>
            <w:r>
              <w:rPr>
                <w:sz w:val="14"/>
              </w:rPr>
              <w:t>JD-21, JD-14, JD-20</w:t>
            </w:r>
          </w:p>
        </w:tc>
        <w:tc>
          <w:tcPr>
            <w:tcW w:type="dxa" w:w="1701"/>
          </w:tcPr>
          <w:p>
            <w:pPr>
              <w:spacing w:after="20"/>
            </w:pPr>
            <w:r/>
            <w:r>
              <w:rPr>
                <w:sz w:val="14"/>
              </w:rPr>
              <w:t>Community edition swakelola gratis + biaya server [ASUMSI]; pembanding Cloud Pro EUR 50 [S-68]</w:t>
            </w:r>
          </w:p>
        </w:tc>
        <w:tc>
          <w:tcPr>
            <w:tcW w:type="dxa" w:w="850"/>
          </w:tcPr>
          <w:p>
            <w:pPr>
              <w:spacing w:after="20"/>
            </w:pPr>
            <w:r/>
            <w:r>
              <w:rPr>
                <w:sz w:val="14"/>
              </w:rPr>
              <w:t>1.000.000</w:t>
            </w:r>
          </w:p>
        </w:tc>
        <w:tc>
          <w:tcPr>
            <w:tcW w:type="dxa" w:w="850"/>
          </w:tcPr>
          <w:p>
            <w:pPr>
              <w:spacing w:after="20"/>
            </w:pPr>
            <w:r/>
            <w:r>
              <w:rPr>
                <w:sz w:val="14"/>
              </w:rPr>
              <w:t>1.750.000</w:t>
            </w:r>
          </w:p>
        </w:tc>
        <w:tc>
          <w:tcPr>
            <w:tcW w:type="dxa" w:w="850"/>
          </w:tcPr>
          <w:p>
            <w:pPr>
              <w:spacing w:after="20"/>
            </w:pPr>
            <w:r/>
            <w:r>
              <w:rPr>
                <w:sz w:val="14"/>
              </w:rPr>
              <w:t>2.500.000</w:t>
            </w:r>
          </w:p>
        </w:tc>
        <w:tc>
          <w:tcPr>
            <w:tcW w:type="dxa" w:w="1701"/>
          </w:tcPr>
          <w:p>
            <w:pPr>
              <w:spacing w:after="20"/>
            </w:pPr>
            <w:r/>
            <w:r>
              <w:rPr>
                <w:sz w:val="14"/>
              </w:rPr>
              <w:t>Alur yang gagal diam-diam. Rekonsiliasi WAJIB memunculkan selisih ke manusia, bukan menutupnya.</w:t>
            </w:r>
          </w:p>
        </w:tc>
      </w:tr>
      <w:tr>
        <w:tc>
          <w:tcPr>
            <w:tcW w:type="dxa" w:w="510"/>
          </w:tcPr>
          <w:p>
            <w:pPr>
              <w:spacing w:after="20"/>
            </w:pPr>
            <w:r/>
            <w:r>
              <w:rPr>
                <w:sz w:val="14"/>
              </w:rPr>
              <w:t>T-11</w:t>
            </w:r>
          </w:p>
        </w:tc>
        <w:tc>
          <w:tcPr>
            <w:tcW w:type="dxa" w:w="1417"/>
          </w:tcPr>
          <w:p>
            <w:pPr>
              <w:spacing w:after="20"/>
            </w:pPr>
            <w:r/>
            <w:r>
              <w:rPr>
                <w:sz w:val="14"/>
              </w:rPr>
              <w:t>Pipeline uji otomatis (CI) + agen uji</w:t>
            </w:r>
          </w:p>
        </w:tc>
        <w:tc>
          <w:tcPr>
            <w:tcW w:type="dxa" w:w="1928"/>
          </w:tcPr>
          <w:p>
            <w:pPr>
              <w:spacing w:after="20"/>
            </w:pPr>
            <w:r/>
            <w:r>
              <w:rPr>
                <w:sz w:val="14"/>
              </w:rPr>
              <w:t>Simulasi ujung-ke-ujung basis data, sapuan rute tiga aplikasi, gerbang rilis SOP-11</w:t>
            </w:r>
          </w:p>
        </w:tc>
        <w:tc>
          <w:tcPr>
            <w:tcW w:type="dxa" w:w="850"/>
          </w:tcPr>
          <w:p>
            <w:pPr>
              <w:spacing w:after="20"/>
            </w:pPr>
            <w:r/>
            <w:r>
              <w:rPr>
                <w:sz w:val="14"/>
              </w:rPr>
              <w:t>JD-09 (kedua baris)</w:t>
            </w:r>
          </w:p>
        </w:tc>
        <w:tc>
          <w:tcPr>
            <w:tcW w:type="dxa" w:w="1701"/>
          </w:tcPr>
          <w:p>
            <w:pPr>
              <w:spacing w:after="20"/>
            </w:pPr>
            <w:r/>
            <w:r>
              <w:rPr>
                <w:sz w:val="14"/>
              </w:rPr>
              <w:t>Langganan CI [ASUMSI]</w:t>
            </w:r>
          </w:p>
        </w:tc>
        <w:tc>
          <w:tcPr>
            <w:tcW w:type="dxa" w:w="850"/>
          </w:tcPr>
          <w:p>
            <w:pPr>
              <w:spacing w:after="20"/>
            </w:pPr>
            <w:r/>
            <w:r>
              <w:rPr>
                <w:sz w:val="14"/>
              </w:rPr>
              <w:t>1.000.000</w:t>
            </w:r>
          </w:p>
        </w:tc>
        <w:tc>
          <w:tcPr>
            <w:tcW w:type="dxa" w:w="850"/>
          </w:tcPr>
          <w:p>
            <w:pPr>
              <w:spacing w:after="20"/>
            </w:pPr>
            <w:r/>
            <w:r>
              <w:rPr>
                <w:sz w:val="14"/>
              </w:rPr>
              <w:t>1.500.000</w:t>
            </w:r>
          </w:p>
        </w:tc>
        <w:tc>
          <w:tcPr>
            <w:tcW w:type="dxa" w:w="850"/>
          </w:tcPr>
          <w:p>
            <w:pPr>
              <w:spacing w:after="20"/>
            </w:pPr>
            <w:r/>
            <w:r>
              <w:rPr>
                <w:sz w:val="14"/>
              </w:rPr>
              <w:t>2.000.000</w:t>
            </w:r>
          </w:p>
        </w:tc>
        <w:tc>
          <w:tcPr>
            <w:tcW w:type="dxa" w:w="1701"/>
          </w:tcPr>
          <w:p>
            <w:pPr>
              <w:spacing w:after="20"/>
            </w:pPr>
            <w:r/>
            <w:r>
              <w:rPr>
                <w:sz w:val="14"/>
              </w:rPr>
              <w:t>Hak veto rilis pindah ke Engineering Manager — harus dituliskan ulang di SOP-11 sebelum QA dihapus.</w:t>
            </w:r>
          </w:p>
        </w:tc>
      </w:tr>
      <w:tr>
        <w:tc>
          <w:tcPr>
            <w:tcW w:type="dxa" w:w="510"/>
          </w:tcPr>
          <w:p>
            <w:pPr>
              <w:spacing w:after="20"/>
            </w:pPr>
            <w:r/>
            <w:r>
              <w:rPr>
                <w:sz w:val="14"/>
              </w:rPr>
              <w:t>T-12</w:t>
            </w:r>
          </w:p>
        </w:tc>
        <w:tc>
          <w:tcPr>
            <w:tcW w:type="dxa" w:w="1417"/>
          </w:tcPr>
          <w:p>
            <w:pPr>
              <w:spacing w:after="20"/>
            </w:pPr>
            <w:r/>
            <w:r>
              <w:rPr>
                <w:sz w:val="14"/>
              </w:rPr>
              <w:t>Observability &amp; evaluasi LLM + jejak keputusan</w:t>
            </w:r>
          </w:p>
        </w:tc>
        <w:tc>
          <w:tcPr>
            <w:tcW w:type="dxa" w:w="1928"/>
          </w:tcPr>
          <w:p>
            <w:pPr>
              <w:spacing w:after="20"/>
            </w:pPr>
            <w:r/>
            <w:r>
              <w:rPr>
                <w:sz w:val="14"/>
              </w:rPr>
              <w:t>Perekaman prompt dan keluaran, alasan keputusan otomatis, uji regresi mutu jawaban, pagar pengaman</w:t>
            </w:r>
          </w:p>
        </w:tc>
        <w:tc>
          <w:tcPr>
            <w:tcW w:type="dxa" w:w="850"/>
          </w:tcPr>
          <w:p>
            <w:pPr>
              <w:spacing w:after="20"/>
            </w:pPr>
            <w:r/>
            <w:r>
              <w:rPr>
                <w:sz w:val="14"/>
              </w:rPr>
              <w:t>Kewajiban baru — bukan pengganti peran</w:t>
            </w:r>
          </w:p>
        </w:tc>
        <w:tc>
          <w:tcPr>
            <w:tcW w:type="dxa" w:w="1701"/>
          </w:tcPr>
          <w:p>
            <w:pPr>
              <w:spacing w:after="20"/>
            </w:pPr>
            <w:r/>
            <w:r>
              <w:rPr>
                <w:sz w:val="14"/>
              </w:rPr>
              <w:t>Langganan / swakelola [ASUMSI]</w:t>
            </w:r>
          </w:p>
        </w:tc>
        <w:tc>
          <w:tcPr>
            <w:tcW w:type="dxa" w:w="850"/>
          </w:tcPr>
          <w:p>
            <w:pPr>
              <w:spacing w:after="20"/>
            </w:pPr>
            <w:r/>
            <w:r>
              <w:rPr>
                <w:sz w:val="14"/>
              </w:rPr>
              <w:t>750.000</w:t>
            </w:r>
          </w:p>
        </w:tc>
        <w:tc>
          <w:tcPr>
            <w:tcW w:type="dxa" w:w="850"/>
          </w:tcPr>
          <w:p>
            <w:pPr>
              <w:spacing w:after="20"/>
            </w:pPr>
            <w:r/>
            <w:r>
              <w:rPr>
                <w:sz w:val="14"/>
              </w:rPr>
              <w:t>1.750.000</w:t>
            </w:r>
          </w:p>
        </w:tc>
        <w:tc>
          <w:tcPr>
            <w:tcW w:type="dxa" w:w="850"/>
          </w:tcPr>
          <w:p>
            <w:pPr>
              <w:spacing w:after="20"/>
            </w:pPr>
            <w:r/>
            <w:r>
              <w:rPr>
                <w:sz w:val="14"/>
              </w:rPr>
              <w:t>3.000.000</w:t>
            </w:r>
          </w:p>
        </w:tc>
        <w:tc>
          <w:tcPr>
            <w:tcW w:type="dxa" w:w="1701"/>
          </w:tcPr>
          <w:p>
            <w:pPr>
              <w:spacing w:after="20"/>
            </w:pPr>
            <w:r/>
            <w:r>
              <w:rPr>
                <w:sz w:val="14"/>
              </w:rPr>
              <w:t>Tanpa ini, hak keberatan UU PDP Pasal 10 tidak dapat dilayani karena alasan keputusan tidak terekam.</w:t>
            </w:r>
          </w:p>
        </w:tc>
      </w:tr>
      <w:tr>
        <w:tc>
          <w:tcPr>
            <w:tcW w:type="dxa" w:w="510"/>
          </w:tcPr>
          <w:p>
            <w:pPr>
              <w:spacing w:after="20"/>
            </w:pPr>
            <w:r/>
            <w:r>
              <w:rPr>
                <w:sz w:val="14"/>
              </w:rPr>
              <w:t>T-13</w:t>
            </w:r>
          </w:p>
        </w:tc>
        <w:tc>
          <w:tcPr>
            <w:tcW w:type="dxa" w:w="1417"/>
          </w:tcPr>
          <w:p>
            <w:pPr>
              <w:spacing w:after="20"/>
            </w:pPr>
            <w:r/>
            <w:r>
              <w:rPr>
                <w:sz w:val="14"/>
              </w:rPr>
              <w:t>Penyimpanan &amp; pemrosesan data pribadi di wilayah Indonesia</w:t>
            </w:r>
          </w:p>
        </w:tc>
        <w:tc>
          <w:tcPr>
            <w:tcW w:type="dxa" w:w="1928"/>
          </w:tcPr>
          <w:p>
            <w:pPr>
              <w:spacing w:after="20"/>
            </w:pPr>
            <w:r/>
            <w:r>
              <w:rPr>
                <w:sz w:val="14"/>
              </w:rPr>
              <w:t>Residensi data KYC, log tiket, dan data pribadi yang tidak boleh keluar wilayah RI</w:t>
            </w:r>
          </w:p>
        </w:tc>
        <w:tc>
          <w:tcPr>
            <w:tcW w:type="dxa" w:w="850"/>
          </w:tcPr>
          <w:p>
            <w:pPr>
              <w:spacing w:after="20"/>
            </w:pPr>
            <w:r/>
            <w:r>
              <w:rPr>
                <w:sz w:val="14"/>
              </w:rPr>
              <w:t>Kewajiban baru — bukan pengganti peran</w:t>
            </w:r>
          </w:p>
        </w:tc>
        <w:tc>
          <w:tcPr>
            <w:tcW w:type="dxa" w:w="1701"/>
          </w:tcPr>
          <w:p>
            <w:pPr>
              <w:spacing w:after="20"/>
            </w:pPr>
            <w:r/>
            <w:r>
              <w:rPr>
                <w:sz w:val="14"/>
              </w:rPr>
              <w:t>Infrastruktur bulanan [ASUMSI]</w:t>
            </w:r>
          </w:p>
        </w:tc>
        <w:tc>
          <w:tcPr>
            <w:tcW w:type="dxa" w:w="850"/>
          </w:tcPr>
          <w:p>
            <w:pPr>
              <w:spacing w:after="20"/>
            </w:pPr>
            <w:r/>
            <w:r>
              <w:rPr>
                <w:sz w:val="14"/>
              </w:rPr>
              <w:t>1.000.000</w:t>
            </w:r>
          </w:p>
        </w:tc>
        <w:tc>
          <w:tcPr>
            <w:tcW w:type="dxa" w:w="850"/>
          </w:tcPr>
          <w:p>
            <w:pPr>
              <w:spacing w:after="20"/>
            </w:pPr>
            <w:r/>
            <w:r>
              <w:rPr>
                <w:sz w:val="14"/>
              </w:rPr>
              <w:t>2.500.000</w:t>
            </w:r>
          </w:p>
        </w:tc>
        <w:tc>
          <w:tcPr>
            <w:tcW w:type="dxa" w:w="850"/>
          </w:tcPr>
          <w:p>
            <w:pPr>
              <w:spacing w:after="20"/>
            </w:pPr>
            <w:r/>
            <w:r>
              <w:rPr>
                <w:sz w:val="14"/>
              </w:rPr>
              <w:t>4.000.000</w:t>
            </w:r>
          </w:p>
        </w:tc>
        <w:tc>
          <w:tcPr>
            <w:tcW w:type="dxa" w:w="1701"/>
          </w:tcPr>
          <w:p>
            <w:pPr>
              <w:spacing w:after="20"/>
            </w:pPr>
            <w:r/>
            <w:r>
              <w:rPr>
                <w:sz w:val="14"/>
              </w:rPr>
              <w:t>Gagal memisahkan data yang boleh dan tidak boleh keluar negeri: sanksi administratif hingga 2% pendapatan tahunan.</w:t>
            </w:r>
          </w:p>
        </w:tc>
      </w:tr>
    </w:tbl>
    <w:p>
      <w:pPr>
        <w:spacing w:after="40"/>
      </w:pPr>
    </w:p>
    <w:tbl>
      <w:tblPr>
        <w:tblStyle w:val="LightGrid-Accent1"/>
        <w:tblW w:type="auto" w:w="0"/>
        <w:tblLayout w:type="fixed"/>
        <w:tblLook w:firstColumn="1" w:firstRow="1" w:lastColumn="0" w:lastRow="0" w:noHBand="0" w:noVBand="1" w:val="04A0"/>
      </w:tblPr>
      <w:tblGrid>
        <w:gridCol w:w="3506"/>
        <w:gridCol w:w="3506"/>
        <w:gridCol w:w="3506"/>
        <w:gridCol w:w="3506"/>
      </w:tblGrid>
      <w:tr>
        <w:tc>
          <w:tcPr>
            <w:tcW w:type="dxa" w:w="4309"/>
          </w:tcPr>
          <w:p>
            <w:r/>
            <w:r>
              <w:rPr>
                <w:b/>
                <w:sz w:val="17"/>
              </w:rPr>
              <w:t>Rekap biaya tool</w:t>
            </w:r>
          </w:p>
        </w:tc>
        <w:tc>
          <w:tcPr>
            <w:tcW w:type="dxa" w:w="1701"/>
          </w:tcPr>
          <w:p>
            <w:r/>
            <w:r>
              <w:rPr>
                <w:b/>
                <w:sz w:val="17"/>
              </w:rPr>
              <w:t>Fase 0</w:t>
            </w:r>
          </w:p>
        </w:tc>
        <w:tc>
          <w:tcPr>
            <w:tcW w:type="dxa" w:w="1701"/>
          </w:tcPr>
          <w:p>
            <w:r/>
            <w:r>
              <w:rPr>
                <w:b/>
                <w:sz w:val="17"/>
              </w:rPr>
              <w:t>Fase 1</w:t>
            </w:r>
          </w:p>
        </w:tc>
        <w:tc>
          <w:tcPr>
            <w:tcW w:type="dxa" w:w="1701"/>
          </w:tcPr>
          <w:p>
            <w:r/>
            <w:r>
              <w:rPr>
                <w:b/>
                <w:sz w:val="17"/>
              </w:rPr>
              <w:t>Fase 2</w:t>
            </w:r>
          </w:p>
        </w:tc>
      </w:tr>
      <w:tr>
        <w:tc>
          <w:tcPr>
            <w:tcW w:type="dxa" w:w="4309"/>
          </w:tcPr>
          <w:p>
            <w:pPr>
              <w:spacing w:after="20"/>
            </w:pPr>
            <w:r/>
            <w:r>
              <w:rPr>
                <w:sz w:val="17"/>
              </w:rPr>
              <w:t>Subtotal tool</w:t>
            </w:r>
          </w:p>
        </w:tc>
        <w:tc>
          <w:tcPr>
            <w:tcW w:type="dxa" w:w="1701"/>
          </w:tcPr>
          <w:p>
            <w:pPr>
              <w:spacing w:after="20"/>
            </w:pPr>
            <w:r/>
            <w:r>
              <w:rPr>
                <w:sz w:val="17"/>
              </w:rPr>
              <w:t>Rp11.301.399</w:t>
            </w:r>
          </w:p>
        </w:tc>
        <w:tc>
          <w:tcPr>
            <w:tcW w:type="dxa" w:w="1701"/>
          </w:tcPr>
          <w:p>
            <w:pPr>
              <w:spacing w:after="20"/>
            </w:pPr>
            <w:r/>
            <w:r>
              <w:rPr>
                <w:sz w:val="17"/>
              </w:rPr>
              <w:t>Rp26.586.165</w:t>
            </w:r>
          </w:p>
        </w:tc>
        <w:tc>
          <w:tcPr>
            <w:tcW w:type="dxa" w:w="1701"/>
          </w:tcPr>
          <w:p>
            <w:pPr>
              <w:spacing w:after="20"/>
            </w:pPr>
            <w:r/>
            <w:r>
              <w:rPr>
                <w:sz w:val="17"/>
              </w:rPr>
              <w:t>Rp45.896.609</w:t>
            </w:r>
          </w:p>
        </w:tc>
      </w:tr>
      <w:tr>
        <w:tc>
          <w:tcPr>
            <w:tcW w:type="dxa" w:w="4309"/>
          </w:tcPr>
          <w:p>
            <w:pPr>
              <w:spacing w:after="20"/>
            </w:pPr>
            <w:r/>
            <w:r>
              <w:rPr>
                <w:sz w:val="17"/>
              </w:rPr>
              <w:t xml:space="preserve">  dari itu ke penyedia luar negeri (T-01, T-06, T-07, T-09)</w:t>
            </w:r>
          </w:p>
        </w:tc>
        <w:tc>
          <w:tcPr>
            <w:tcW w:type="dxa" w:w="1701"/>
          </w:tcPr>
          <w:p>
            <w:pPr>
              <w:spacing w:after="20"/>
            </w:pPr>
            <w:r/>
            <w:r>
              <w:rPr>
                <w:sz w:val="17"/>
              </w:rPr>
              <w:t>Rp6.103.251</w:t>
            </w:r>
          </w:p>
        </w:tc>
        <w:tc>
          <w:tcPr>
            <w:tcW w:type="dxa" w:w="1701"/>
          </w:tcPr>
          <w:p>
            <w:pPr>
              <w:spacing w:after="20"/>
            </w:pPr>
            <w:r/>
            <w:r>
              <w:rPr>
                <w:sz w:val="17"/>
              </w:rPr>
              <w:t>Rp9.573.210</w:t>
            </w:r>
          </w:p>
        </w:tc>
        <w:tc>
          <w:tcPr>
            <w:tcW w:type="dxa" w:w="1701"/>
          </w:tcPr>
          <w:p>
            <w:pPr>
              <w:spacing w:after="20"/>
            </w:pPr>
            <w:r/>
            <w:r>
              <w:rPr>
                <w:sz w:val="17"/>
              </w:rPr>
              <w:t>Rp14.004.789</w:t>
            </w:r>
          </w:p>
        </w:tc>
      </w:tr>
      <w:tr>
        <w:tc>
          <w:tcPr>
            <w:tcW w:type="dxa" w:w="4309"/>
          </w:tcPr>
          <w:p>
            <w:pPr>
              <w:spacing w:after="20"/>
            </w:pPr>
            <w:r/>
            <w:r>
              <w:rPr>
                <w:sz w:val="17"/>
              </w:rPr>
              <w:t>Tambahan PPN PMSE 11% + buffer kurs 8% + cadangan PPh 26 10%</w:t>
            </w:r>
          </w:p>
        </w:tc>
        <w:tc>
          <w:tcPr>
            <w:tcW w:type="dxa" w:w="1701"/>
          </w:tcPr>
          <w:p>
            <w:pPr>
              <w:spacing w:after="20"/>
            </w:pPr>
            <w:r/>
            <w:r>
              <w:rPr>
                <w:sz w:val="17"/>
              </w:rPr>
              <w:t>Rp1.769.943</w:t>
            </w:r>
          </w:p>
        </w:tc>
        <w:tc>
          <w:tcPr>
            <w:tcW w:type="dxa" w:w="1701"/>
          </w:tcPr>
          <w:p>
            <w:pPr>
              <w:spacing w:after="20"/>
            </w:pPr>
            <w:r/>
            <w:r>
              <w:rPr>
                <w:sz w:val="17"/>
              </w:rPr>
              <w:t>Rp2.776.231</w:t>
            </w:r>
          </w:p>
        </w:tc>
        <w:tc>
          <w:tcPr>
            <w:tcW w:type="dxa" w:w="1701"/>
          </w:tcPr>
          <w:p>
            <w:pPr>
              <w:spacing w:after="20"/>
            </w:pPr>
            <w:r/>
            <w:r>
              <w:rPr>
                <w:sz w:val="17"/>
              </w:rPr>
              <w:t>Rp4.061.389</w:t>
            </w:r>
          </w:p>
        </w:tc>
      </w:tr>
      <w:tr>
        <w:tc>
          <w:tcPr>
            <w:tcW w:type="dxa" w:w="4309"/>
          </w:tcPr>
          <w:p>
            <w:pPr>
              <w:spacing w:after="20"/>
            </w:pPr>
            <w:r/>
            <w:r>
              <w:rPr>
                <w:sz w:val="17"/>
              </w:rPr>
              <w:t>TOTAL BIAYA TOOL PER BULAN</w:t>
            </w:r>
          </w:p>
        </w:tc>
        <w:tc>
          <w:tcPr>
            <w:tcW w:type="dxa" w:w="1701"/>
          </w:tcPr>
          <w:p>
            <w:pPr>
              <w:spacing w:after="20"/>
            </w:pPr>
            <w:r/>
            <w:r>
              <w:rPr>
                <w:sz w:val="17"/>
              </w:rPr>
              <w:t>Rp13.071.342</w:t>
            </w:r>
          </w:p>
        </w:tc>
        <w:tc>
          <w:tcPr>
            <w:tcW w:type="dxa" w:w="1701"/>
          </w:tcPr>
          <w:p>
            <w:pPr>
              <w:spacing w:after="20"/>
            </w:pPr>
            <w:r/>
            <w:r>
              <w:rPr>
                <w:sz w:val="17"/>
              </w:rPr>
              <w:t>Rp29.362.396</w:t>
            </w:r>
          </w:p>
        </w:tc>
        <w:tc>
          <w:tcPr>
            <w:tcW w:type="dxa" w:w="1701"/>
          </w:tcPr>
          <w:p>
            <w:pPr>
              <w:spacing w:after="20"/>
            </w:pPr>
            <w:r/>
            <w:r>
              <w:rPr>
                <w:sz w:val="17"/>
              </w:rPr>
              <w:t>Rp49.957.997</w:t>
            </w:r>
          </w:p>
        </w:tc>
      </w:tr>
    </w:tbl>
    <w:p>
      <w:pPr>
        <w:spacing w:after="40"/>
      </w:pPr>
    </w:p>
    <w:p>
      <w:pPr>
        <w:sectPr>
          <w:pgSz w:w="15840" w:h="12240" w:orient="landscape"/>
          <w:pgMar w:top="907" w:right="907" w:bottom="907" w:left="907" w:header="720" w:footer="720" w:gutter="0"/>
          <w:cols w:space="720"/>
          <w:docGrid w:linePitch="360"/>
        </w:sectPr>
      </w:pPr>
    </w:p>
    <w:p>
      <w:pPr>
        <w:pStyle w:val="Heading2"/>
      </w:pPr>
      <w:r>
        <w:rPr>
          <w:color w:val="1F3B63"/>
        </w:rPr>
        <w:t>3.3  Satu keputusan beli-atau-bangun yang menentukan</w:t>
      </w:r>
    </w:p>
    <w:p>
      <w:pPr>
        <w:spacing w:after="80"/>
      </w:pPr>
      <w:r>
        <w:rPr>
          <w:b w:val="0"/>
          <w:i w:val="0"/>
        </w:rPr>
        <w:t>Agen CS berbayar per resolusi (Intercom Fin USD 0,99 = Rp17.457 per resolusi [S-65]) tampak murah sampai dibandingkan dengan volume nyata AntarKita. Pada Fase 2 terdapat 1.584 tiket per bulan yang ditangani lima CS Agent; biaya SDM per tiket adalah Rp19.593. Artinya vendor per-resolusi hanya menawarkan penghematan 11% per tiket — sebelum biaya kursi platform — dan tidak menghilangkan satu pun kebutuhan shift.</w:t>
      </w:r>
    </w:p>
    <w:p>
      <w:pPr>
        <w:spacing w:after="80"/>
      </w:pPr>
      <w:r>
        <w:rPr>
          <w:b/>
          <w:i w:val="0"/>
        </w:rPr>
        <w:t>Membangun agen CS sendiri di atas API model bahasa (T-01) berbiaya sekitar Rp170 per tiket. Selisihnya seratus kali lipat. Karena itu rekomendasinya adalah MEMBANGUN, bukan membeli. Konsekuensinya jujur: biaya implementasi dan pemeliharaan pindah ke Bab 4, ia tidak hilang.</w:t>
      </w:r>
    </w:p>
    <w:p>
      <w:pPr>
        <w:spacing w:after="80"/>
      </w:pPr>
      <w:r>
        <w:rPr>
          <w:b w:val="0"/>
          <w:i w:val="0"/>
        </w:rPr>
        <w:t>Dan yang lebih penting: penghematan CS pada perusahaan seukuran AntarKita berasal dari pengurangan CAKUPAN SHIFT, bukan dari biaya per tiket. Lima CS Agent pada Fase 2 hanya menangani sekitar 10 tiket per orang per hari — mereka ada karena ada tiga shift di dua kota, bukan karena ada antrean.</w:t>
      </w:r>
    </w:p>
    <w:p>
      <w:r>
        <w:br w:type="page"/>
      </w:r>
    </w:p>
    <w:p>
      <w:pPr>
        <w:pStyle w:val="Heading1"/>
      </w:pPr>
      <w:r>
        <w:rPr>
          <w:color w:val="1F3B63"/>
        </w:rPr>
        <w:t>Bab 4  Biaya Tersembunyi Otomasi</w:t>
      </w:r>
    </w:p>
    <w:p>
      <w:pPr>
        <w:spacing w:after="80"/>
      </w:pPr>
      <w:r>
        <w:rPr>
          <w:b w:val="0"/>
          <w:i w:val="0"/>
        </w:rPr>
        <w:t>Bagian ini memuat biaya yang paling sering hilang dari usulan otomasi. Tanpa bagian ini, Skenario B akan tampak menghemat 20% dan bukan 12,6%.</w:t>
      </w:r>
    </w:p>
    <w:tbl>
      <w:tblPr>
        <w:tblStyle w:val="LightGrid-Accent1"/>
        <w:tblW w:type="auto" w:w="0"/>
        <w:tblLayout w:type="fixed"/>
        <w:tblLook w:firstColumn="1" w:firstRow="1" w:lastColumn="0" w:lastRow="0" w:noHBand="0" w:noVBand="1" w:val="04A0"/>
      </w:tblPr>
      <w:tblGrid>
        <w:gridCol w:w="1738"/>
        <w:gridCol w:w="1738"/>
        <w:gridCol w:w="1738"/>
        <w:gridCol w:w="1738"/>
        <w:gridCol w:w="1738"/>
        <w:gridCol w:w="1738"/>
      </w:tblGrid>
      <w:tr>
        <w:tc>
          <w:tcPr>
            <w:tcW w:type="dxa" w:w="510"/>
          </w:tcPr>
          <w:p>
            <w:r/>
            <w:r>
              <w:rPr>
                <w:b/>
                <w:sz w:val="17"/>
              </w:rPr>
              <w:t>Kode</w:t>
            </w:r>
          </w:p>
        </w:tc>
        <w:tc>
          <w:tcPr>
            <w:tcW w:type="dxa" w:w="2494"/>
          </w:tcPr>
          <w:p>
            <w:r/>
            <w:r>
              <w:rPr>
                <w:b/>
                <w:sz w:val="17"/>
              </w:rPr>
              <w:t>Pos biaya</w:t>
            </w:r>
          </w:p>
        </w:tc>
        <w:tc>
          <w:tcPr>
            <w:tcW w:type="dxa" w:w="3402"/>
          </w:tcPr>
          <w:p>
            <w:r/>
            <w:r>
              <w:rPr>
                <w:b/>
                <w:sz w:val="17"/>
              </w:rPr>
              <w:t>Basis</w:t>
            </w:r>
          </w:p>
        </w:tc>
        <w:tc>
          <w:tcPr>
            <w:tcW w:type="dxa" w:w="1077"/>
          </w:tcPr>
          <w:p>
            <w:r/>
            <w:r>
              <w:rPr>
                <w:b/>
                <w:sz w:val="17"/>
              </w:rPr>
              <w:t>Fase 0</w:t>
            </w:r>
          </w:p>
        </w:tc>
        <w:tc>
          <w:tcPr>
            <w:tcW w:type="dxa" w:w="1077"/>
          </w:tcPr>
          <w:p>
            <w:r/>
            <w:r>
              <w:rPr>
                <w:b/>
                <w:sz w:val="17"/>
              </w:rPr>
              <w:t>Fase 1</w:t>
            </w:r>
          </w:p>
        </w:tc>
        <w:tc>
          <w:tcPr>
            <w:tcW w:type="dxa" w:w="1077"/>
          </w:tcPr>
          <w:p>
            <w:r/>
            <w:r>
              <w:rPr>
                <w:b/>
                <w:sz w:val="17"/>
              </w:rPr>
              <w:t>Fase 2</w:t>
            </w:r>
          </w:p>
        </w:tc>
      </w:tr>
      <w:tr>
        <w:tc>
          <w:tcPr>
            <w:tcW w:type="dxa" w:w="510"/>
          </w:tcPr>
          <w:p>
            <w:pPr>
              <w:spacing w:after="20"/>
            </w:pPr>
            <w:r/>
            <w:r>
              <w:rPr>
                <w:sz w:val="16"/>
              </w:rPr>
              <w:t>H-1</w:t>
            </w:r>
          </w:p>
        </w:tc>
        <w:tc>
          <w:tcPr>
            <w:tcW w:type="dxa" w:w="2494"/>
          </w:tcPr>
          <w:p>
            <w:pPr>
              <w:spacing w:after="20"/>
            </w:pPr>
            <w:r/>
            <w:r>
              <w:rPr>
                <w:sz w:val="16"/>
              </w:rPr>
              <w:t>Pemeliharaan otomasi — kontraktor 0,5–1,0 FTE</w:t>
            </w:r>
          </w:p>
        </w:tc>
        <w:tc>
          <w:tcPr>
            <w:tcW w:type="dxa" w:w="3402"/>
          </w:tcPr>
          <w:p>
            <w:pPr>
              <w:spacing w:after="20"/>
            </w:pPr>
            <w:r/>
            <w:r>
              <w:rPr>
                <w:sz w:val="16"/>
              </w:rPr>
              <w:t>AI tidak memelihara dirinya: prompt melapuk, API berubah versi, basis pengetahuan basi. Setara 0,5 FTE Backend Mid pada Fase 1 dan 1,0 FTE pada Fase 2 [ASUMSI]</w:t>
            </w:r>
          </w:p>
        </w:tc>
        <w:tc>
          <w:tcPr>
            <w:tcW w:type="dxa" w:w="1077"/>
          </w:tcPr>
          <w:p>
            <w:pPr>
              <w:spacing w:after="20"/>
            </w:pPr>
            <w:r/>
            <w:r>
              <w:rPr>
                <w:sz w:val="16"/>
              </w:rPr>
              <w:t>—</w:t>
            </w:r>
          </w:p>
        </w:tc>
        <w:tc>
          <w:tcPr>
            <w:tcW w:type="dxa" w:w="1077"/>
          </w:tcPr>
          <w:p>
            <w:pPr>
              <w:spacing w:after="20"/>
            </w:pPr>
            <w:r/>
            <w:r>
              <w:rPr>
                <w:sz w:val="16"/>
              </w:rPr>
              <w:t>Rp8.000.000</w:t>
            </w:r>
          </w:p>
        </w:tc>
        <w:tc>
          <w:tcPr>
            <w:tcW w:type="dxa" w:w="1077"/>
          </w:tcPr>
          <w:p>
            <w:pPr>
              <w:spacing w:after="20"/>
            </w:pPr>
            <w:r/>
            <w:r>
              <w:rPr>
                <w:sz w:val="16"/>
              </w:rPr>
              <w:t>Rp16.000.000</w:t>
            </w:r>
          </w:p>
        </w:tc>
      </w:tr>
      <w:tr>
        <w:tc>
          <w:tcPr>
            <w:tcW w:type="dxa" w:w="510"/>
          </w:tcPr>
          <w:p>
            <w:pPr>
              <w:spacing w:after="20"/>
            </w:pPr>
            <w:r/>
            <w:r>
              <w:rPr>
                <w:sz w:val="16"/>
              </w:rPr>
              <w:t>H-2</w:t>
            </w:r>
          </w:p>
        </w:tc>
        <w:tc>
          <w:tcPr>
            <w:tcW w:type="dxa" w:w="2494"/>
          </w:tcPr>
          <w:p>
            <w:pPr>
              <w:spacing w:after="20"/>
            </w:pPr>
            <w:r/>
            <w:r>
              <w:rPr>
                <w:sz w:val="16"/>
              </w:rPr>
              <w:t>Biaya kegagalan CS: kompensasi niat baik atas kesalahan agen AI</w:t>
            </w:r>
          </w:p>
        </w:tc>
        <w:tc>
          <w:tcPr>
            <w:tcW w:type="dxa" w:w="3402"/>
          </w:tcPr>
          <w:p>
            <w:pPr>
              <w:spacing w:after="20"/>
            </w:pPr>
            <w:r/>
            <w:r>
              <w:rPr>
                <w:sz w:val="16"/>
              </w:rPr>
              <w:t>2% tiket × Rp50.000 (batas kewenangan CS Agent, SOP-04) [ASUMSI]</w:t>
            </w:r>
          </w:p>
        </w:tc>
        <w:tc>
          <w:tcPr>
            <w:tcW w:type="dxa" w:w="1077"/>
          </w:tcPr>
          <w:p>
            <w:pPr>
              <w:spacing w:after="20"/>
            </w:pPr>
            <w:r/>
            <w:r>
              <w:rPr>
                <w:sz w:val="16"/>
              </w:rPr>
              <w:t>Rp31.500</w:t>
            </w:r>
          </w:p>
        </w:tc>
        <w:tc>
          <w:tcPr>
            <w:tcW w:type="dxa" w:w="1077"/>
          </w:tcPr>
          <w:p>
            <w:pPr>
              <w:spacing w:after="20"/>
            </w:pPr>
            <w:r/>
            <w:r>
              <w:rPr>
                <w:sz w:val="16"/>
              </w:rPr>
              <w:t>Rp630.000</w:t>
            </w:r>
          </w:p>
        </w:tc>
        <w:tc>
          <w:tcPr>
            <w:tcW w:type="dxa" w:w="1077"/>
          </w:tcPr>
          <w:p>
            <w:pPr>
              <w:spacing w:after="20"/>
            </w:pPr>
            <w:r/>
            <w:r>
              <w:rPr>
                <w:sz w:val="16"/>
              </w:rPr>
              <w:t>Rp1.584.000</w:t>
            </w:r>
          </w:p>
        </w:tc>
      </w:tr>
      <w:tr>
        <w:tc>
          <w:tcPr>
            <w:tcW w:type="dxa" w:w="510"/>
          </w:tcPr>
          <w:p>
            <w:pPr>
              <w:spacing w:after="20"/>
            </w:pPr>
            <w:r/>
            <w:r>
              <w:rPr>
                <w:sz w:val="16"/>
              </w:rPr>
              <w:t>H-3</w:t>
            </w:r>
          </w:p>
        </w:tc>
        <w:tc>
          <w:tcPr>
            <w:tcW w:type="dxa" w:w="2494"/>
          </w:tcPr>
          <w:p>
            <w:pPr>
              <w:spacing w:after="20"/>
            </w:pPr>
            <w:r/>
            <w:r>
              <w:rPr>
                <w:sz w:val="16"/>
              </w:rPr>
              <w:t>Pengawasan kepatuhan UU PDP oleh DPO atas sistem otomatis</w:t>
            </w:r>
          </w:p>
        </w:tc>
        <w:tc>
          <w:tcPr>
            <w:tcW w:type="dxa" w:w="3402"/>
          </w:tcPr>
          <w:p>
            <w:pPr>
              <w:spacing w:after="20"/>
            </w:pPr>
            <w:r/>
            <w:r>
              <w:rPr>
                <w:sz w:val="16"/>
              </w:rPr>
              <w:t>0,2 FTE Head of Legal &amp; Compliance. Beban BARU: DPIA berkala, register pemrosesan, uji transfer data Pasal 56</w:t>
            </w:r>
          </w:p>
        </w:tc>
        <w:tc>
          <w:tcPr>
            <w:tcW w:type="dxa" w:w="1077"/>
          </w:tcPr>
          <w:p>
            <w:pPr>
              <w:spacing w:after="20"/>
            </w:pPr>
            <w:r/>
            <w:r>
              <w:rPr>
                <w:sz w:val="16"/>
              </w:rPr>
              <w:t>—</w:t>
            </w:r>
          </w:p>
        </w:tc>
        <w:tc>
          <w:tcPr>
            <w:tcW w:type="dxa" w:w="1077"/>
          </w:tcPr>
          <w:p>
            <w:pPr>
              <w:spacing w:after="20"/>
            </w:pPr>
            <w:r/>
            <w:r>
              <w:rPr>
                <w:sz w:val="16"/>
              </w:rPr>
              <w:t>Rp3.492.584</w:t>
            </w:r>
          </w:p>
        </w:tc>
        <w:tc>
          <w:tcPr>
            <w:tcW w:type="dxa" w:w="1077"/>
          </w:tcPr>
          <w:p>
            <w:pPr>
              <w:spacing w:after="20"/>
            </w:pPr>
            <w:r/>
            <w:r>
              <w:rPr>
                <w:sz w:val="16"/>
              </w:rPr>
              <w:t>Rp3.492.584</w:t>
            </w:r>
          </w:p>
        </w:tc>
      </w:tr>
      <w:tr>
        <w:tc>
          <w:tcPr>
            <w:tcW w:type="dxa" w:w="510"/>
          </w:tcPr>
          <w:p>
            <w:pPr>
              <w:spacing w:after="20"/>
            </w:pPr>
            <w:r/>
            <w:r>
              <w:rPr>
                <w:sz w:val="16"/>
              </w:rPr>
              <w:t>H-4</w:t>
            </w:r>
          </w:p>
        </w:tc>
        <w:tc>
          <w:tcPr>
            <w:tcW w:type="dxa" w:w="2494"/>
          </w:tcPr>
          <w:p>
            <w:pPr>
              <w:spacing w:after="20"/>
            </w:pPr>
            <w:r/>
            <w:r>
              <w:rPr>
                <w:sz w:val="16"/>
              </w:rPr>
              <w:t>Audit &amp; jejak keputusan otomatis</w:t>
            </w:r>
          </w:p>
        </w:tc>
        <w:tc>
          <w:tcPr>
            <w:tcW w:type="dxa" w:w="3402"/>
          </w:tcPr>
          <w:p>
            <w:pPr>
              <w:spacing w:after="20"/>
            </w:pPr>
            <w:r/>
            <w:r>
              <w:rPr>
                <w:sz w:val="16"/>
              </w:rPr>
              <w:t>0,1 FTE Trust &amp; Safety meninjau keputusan otomatis yang disanggah — konsekuensi langsung UU PDP Pasal 10</w:t>
            </w:r>
          </w:p>
        </w:tc>
        <w:tc>
          <w:tcPr>
            <w:tcW w:type="dxa" w:w="1077"/>
          </w:tcPr>
          <w:p>
            <w:pPr>
              <w:spacing w:after="20"/>
            </w:pPr>
            <w:r/>
            <w:r>
              <w:rPr>
                <w:sz w:val="16"/>
              </w:rPr>
              <w:t>—</w:t>
            </w:r>
          </w:p>
        </w:tc>
        <w:tc>
          <w:tcPr>
            <w:tcW w:type="dxa" w:w="1077"/>
          </w:tcPr>
          <w:p>
            <w:pPr>
              <w:spacing w:after="20"/>
            </w:pPr>
            <w:r/>
            <w:r>
              <w:rPr>
                <w:sz w:val="16"/>
              </w:rPr>
              <w:t>Rp1.242.192</w:t>
            </w:r>
          </w:p>
        </w:tc>
        <w:tc>
          <w:tcPr>
            <w:tcW w:type="dxa" w:w="1077"/>
          </w:tcPr>
          <w:p>
            <w:pPr>
              <w:spacing w:after="20"/>
            </w:pPr>
            <w:r/>
            <w:r>
              <w:rPr>
                <w:sz w:val="16"/>
              </w:rPr>
              <w:t>Rp1.242.192</w:t>
            </w:r>
          </w:p>
        </w:tc>
      </w:tr>
      <w:tr>
        <w:tc>
          <w:tcPr>
            <w:tcW w:type="dxa" w:w="510"/>
          </w:tcPr>
          <w:p>
            <w:pPr>
              <w:spacing w:after="20"/>
            </w:pPr>
            <w:r/>
            <w:r>
              <w:rPr>
                <w:sz w:val="16"/>
              </w:rPr>
              <w:t>H-5</w:t>
            </w:r>
          </w:p>
        </w:tc>
        <w:tc>
          <w:tcPr>
            <w:tcW w:type="dxa" w:w="2494"/>
          </w:tcPr>
          <w:p>
            <w:pPr>
              <w:spacing w:after="20"/>
            </w:pPr>
            <w:r/>
            <w:r>
              <w:rPr>
                <w:sz w:val="16"/>
              </w:rPr>
              <w:t>Cadangan risiko reputasi bila AI salah menangani keluhan</w:t>
            </w:r>
          </w:p>
        </w:tc>
        <w:tc>
          <w:tcPr>
            <w:tcW w:type="dxa" w:w="3402"/>
          </w:tcPr>
          <w:p>
            <w:pPr>
              <w:spacing w:after="20"/>
            </w:pPr>
            <w:r/>
            <w:r>
              <w:rPr>
                <w:sz w:val="16"/>
              </w:rPr>
              <w:t>Perkiraan biaya penanganan krisis Rp150 juta × peluang 15% per tahun [ASUMSI]</w:t>
            </w:r>
          </w:p>
        </w:tc>
        <w:tc>
          <w:tcPr>
            <w:tcW w:type="dxa" w:w="1077"/>
          </w:tcPr>
          <w:p>
            <w:pPr>
              <w:spacing w:after="20"/>
            </w:pPr>
            <w:r/>
            <w:r>
              <w:rPr>
                <w:sz w:val="16"/>
              </w:rPr>
              <w:t>—</w:t>
            </w:r>
          </w:p>
        </w:tc>
        <w:tc>
          <w:tcPr>
            <w:tcW w:type="dxa" w:w="1077"/>
          </w:tcPr>
          <w:p>
            <w:pPr>
              <w:spacing w:after="20"/>
            </w:pPr>
            <w:r/>
            <w:r>
              <w:rPr>
                <w:sz w:val="16"/>
              </w:rPr>
              <w:t>Rp1.250.000</w:t>
            </w:r>
          </w:p>
        </w:tc>
        <w:tc>
          <w:tcPr>
            <w:tcW w:type="dxa" w:w="1077"/>
          </w:tcPr>
          <w:p>
            <w:pPr>
              <w:spacing w:after="20"/>
            </w:pPr>
            <w:r/>
            <w:r>
              <w:rPr>
                <w:sz w:val="16"/>
              </w:rPr>
              <w:t>Rp1.875.000</w:t>
            </w:r>
          </w:p>
        </w:tc>
      </w:tr>
      <w:tr>
        <w:tc>
          <w:tcPr>
            <w:tcW w:type="dxa" w:w="510"/>
          </w:tcPr>
          <w:p>
            <w:pPr>
              <w:spacing w:after="20"/>
            </w:pPr>
            <w:r/>
            <w:r>
              <w:rPr>
                <w:sz w:val="16"/>
              </w:rPr>
            </w:r>
          </w:p>
        </w:tc>
        <w:tc>
          <w:tcPr>
            <w:tcW w:type="dxa" w:w="2494"/>
          </w:tcPr>
          <w:p>
            <w:pPr>
              <w:spacing w:after="20"/>
            </w:pPr>
            <w:r/>
            <w:r>
              <w:rPr>
                <w:sz w:val="16"/>
              </w:rPr>
              <w:t>SUBTOTAL BERULANG PER BULAN</w:t>
            </w:r>
          </w:p>
        </w:tc>
        <w:tc>
          <w:tcPr>
            <w:tcW w:type="dxa" w:w="3402"/>
          </w:tcPr>
          <w:p>
            <w:pPr>
              <w:spacing w:after="20"/>
            </w:pPr>
            <w:r/>
            <w:r>
              <w:rPr>
                <w:sz w:val="16"/>
              </w:rPr>
            </w:r>
          </w:p>
        </w:tc>
        <w:tc>
          <w:tcPr>
            <w:tcW w:type="dxa" w:w="1077"/>
          </w:tcPr>
          <w:p>
            <w:pPr>
              <w:spacing w:after="20"/>
            </w:pPr>
            <w:r/>
            <w:r>
              <w:rPr>
                <w:sz w:val="16"/>
              </w:rPr>
              <w:t>Rp31.500</w:t>
            </w:r>
          </w:p>
        </w:tc>
        <w:tc>
          <w:tcPr>
            <w:tcW w:type="dxa" w:w="1077"/>
          </w:tcPr>
          <w:p>
            <w:pPr>
              <w:spacing w:after="20"/>
            </w:pPr>
            <w:r/>
            <w:r>
              <w:rPr>
                <w:sz w:val="16"/>
              </w:rPr>
              <w:t>Rp14.614.776</w:t>
            </w:r>
          </w:p>
        </w:tc>
        <w:tc>
          <w:tcPr>
            <w:tcW w:type="dxa" w:w="1077"/>
          </w:tcPr>
          <w:p>
            <w:pPr>
              <w:spacing w:after="20"/>
            </w:pPr>
            <w:r/>
            <w:r>
              <w:rPr>
                <w:sz w:val="16"/>
              </w:rPr>
              <w:t>Rp24.193.776</w:t>
            </w:r>
          </w:p>
        </w:tc>
      </w:tr>
    </w:tbl>
    <w:p>
      <w:pPr>
        <w:spacing w:after="40"/>
      </w:pPr>
    </w:p>
    <w:p>
      <w:pPr>
        <w:spacing w:after="80"/>
      </w:pPr>
      <w:r>
        <w:rPr>
          <w:b w:val="0"/>
          <w:i w:val="0"/>
        </w:rPr>
        <w:t>Biaya satu kali, dibebankan pada bulan 4–15:</w:t>
      </w:r>
    </w:p>
    <w:tbl>
      <w:tblPr>
        <w:tblStyle w:val="LightGrid-Accent1"/>
        <w:tblW w:type="auto" w:w="0"/>
        <w:tblLayout w:type="fixed"/>
        <w:tblLook w:firstColumn="1" w:firstRow="1" w:lastColumn="0" w:lastRow="0" w:noHBand="0" w:noVBand="1" w:val="04A0"/>
      </w:tblPr>
      <w:tblGrid>
        <w:gridCol w:w="3475"/>
        <w:gridCol w:w="3475"/>
        <w:gridCol w:w="3475"/>
      </w:tblGrid>
      <w:tr>
        <w:tc>
          <w:tcPr>
            <w:tcW w:type="dxa" w:w="4876"/>
          </w:tcPr>
          <w:p>
            <w:r/>
            <w:r>
              <w:rPr>
                <w:b/>
                <w:sz w:val="17"/>
              </w:rPr>
              <w:t>Pos</w:t>
            </w:r>
          </w:p>
        </w:tc>
        <w:tc>
          <w:tcPr>
            <w:tcW w:type="dxa" w:w="1474"/>
          </w:tcPr>
          <w:p>
            <w:r/>
            <w:r>
              <w:rPr>
                <w:b/>
                <w:sz w:val="17"/>
              </w:rPr>
              <w:t>Nilai</w:t>
            </w:r>
          </w:p>
        </w:tc>
        <w:tc>
          <w:tcPr>
            <w:tcW w:type="dxa" w:w="3288"/>
          </w:tcPr>
          <w:p>
            <w:r/>
            <w:r>
              <w:rPr>
                <w:b/>
                <w:sz w:val="17"/>
              </w:rPr>
              <w:t>Dasar</w:t>
            </w:r>
          </w:p>
        </w:tc>
      </w:tr>
      <w:tr>
        <w:tc>
          <w:tcPr>
            <w:tcW w:type="dxa" w:w="4876"/>
          </w:tcPr>
          <w:p>
            <w:pPr>
              <w:spacing w:after="20"/>
            </w:pPr>
            <w:r/>
            <w:r>
              <w:rPr>
                <w:sz w:val="16"/>
              </w:rPr>
              <w:t>Implementasi &amp; integrasi awal — agen CS 320 jam, KYC 160, rekonsiliasi 200, fraud 180, BI 120, konten 80 = 1.060 jam internal + konsultan integrasi</w:t>
            </w:r>
          </w:p>
        </w:tc>
        <w:tc>
          <w:tcPr>
            <w:tcW w:type="dxa" w:w="1474"/>
          </w:tcPr>
          <w:p>
            <w:pPr>
              <w:spacing w:after="20"/>
            </w:pPr>
            <w:r/>
            <w:r>
              <w:rPr>
                <w:sz w:val="16"/>
              </w:rPr>
              <w:t>Rp250.000.000</w:t>
            </w:r>
          </w:p>
        </w:tc>
        <w:tc>
          <w:tcPr>
            <w:tcW w:type="dxa" w:w="3288"/>
          </w:tcPr>
          <w:p>
            <w:pPr>
              <w:spacing w:after="20"/>
            </w:pPr>
            <w:r/>
            <w:r>
              <w:rPr>
                <w:sz w:val="16"/>
              </w:rPr>
              <w:t>[ASUMSI] tarif internal Rp97.504/jam diturunkan dari CTC Backend Engineer (Mid) ÷ 160 jam</w:t>
            </w:r>
          </w:p>
        </w:tc>
      </w:tr>
      <w:tr>
        <w:tc>
          <w:tcPr>
            <w:tcW w:type="dxa" w:w="4876"/>
          </w:tcPr>
          <w:p>
            <w:pPr>
              <w:spacing w:after="20"/>
            </w:pPr>
            <w:r/>
            <w:r>
              <w:rPr>
                <w:sz w:val="16"/>
              </w:rPr>
              <w:t>Penilaian Dampak Pelindungan Data (4 sistem) + perjanjian pemrosesan data + kajian kesetaraan negara penerima</w:t>
            </w:r>
          </w:p>
        </w:tc>
        <w:tc>
          <w:tcPr>
            <w:tcW w:type="dxa" w:w="1474"/>
          </w:tcPr>
          <w:p>
            <w:pPr>
              <w:spacing w:after="20"/>
            </w:pPr>
            <w:r/>
            <w:r>
              <w:rPr>
                <w:sz w:val="16"/>
              </w:rPr>
              <w:t>Rp100.000.000</w:t>
            </w:r>
          </w:p>
        </w:tc>
        <w:tc>
          <w:tcPr>
            <w:tcW w:type="dxa" w:w="3288"/>
          </w:tcPr>
          <w:p>
            <w:pPr>
              <w:spacing w:after="20"/>
            </w:pPr>
            <w:r/>
            <w:r>
              <w:rPr>
                <w:sz w:val="16"/>
              </w:rPr>
              <w:t>[ASUMSI] kewajiban UU 27/2022 untuk pemrosesan berisiko tinggi dan transfer lintas negara [S-78]</w:t>
            </w:r>
          </w:p>
        </w:tc>
      </w:tr>
      <w:tr>
        <w:tc>
          <w:tcPr>
            <w:tcW w:type="dxa" w:w="4876"/>
          </w:tcPr>
          <w:p>
            <w:pPr>
              <w:spacing w:after="20"/>
            </w:pPr>
            <w:r/>
            <w:r>
              <w:rPr>
                <w:sz w:val="16"/>
              </w:rPr>
              <w:t>TOTAL SATU KALI</w:t>
            </w:r>
          </w:p>
        </w:tc>
        <w:tc>
          <w:tcPr>
            <w:tcW w:type="dxa" w:w="1474"/>
          </w:tcPr>
          <w:p>
            <w:pPr>
              <w:spacing w:after="20"/>
            </w:pPr>
            <w:r/>
            <w:r>
              <w:rPr>
                <w:sz w:val="16"/>
              </w:rPr>
              <w:t>Rp350.000.000</w:t>
            </w:r>
          </w:p>
        </w:tc>
        <w:tc>
          <w:tcPr>
            <w:tcW w:type="dxa" w:w="3288"/>
          </w:tcPr>
          <w:p>
            <w:pPr>
              <w:spacing w:after="20"/>
            </w:pPr>
            <w:r/>
            <w:r>
              <w:rPr>
                <w:sz w:val="16"/>
              </w:rPr>
            </w:r>
          </w:p>
        </w:tc>
      </w:tr>
    </w:tbl>
    <w:p>
      <w:pPr>
        <w:spacing w:after="40"/>
      </w:pPr>
    </w:p>
    <w:p>
      <w:pPr>
        <w:spacing w:after="80"/>
      </w:pPr>
      <w:r>
        <w:rPr>
          <w:b/>
          <w:i w:val="0"/>
        </w:rPr>
        <w:t>Total biaya AI Skenario B selama 24 bulan, termasuk biaya satu kali: Rp1.610.467.564. Total biaya AI Skenario C: Rp2.157.658.490.</w:t>
      </w:r>
    </w:p>
    <w:p>
      <w:pPr>
        <w:pStyle w:val="Heading2"/>
      </w:pPr>
      <w:r>
        <w:rPr>
          <w:color w:val="1F3B63"/>
        </w:rPr>
        <w:t>4.1  Kepatuhan UU PDP untuk data yang dikirim ke penyedia luar negeri</w:t>
      </w:r>
    </w:p>
    <w:p>
      <w:pPr>
        <w:spacing w:after="80"/>
      </w:pPr>
      <w:r>
        <w:rPr>
          <w:b w:val="0"/>
          <w:i w:val="0"/>
        </w:rPr>
        <w:t>Pasal 56 UU 27/2022 mewajibkan pengendali data memastikan negara penerima memiliki tingkat pelindungan yang setara atau lebih tinggi, atau adanya pelindungan yang memadai dan mengikat; bila tidak, diperlukan persetujuan subjek data [S-78]. Tiga aturan operasional yang diusulkan menjadi kebijakan tertulis:</w:t>
      </w:r>
    </w:p>
    <w:p>
      <w:pPr>
        <w:pStyle w:val="ListNumber"/>
        <w:spacing w:after="40"/>
      </w:pPr>
      <w:r>
        <w:t>Data identitas resmi — foto KTP, SIM, STNK, dan swafoto — TIDAK BOLEH keluar wilayah Indonesia. Karena itu T-03 diusulkan memakai penyedia lokal berizin meskipun harganya lebih tinggi daripada pembanding luar negeri.</w:t>
      </w:r>
    </w:p>
    <w:p>
      <w:pPr>
        <w:pStyle w:val="ListNumber"/>
        <w:spacing w:after="40"/>
      </w:pPr>
      <w:r>
        <w:t>Prompt yang dikirim ke API model bahasa luar negeri wajib melewati lapisan penyamaran: NIK, nomor telepon, alamat, nomor plat, dan nomor rekening diganti token pengganti sebelum keluar. Ini pekerjaan integrasi, bukan pengaturan.</w:t>
      </w:r>
    </w:p>
    <w:p>
      <w:pPr>
        <w:pStyle w:val="ListNumber"/>
        <w:spacing w:after="40"/>
      </w:pPr>
      <w:r>
        <w:t>Setiap penyedia luar negeri wajib memiliki perjanjian pemrosesan data yang ditandatangani sebelum produksi, dan namanya masuk register kegiatan pemrosesan yang dipelihara DPO (JD-22).</w:t>
      </w:r>
    </w:p>
    <w:p>
      <w:pPr>
        <w:spacing w:after="80"/>
      </w:pPr>
      <w:r>
        <w:rPr>
          <w:b w:val="0"/>
          <w:i/>
          <w:sz w:val="18"/>
        </w:rPr>
        <w:t>Sanksi administratif atas pelanggaran mencapai 2% pendapatan tahunan — sudah tercatat sebagai risiko R-04 pada register risiko manual organisasi.</w:t>
      </w:r>
    </w:p>
    <w:p>
      <w:r>
        <w:br w:type="page"/>
      </w:r>
    </w:p>
    <w:p>
      <w:pPr>
        <w:pStyle w:val="Heading1"/>
      </w:pPr>
      <w:r>
        <w:rPr>
          <w:color w:val="1F3B63"/>
        </w:rPr>
        <w:t>Bab 5  Perbandingan Skenario dan Sensitivitas</w:t>
      </w:r>
    </w:p>
    <w:p>
      <w:pPr>
        <w:pStyle w:val="Heading2"/>
      </w:pPr>
      <w:r>
        <w:rPr>
          <w:color w:val="1F3B63"/>
        </w:rPr>
        <w:t>5.1  Isi tiap skenario</w:t>
      </w:r>
    </w:p>
    <w:p>
      <w:pPr>
        <w:spacing w:after="80"/>
      </w:pPr>
      <w:r>
        <w:rPr>
          <w:b w:val="0"/>
          <w:i w:val="0"/>
        </w:rPr>
        <w:t>Skenario A adalah baseline model biaya SDM yang berlaku: 9 / 24 / 42 orang, biaya bulanan Rp230.332.093 / Rp435.555.487 / Rp636.272.062, kumulatif SDM 24 bulan Rp11.689.208.853. Angka ini disalin persis; uji kecocokan pada lembar model menghasilkan selisih nol.</w:t>
      </w:r>
    </w:p>
    <w:p>
      <w:pPr>
        <w:spacing w:after="80"/>
      </w:pPr>
      <w:r>
        <w:rPr>
          <w:b w:val="0"/>
          <w:i w:val="0"/>
        </w:rPr>
        <w:t>Skenario B memangkas 12 posisi pada Fase 2 (3 di antaranya sudah pada Fase 1):</w:t>
      </w:r>
    </w:p>
    <w:tbl>
      <w:tblPr>
        <w:tblStyle w:val="LightGrid-Accent1"/>
        <w:tblW w:type="auto" w:w="0"/>
        <w:tblLayout w:type="fixed"/>
        <w:tblLook w:firstColumn="1" w:firstRow="1" w:lastColumn="0" w:lastRow="0" w:noHBand="0" w:noVBand="1" w:val="04A0"/>
      </w:tblPr>
      <w:tblGrid>
        <w:gridCol w:w="2606"/>
        <w:gridCol w:w="2606"/>
        <w:gridCol w:w="2606"/>
        <w:gridCol w:w="2606"/>
      </w:tblGrid>
      <w:tr>
        <w:tc>
          <w:tcPr>
            <w:tcW w:type="dxa" w:w="2608"/>
          </w:tcPr>
          <w:p>
            <w:r/>
            <w:r>
              <w:rPr>
                <w:b/>
                <w:sz w:val="17"/>
              </w:rPr>
              <w:t>Posisi yang dipangkas</w:t>
            </w:r>
          </w:p>
        </w:tc>
        <w:tc>
          <w:tcPr>
            <w:tcW w:type="dxa" w:w="567"/>
          </w:tcPr>
          <w:p>
            <w:r/>
            <w:r>
              <w:rPr>
                <w:b/>
                <w:sz w:val="17"/>
              </w:rPr>
              <w:t>Orang</w:t>
            </w:r>
          </w:p>
        </w:tc>
        <w:tc>
          <w:tcPr>
            <w:tcW w:type="dxa" w:w="3061"/>
          </w:tcPr>
          <w:p>
            <w:r/>
            <w:r>
              <w:rPr>
                <w:b/>
                <w:sz w:val="17"/>
              </w:rPr>
              <w:t>Alasan</w:t>
            </w:r>
          </w:p>
        </w:tc>
        <w:tc>
          <w:tcPr>
            <w:tcW w:type="dxa" w:w="3061"/>
          </w:tcPr>
          <w:p>
            <w:r/>
            <w:r>
              <w:rPr>
                <w:b/>
                <w:sz w:val="17"/>
              </w:rPr>
              <w:t>Ke mana akuntabilitasnya pindah</w:t>
            </w:r>
          </w:p>
        </w:tc>
      </w:tr>
      <w:tr>
        <w:tc>
          <w:tcPr>
            <w:tcW w:type="dxa" w:w="2608"/>
          </w:tcPr>
          <w:p>
            <w:pPr>
              <w:spacing w:after="20"/>
            </w:pPr>
            <w:r/>
            <w:r>
              <w:rPr>
                <w:sz w:val="16"/>
              </w:rPr>
              <w:t>Mobile Engineer (Mid) — dasar dan gelombang 2</w:t>
            </w:r>
          </w:p>
        </w:tc>
        <w:tc>
          <w:tcPr>
            <w:tcW w:type="dxa" w:w="567"/>
          </w:tcPr>
          <w:p>
            <w:pPr>
              <w:spacing w:after="20"/>
            </w:pPr>
            <w:r/>
            <w:r>
              <w:rPr>
                <w:sz w:val="16"/>
              </w:rPr>
              <w:t>2</w:t>
            </w:r>
          </w:p>
        </w:tc>
        <w:tc>
          <w:tcPr>
            <w:tcW w:type="dxa" w:w="3061"/>
          </w:tcPr>
          <w:p>
            <w:pPr>
              <w:spacing w:after="20"/>
            </w:pPr>
            <w:r/>
            <w:r>
              <w:rPr>
                <w:sz w:val="16"/>
              </w:rPr>
              <w:t>Skor 68; pekerjaan membangun layar dan memperbaiki cacat adalah yang paling langsung terbantu agen koding</w:t>
            </w:r>
          </w:p>
        </w:tc>
        <w:tc>
          <w:tcPr>
            <w:tcW w:type="dxa" w:w="3061"/>
          </w:tcPr>
          <w:p>
            <w:pPr>
              <w:spacing w:after="20"/>
            </w:pPr>
            <w:r/>
            <w:r>
              <w:rPr>
                <w:sz w:val="16"/>
              </w:rPr>
              <w:t>Mobile Engineer (Senior)</w:t>
            </w:r>
          </w:p>
        </w:tc>
      </w:tr>
      <w:tr>
        <w:tc>
          <w:tcPr>
            <w:tcW w:type="dxa" w:w="2608"/>
          </w:tcPr>
          <w:p>
            <w:pPr>
              <w:spacing w:after="20"/>
            </w:pPr>
            <w:r/>
            <w:r>
              <w:rPr>
                <w:sz w:val="16"/>
              </w:rPr>
              <w:t>Backend Engineer (Mid) gelombang 2</w:t>
            </w:r>
          </w:p>
        </w:tc>
        <w:tc>
          <w:tcPr>
            <w:tcW w:type="dxa" w:w="567"/>
          </w:tcPr>
          <w:p>
            <w:pPr>
              <w:spacing w:after="20"/>
            </w:pPr>
            <w:r/>
            <w:r>
              <w:rPr>
                <w:sz w:val="16"/>
              </w:rPr>
              <w:t>1</w:t>
            </w:r>
          </w:p>
        </w:tc>
        <w:tc>
          <w:tcPr>
            <w:tcW w:type="dxa" w:w="3061"/>
          </w:tcPr>
          <w:p>
            <w:pPr>
              <w:spacing w:after="20"/>
            </w:pPr>
            <w:r/>
            <w:r>
              <w:rPr>
                <w:sz w:val="16"/>
              </w:rPr>
              <w:t>Skor 64; fungsi non-keuangan (katalog, tiket, notifikasi)</w:t>
            </w:r>
          </w:p>
        </w:tc>
        <w:tc>
          <w:tcPr>
            <w:tcW w:type="dxa" w:w="3061"/>
          </w:tcPr>
          <w:p>
            <w:pPr>
              <w:spacing w:after="20"/>
            </w:pPr>
            <w:r/>
            <w:r>
              <w:rPr>
                <w:sz w:val="16"/>
              </w:rPr>
              <w:t>Backend Engineer (Mid) dasar, dialihfungsikan sebagai pemelihara otomasi</w:t>
            </w:r>
          </w:p>
        </w:tc>
      </w:tr>
      <w:tr>
        <w:tc>
          <w:tcPr>
            <w:tcW w:type="dxa" w:w="2608"/>
          </w:tcPr>
          <w:p>
            <w:pPr>
              <w:spacing w:after="20"/>
            </w:pPr>
            <w:r/>
            <w:r>
              <w:rPr>
                <w:sz w:val="16"/>
              </w:rPr>
              <w:t>QA Engineer — dasar dan gelombang 2</w:t>
            </w:r>
          </w:p>
        </w:tc>
        <w:tc>
          <w:tcPr>
            <w:tcW w:type="dxa" w:w="567"/>
          </w:tcPr>
          <w:p>
            <w:pPr>
              <w:spacing w:after="20"/>
            </w:pPr>
            <w:r/>
            <w:r>
              <w:rPr>
                <w:sz w:val="16"/>
              </w:rPr>
              <w:t>2</w:t>
            </w:r>
          </w:p>
        </w:tc>
        <w:tc>
          <w:tcPr>
            <w:tcW w:type="dxa" w:w="3061"/>
          </w:tcPr>
          <w:p>
            <w:pPr>
              <w:spacing w:after="20"/>
            </w:pPr>
            <w:r/>
            <w:r>
              <w:rPr>
                <w:sz w:val="16"/>
              </w:rPr>
              <w:t>Skor 75; simulasi e2e dan sapuan rute sudah berupa skrip</w:t>
            </w:r>
          </w:p>
        </w:tc>
        <w:tc>
          <w:tcPr>
            <w:tcW w:type="dxa" w:w="3061"/>
          </w:tcPr>
          <w:p>
            <w:pPr>
              <w:spacing w:after="20"/>
            </w:pPr>
            <w:r/>
            <w:r>
              <w:rPr>
                <w:sz w:val="16"/>
              </w:rPr>
              <w:t>Engineering Manager memegang hak menahan rilis (SOP-11 wajib diubah lebih dulu)</w:t>
            </w:r>
          </w:p>
        </w:tc>
      </w:tr>
      <w:tr>
        <w:tc>
          <w:tcPr>
            <w:tcW w:type="dxa" w:w="2608"/>
          </w:tcPr>
          <w:p>
            <w:pPr>
              <w:spacing w:after="20"/>
            </w:pPr>
            <w:r/>
            <w:r>
              <w:rPr>
                <w:sz w:val="16"/>
              </w:rPr>
              <w:t>Junior Software Engineer (Pekanbaru)</w:t>
            </w:r>
          </w:p>
        </w:tc>
        <w:tc>
          <w:tcPr>
            <w:tcW w:type="dxa" w:w="567"/>
          </w:tcPr>
          <w:p>
            <w:pPr>
              <w:spacing w:after="20"/>
            </w:pPr>
            <w:r/>
            <w:r>
              <w:rPr>
                <w:sz w:val="16"/>
              </w:rPr>
              <w:t>1</w:t>
            </w:r>
          </w:p>
        </w:tc>
        <w:tc>
          <w:tcPr>
            <w:tcW w:type="dxa" w:w="3061"/>
          </w:tcPr>
          <w:p>
            <w:pPr>
              <w:spacing w:after="20"/>
            </w:pPr>
            <w:r/>
            <w:r>
              <w:rPr>
                <w:sz w:val="16"/>
              </w:rPr>
              <w:t>Skor 82; pekerjaan tugas kecil adalah yang paling tergantikan</w:t>
            </w:r>
          </w:p>
        </w:tc>
        <w:tc>
          <w:tcPr>
            <w:tcW w:type="dxa" w:w="3061"/>
          </w:tcPr>
          <w:p>
            <w:pPr>
              <w:spacing w:after="20"/>
            </w:pPr>
            <w:r/>
            <w:r>
              <w:rPr>
                <w:sz w:val="16"/>
              </w:rPr>
              <w:t>Engineering Manager. Baris Padang DIPERTAHANKAN sebagai keputusan kaderisasi lokal</w:t>
            </w:r>
          </w:p>
        </w:tc>
      </w:tr>
      <w:tr>
        <w:tc>
          <w:tcPr>
            <w:tcW w:type="dxa" w:w="2608"/>
          </w:tcPr>
          <w:p>
            <w:pPr>
              <w:spacing w:after="20"/>
            </w:pPr>
            <w:r/>
            <w:r>
              <w:rPr>
                <w:sz w:val="16"/>
              </w:rPr>
              <w:t>Product Designer gelombang 2</w:t>
            </w:r>
          </w:p>
        </w:tc>
        <w:tc>
          <w:tcPr>
            <w:tcW w:type="dxa" w:w="567"/>
          </w:tcPr>
          <w:p>
            <w:pPr>
              <w:spacing w:after="20"/>
            </w:pPr>
            <w:r/>
            <w:r>
              <w:rPr>
                <w:sz w:val="16"/>
              </w:rPr>
              <w:t>1</w:t>
            </w:r>
          </w:p>
        </w:tc>
        <w:tc>
          <w:tcPr>
            <w:tcW w:type="dxa" w:w="3061"/>
          </w:tcPr>
          <w:p>
            <w:pPr>
              <w:spacing w:after="20"/>
            </w:pPr>
            <w:r/>
            <w:r>
              <w:rPr>
                <w:sz w:val="16"/>
              </w:rPr>
              <w:t>Skor 59; satu desainer cukup bila sistem desain sudah mapan</w:t>
            </w:r>
          </w:p>
        </w:tc>
        <w:tc>
          <w:tcPr>
            <w:tcW w:type="dxa" w:w="3061"/>
          </w:tcPr>
          <w:p>
            <w:pPr>
              <w:spacing w:after="20"/>
            </w:pPr>
            <w:r/>
            <w:r>
              <w:rPr>
                <w:sz w:val="16"/>
              </w:rPr>
              <w:t>Product Designer dasar</w:t>
            </w:r>
          </w:p>
        </w:tc>
      </w:tr>
      <w:tr>
        <w:tc>
          <w:tcPr>
            <w:tcW w:type="dxa" w:w="2608"/>
          </w:tcPr>
          <w:p>
            <w:pPr>
              <w:spacing w:after="20"/>
            </w:pPr>
            <w:r/>
            <w:r>
              <w:rPr>
                <w:sz w:val="16"/>
              </w:rPr>
              <w:t>Data Analyst</w:t>
            </w:r>
          </w:p>
        </w:tc>
        <w:tc>
          <w:tcPr>
            <w:tcW w:type="dxa" w:w="567"/>
          </w:tcPr>
          <w:p>
            <w:pPr>
              <w:spacing w:after="20"/>
            </w:pPr>
            <w:r/>
            <w:r>
              <w:rPr>
                <w:sz w:val="16"/>
              </w:rPr>
              <w:t>1</w:t>
            </w:r>
          </w:p>
        </w:tc>
        <w:tc>
          <w:tcPr>
            <w:tcW w:type="dxa" w:w="3061"/>
          </w:tcPr>
          <w:p>
            <w:pPr>
              <w:spacing w:after="20"/>
            </w:pPr>
            <w:r/>
            <w:r>
              <w:rPr>
                <w:sz w:val="16"/>
              </w:rPr>
              <w:t>Skor 74; produksi laporan dan audit KPI dapat dijalankan BI bahasa alami</w:t>
            </w:r>
          </w:p>
        </w:tc>
        <w:tc>
          <w:tcPr>
            <w:tcW w:type="dxa" w:w="3061"/>
          </w:tcPr>
          <w:p>
            <w:pPr>
              <w:spacing w:after="20"/>
            </w:pPr>
            <w:r/>
            <w:r>
              <w:rPr>
                <w:sz w:val="16"/>
              </w:rPr>
              <w:t>Head of Finance memegang definisi resmi metrik</w:t>
            </w:r>
          </w:p>
        </w:tc>
      </w:tr>
      <w:tr>
        <w:tc>
          <w:tcPr>
            <w:tcW w:type="dxa" w:w="2608"/>
          </w:tcPr>
          <w:p>
            <w:pPr>
              <w:spacing w:after="20"/>
            </w:pPr>
            <w:r/>
            <w:r>
              <w:rPr>
                <w:sz w:val="16"/>
              </w:rPr>
              <w:t>CS Agent Pekanbaru (1 dari 3) dan Padang (1 dari 2)</w:t>
            </w:r>
          </w:p>
        </w:tc>
        <w:tc>
          <w:tcPr>
            <w:tcW w:type="dxa" w:w="567"/>
          </w:tcPr>
          <w:p>
            <w:pPr>
              <w:spacing w:after="20"/>
            </w:pPr>
            <w:r/>
            <w:r>
              <w:rPr>
                <w:sz w:val="16"/>
              </w:rPr>
              <w:t>2</w:t>
            </w:r>
          </w:p>
        </w:tc>
        <w:tc>
          <w:tcPr>
            <w:tcW w:type="dxa" w:w="3061"/>
          </w:tcPr>
          <w:p>
            <w:pPr>
              <w:spacing w:after="20"/>
            </w:pPr>
            <w:r/>
            <w:r>
              <w:rPr>
                <w:sz w:val="16"/>
              </w:rPr>
              <w:t>Skor 78; deflection 60% menurunkan beban, tetapi bukan kebutuhan shift</w:t>
            </w:r>
          </w:p>
        </w:tc>
        <w:tc>
          <w:tcPr>
            <w:tcW w:type="dxa" w:w="3061"/>
          </w:tcPr>
          <w:p>
            <w:pPr>
              <w:spacing w:after="20"/>
            </w:pPr>
            <w:r/>
            <w:r>
              <w:rPr>
                <w:sz w:val="16"/>
              </w:rPr>
              <w:t>Head of Customer Experience; lantai 3 orang tidak boleh dilanggar</w:t>
            </w:r>
          </w:p>
        </w:tc>
      </w:tr>
      <w:tr>
        <w:tc>
          <w:tcPr>
            <w:tcW w:type="dxa" w:w="2608"/>
          </w:tcPr>
          <w:p>
            <w:pPr>
              <w:spacing w:after="20"/>
            </w:pPr>
            <w:r/>
            <w:r>
              <w:rPr>
                <w:sz w:val="16"/>
              </w:rPr>
              <w:t>Digital Marketing Staff</w:t>
            </w:r>
          </w:p>
        </w:tc>
        <w:tc>
          <w:tcPr>
            <w:tcW w:type="dxa" w:w="567"/>
          </w:tcPr>
          <w:p>
            <w:pPr>
              <w:spacing w:after="20"/>
            </w:pPr>
            <w:r/>
            <w:r>
              <w:rPr>
                <w:sz w:val="16"/>
              </w:rPr>
              <w:t>1</w:t>
            </w:r>
          </w:p>
        </w:tc>
        <w:tc>
          <w:tcPr>
            <w:tcW w:type="dxa" w:w="3061"/>
          </w:tcPr>
          <w:p>
            <w:pPr>
              <w:spacing w:after="20"/>
            </w:pPr>
            <w:r/>
            <w:r>
              <w:rPr>
                <w:sz w:val="16"/>
              </w:rPr>
              <w:t>Skor 76; konten, kampanye, dan pengukuran dapat diotomasi</w:t>
            </w:r>
          </w:p>
        </w:tc>
        <w:tc>
          <w:tcPr>
            <w:tcW w:type="dxa" w:w="3061"/>
          </w:tcPr>
          <w:p>
            <w:pPr>
              <w:spacing w:after="20"/>
            </w:pPr>
            <w:r/>
            <w:r>
              <w:rPr>
                <w:sz w:val="16"/>
              </w:rPr>
              <w:t>Head of Growth &amp; Partnership memegang pagu belanja iklan</w:t>
            </w:r>
          </w:p>
        </w:tc>
      </w:tr>
      <w:tr>
        <w:tc>
          <w:tcPr>
            <w:tcW w:type="dxa" w:w="2608"/>
          </w:tcPr>
          <w:p>
            <w:pPr>
              <w:spacing w:after="20"/>
            </w:pPr>
            <w:r/>
            <w:r>
              <w:rPr>
                <w:sz w:val="16"/>
              </w:rPr>
              <w:t>Finance &amp; Accounting Staff Padang</w:t>
            </w:r>
          </w:p>
        </w:tc>
        <w:tc>
          <w:tcPr>
            <w:tcW w:type="dxa" w:w="567"/>
          </w:tcPr>
          <w:p>
            <w:pPr>
              <w:spacing w:after="20"/>
            </w:pPr>
            <w:r/>
            <w:r>
              <w:rPr>
                <w:sz w:val="16"/>
              </w:rPr>
              <w:t>1</w:t>
            </w:r>
          </w:p>
        </w:tc>
        <w:tc>
          <w:tcPr>
            <w:tcW w:type="dxa" w:w="3061"/>
          </w:tcPr>
          <w:p>
            <w:pPr>
              <w:spacing w:after="20"/>
            </w:pPr>
            <w:r/>
            <w:r>
              <w:rPr>
                <w:sz w:val="16"/>
              </w:rPr>
              <w:t>Skor 63; pembukuan dan pemrosesan terpusat</w:t>
            </w:r>
          </w:p>
        </w:tc>
        <w:tc>
          <w:tcPr>
            <w:tcW w:type="dxa" w:w="3061"/>
          </w:tcPr>
          <w:p>
            <w:pPr>
              <w:spacing w:after="20"/>
            </w:pPr>
            <w:r/>
            <w:r>
              <w:rPr>
                <w:sz w:val="16"/>
              </w:rPr>
              <w:t>Finance &amp; Accounting Staff Pekanbaru</w:t>
            </w:r>
          </w:p>
        </w:tc>
      </w:tr>
    </w:tbl>
    <w:p>
      <w:pPr>
        <w:spacing w:after="40"/>
      </w:pPr>
    </w:p>
    <w:p>
      <w:pPr>
        <w:spacing w:after="80"/>
      </w:pPr>
      <w:r>
        <w:rPr>
          <w:b w:val="0"/>
          <w:i w:val="0"/>
        </w:rPr>
        <w:t>Yang TIDAK dipangkas pada Skenario B, dan alasannya: seluruh peran lapangan (2 City Manager, 2 Ops Supervisor, 4 Partner Acquisition, 1 Merchant Acquisition), Backend Engineer Senior gelombang 2 (agar modul dompet tidak bergantung pada satu orang), Treasury/Settlement Officer (pemisahan tugas), Trust &amp; Safety Officer, Head of Legal &amp; Compliance merangkap DPO, dan seluruh direksi.</w:t>
      </w:r>
    </w:p>
    <w:p>
      <w:pPr>
        <w:spacing w:after="80"/>
      </w:pPr>
      <w:r>
        <w:rPr>
          <w:b w:val="0"/>
          <w:i w:val="0"/>
        </w:rPr>
        <w:t>Skenario C memangkas 11 posisi tambahan sehingga Fase 2 menjadi 19 orang. Ia menghapus Treasury/Settlement Officer, Head of Customer Experience, Ops Supervisor Padang, Merchant Acquisition Officer, Product Designer, Backend Engineer Senior gelombang 2, Backend Engineer Mid, dan menurunkan CS Agent menjadi satu orang di Pekanbaru dan nol di Padang.</w:t>
      </w:r>
    </w:p>
    <w:p>
      <w:pPr>
        <w:sectPr>
          <w:pgSz w:w="12240" w:h="15840"/>
          <w:pgMar w:top="907" w:right="907" w:bottom="907" w:left="907" w:header="720" w:footer="720" w:gutter="0"/>
          <w:cols w:space="720"/>
          <w:docGrid w:linePitch="360"/>
        </w:sectPr>
      </w:pPr>
    </w:p>
    <w:p>
      <w:pPr>
        <w:pStyle w:val="Heading2"/>
      </w:pPr>
      <w:r>
        <w:rPr>
          <w:color w:val="1F3B63"/>
        </w:rPr>
        <w:t>5.2  Perbandingan per fase</w:t>
      </w:r>
    </w:p>
    <w:tbl>
      <w:tblPr>
        <w:tblStyle w:val="LightGrid-Accent1"/>
        <w:tblW w:type="auto" w:w="0"/>
        <w:tblLayout w:type="fixed"/>
        <w:tblLook w:firstColumn="1" w:firstRow="1" w:lastColumn="0" w:lastRow="0" w:noHBand="0" w:noVBand="1" w:val="04A0"/>
      </w:tblPr>
      <w:tblGrid>
        <w:gridCol w:w="1403"/>
        <w:gridCol w:w="1403"/>
        <w:gridCol w:w="1403"/>
        <w:gridCol w:w="1403"/>
        <w:gridCol w:w="1403"/>
        <w:gridCol w:w="1403"/>
        <w:gridCol w:w="1403"/>
        <w:gridCol w:w="1403"/>
        <w:gridCol w:w="1403"/>
        <w:gridCol w:w="1403"/>
      </w:tblGrid>
      <w:tr>
        <w:tc>
          <w:tcPr>
            <w:tcW w:type="dxa" w:w="1191"/>
          </w:tcPr>
          <w:p>
            <w:r/>
            <w:r>
              <w:rPr>
                <w:b/>
                <w:sz w:val="17"/>
              </w:rPr>
              <w:t>Pos</w:t>
            </w:r>
          </w:p>
        </w:tc>
        <w:tc>
          <w:tcPr>
            <w:tcW w:type="dxa" w:w="1049"/>
          </w:tcPr>
          <w:p>
            <w:r/>
            <w:r>
              <w:rPr>
                <w:b/>
                <w:sz w:val="17"/>
              </w:rPr>
              <w:t>Fase 0 — A</w:t>
            </w:r>
          </w:p>
        </w:tc>
        <w:tc>
          <w:tcPr>
            <w:tcW w:type="dxa" w:w="1049"/>
          </w:tcPr>
          <w:p>
            <w:r/>
            <w:r>
              <w:rPr>
                <w:b/>
                <w:sz w:val="17"/>
              </w:rPr>
              <w:t>Fase 0 — B</w:t>
            </w:r>
          </w:p>
        </w:tc>
        <w:tc>
          <w:tcPr>
            <w:tcW w:type="dxa" w:w="1049"/>
          </w:tcPr>
          <w:p>
            <w:r/>
            <w:r>
              <w:rPr>
                <w:b/>
                <w:sz w:val="17"/>
              </w:rPr>
              <w:t>Fase 0 — C</w:t>
            </w:r>
          </w:p>
        </w:tc>
        <w:tc>
          <w:tcPr>
            <w:tcW w:type="dxa" w:w="1049"/>
          </w:tcPr>
          <w:p>
            <w:r/>
            <w:r>
              <w:rPr>
                <w:b/>
                <w:sz w:val="17"/>
              </w:rPr>
              <w:t>Fase 1 — A</w:t>
            </w:r>
          </w:p>
        </w:tc>
        <w:tc>
          <w:tcPr>
            <w:tcW w:type="dxa" w:w="1049"/>
          </w:tcPr>
          <w:p>
            <w:r/>
            <w:r>
              <w:rPr>
                <w:b/>
                <w:sz w:val="17"/>
              </w:rPr>
              <w:t>Fase 1 — B</w:t>
            </w:r>
          </w:p>
        </w:tc>
        <w:tc>
          <w:tcPr>
            <w:tcW w:type="dxa" w:w="1049"/>
          </w:tcPr>
          <w:p>
            <w:r/>
            <w:r>
              <w:rPr>
                <w:b/>
                <w:sz w:val="17"/>
              </w:rPr>
              <w:t>Fase 1 — C</w:t>
            </w:r>
          </w:p>
        </w:tc>
        <w:tc>
          <w:tcPr>
            <w:tcW w:type="dxa" w:w="1049"/>
          </w:tcPr>
          <w:p>
            <w:r/>
            <w:r>
              <w:rPr>
                <w:b/>
                <w:sz w:val="17"/>
              </w:rPr>
              <w:t>Fase 2 — A</w:t>
            </w:r>
          </w:p>
        </w:tc>
        <w:tc>
          <w:tcPr>
            <w:tcW w:type="dxa" w:w="1049"/>
          </w:tcPr>
          <w:p>
            <w:r/>
            <w:r>
              <w:rPr>
                <w:b/>
                <w:sz w:val="17"/>
              </w:rPr>
              <w:t>Fase 2 — B</w:t>
            </w:r>
          </w:p>
        </w:tc>
        <w:tc>
          <w:tcPr>
            <w:tcW w:type="dxa" w:w="1049"/>
          </w:tcPr>
          <w:p>
            <w:r/>
            <w:r>
              <w:rPr>
                <w:b/>
                <w:sz w:val="17"/>
              </w:rPr>
              <w:t>Fase 2 — C</w:t>
            </w:r>
          </w:p>
        </w:tc>
      </w:tr>
      <w:tr>
        <w:tc>
          <w:tcPr>
            <w:tcW w:type="dxa" w:w="1191"/>
          </w:tcPr>
          <w:p>
            <w:pPr>
              <w:spacing w:after="20"/>
            </w:pPr>
            <w:r/>
            <w:r>
              <w:rPr>
                <w:sz w:val="14"/>
              </w:rPr>
              <w:t>Headcount</w:t>
            </w:r>
          </w:p>
        </w:tc>
        <w:tc>
          <w:tcPr>
            <w:tcW w:type="dxa" w:w="1049"/>
          </w:tcPr>
          <w:p>
            <w:pPr>
              <w:spacing w:after="20"/>
            </w:pPr>
            <w:r/>
            <w:r>
              <w:rPr>
                <w:sz w:val="14"/>
              </w:rPr>
              <w:t>9</w:t>
            </w:r>
          </w:p>
        </w:tc>
        <w:tc>
          <w:tcPr>
            <w:tcW w:type="dxa" w:w="1049"/>
          </w:tcPr>
          <w:p>
            <w:pPr>
              <w:spacing w:after="20"/>
            </w:pPr>
            <w:r/>
            <w:r>
              <w:rPr>
                <w:sz w:val="14"/>
              </w:rPr>
              <w:t>9</w:t>
            </w:r>
          </w:p>
        </w:tc>
        <w:tc>
          <w:tcPr>
            <w:tcW w:type="dxa" w:w="1049"/>
          </w:tcPr>
          <w:p>
            <w:pPr>
              <w:spacing w:after="20"/>
            </w:pPr>
            <w:r/>
            <w:r>
              <w:rPr>
                <w:sz w:val="14"/>
              </w:rPr>
              <w:t>8</w:t>
            </w:r>
          </w:p>
        </w:tc>
        <w:tc>
          <w:tcPr>
            <w:tcW w:type="dxa" w:w="1049"/>
          </w:tcPr>
          <w:p>
            <w:pPr>
              <w:spacing w:after="20"/>
            </w:pPr>
            <w:r/>
            <w:r>
              <w:rPr>
                <w:sz w:val="14"/>
              </w:rPr>
              <w:t>24</w:t>
            </w:r>
          </w:p>
        </w:tc>
        <w:tc>
          <w:tcPr>
            <w:tcW w:type="dxa" w:w="1049"/>
          </w:tcPr>
          <w:p>
            <w:pPr>
              <w:spacing w:after="20"/>
            </w:pPr>
            <w:r/>
            <w:r>
              <w:rPr>
                <w:sz w:val="14"/>
              </w:rPr>
              <w:t>21</w:t>
            </w:r>
          </w:p>
        </w:tc>
        <w:tc>
          <w:tcPr>
            <w:tcW w:type="dxa" w:w="1049"/>
          </w:tcPr>
          <w:p>
            <w:pPr>
              <w:spacing w:after="20"/>
            </w:pPr>
            <w:r/>
            <w:r>
              <w:rPr>
                <w:sz w:val="14"/>
              </w:rPr>
              <w:t>17</w:t>
            </w:r>
          </w:p>
        </w:tc>
        <w:tc>
          <w:tcPr>
            <w:tcW w:type="dxa" w:w="1049"/>
          </w:tcPr>
          <w:p>
            <w:pPr>
              <w:spacing w:after="20"/>
            </w:pPr>
            <w:r/>
            <w:r>
              <w:rPr>
                <w:sz w:val="14"/>
              </w:rPr>
              <w:t>42</w:t>
            </w:r>
          </w:p>
        </w:tc>
        <w:tc>
          <w:tcPr>
            <w:tcW w:type="dxa" w:w="1049"/>
          </w:tcPr>
          <w:p>
            <w:pPr>
              <w:spacing w:after="20"/>
            </w:pPr>
            <w:r/>
            <w:r>
              <w:rPr>
                <w:sz w:val="14"/>
              </w:rPr>
              <w:t>30</w:t>
            </w:r>
          </w:p>
        </w:tc>
        <w:tc>
          <w:tcPr>
            <w:tcW w:type="dxa" w:w="1049"/>
          </w:tcPr>
          <w:p>
            <w:pPr>
              <w:spacing w:after="20"/>
            </w:pPr>
            <w:r/>
            <w:r>
              <w:rPr>
                <w:sz w:val="14"/>
              </w:rPr>
              <w:t>19</w:t>
            </w:r>
          </w:p>
        </w:tc>
      </w:tr>
      <w:tr>
        <w:tc>
          <w:tcPr>
            <w:tcW w:type="dxa" w:w="1191"/>
          </w:tcPr>
          <w:p>
            <w:pPr>
              <w:spacing w:after="20"/>
            </w:pPr>
            <w:r/>
            <w:r>
              <w:rPr>
                <w:sz w:val="14"/>
              </w:rPr>
              <w:t>Biaya SDM/bln</w:t>
            </w:r>
          </w:p>
        </w:tc>
        <w:tc>
          <w:tcPr>
            <w:tcW w:type="dxa" w:w="1049"/>
          </w:tcPr>
          <w:p>
            <w:pPr>
              <w:spacing w:after="20"/>
            </w:pPr>
            <w:r/>
            <w:r>
              <w:rPr>
                <w:sz w:val="14"/>
              </w:rPr>
              <w:t>Rp230.332.093</w:t>
            </w:r>
          </w:p>
        </w:tc>
        <w:tc>
          <w:tcPr>
            <w:tcW w:type="dxa" w:w="1049"/>
          </w:tcPr>
          <w:p>
            <w:pPr>
              <w:spacing w:after="20"/>
            </w:pPr>
            <w:r/>
            <w:r>
              <w:rPr>
                <w:sz w:val="14"/>
              </w:rPr>
              <w:t>Rp230.332.093</w:t>
            </w:r>
          </w:p>
        </w:tc>
        <w:tc>
          <w:tcPr>
            <w:tcW w:type="dxa" w:w="1049"/>
          </w:tcPr>
          <w:p>
            <w:pPr>
              <w:spacing w:after="20"/>
            </w:pPr>
            <w:r/>
            <w:r>
              <w:rPr>
                <w:sz w:val="14"/>
              </w:rPr>
              <w:t>Rp213.489.957</w:t>
            </w:r>
          </w:p>
        </w:tc>
        <w:tc>
          <w:tcPr>
            <w:tcW w:type="dxa" w:w="1049"/>
          </w:tcPr>
          <w:p>
            <w:pPr>
              <w:spacing w:after="20"/>
            </w:pPr>
            <w:r/>
            <w:r>
              <w:rPr>
                <w:sz w:val="14"/>
              </w:rPr>
              <w:t>Rp435.555.487</w:t>
            </w:r>
          </w:p>
        </w:tc>
        <w:tc>
          <w:tcPr>
            <w:tcW w:type="dxa" w:w="1049"/>
          </w:tcPr>
          <w:p>
            <w:pPr>
              <w:spacing w:after="20"/>
            </w:pPr>
            <w:r/>
            <w:r>
              <w:rPr>
                <w:sz w:val="14"/>
              </w:rPr>
              <w:t>Rp400.668.263</w:t>
            </w:r>
          </w:p>
        </w:tc>
        <w:tc>
          <w:tcPr>
            <w:tcW w:type="dxa" w:w="1049"/>
          </w:tcPr>
          <w:p>
            <w:pPr>
              <w:spacing w:after="20"/>
            </w:pPr>
            <w:r/>
            <w:r>
              <w:rPr>
                <w:sz w:val="14"/>
              </w:rPr>
              <w:t>Rp343.930.898</w:t>
            </w:r>
          </w:p>
        </w:tc>
        <w:tc>
          <w:tcPr>
            <w:tcW w:type="dxa" w:w="1049"/>
          </w:tcPr>
          <w:p>
            <w:pPr>
              <w:spacing w:after="20"/>
            </w:pPr>
            <w:r/>
            <w:r>
              <w:rPr>
                <w:sz w:val="14"/>
              </w:rPr>
              <w:t>Rp636.272.062</w:t>
            </w:r>
          </w:p>
        </w:tc>
        <w:tc>
          <w:tcPr>
            <w:tcW w:type="dxa" w:w="1049"/>
          </w:tcPr>
          <w:p>
            <w:pPr>
              <w:spacing w:after="20"/>
            </w:pPr>
            <w:r/>
            <w:r>
              <w:rPr>
                <w:sz w:val="14"/>
              </w:rPr>
              <w:t>Rp494.100.545</w:t>
            </w:r>
          </w:p>
        </w:tc>
        <w:tc>
          <w:tcPr>
            <w:tcW w:type="dxa" w:w="1049"/>
          </w:tcPr>
          <w:p>
            <w:pPr>
              <w:spacing w:after="20"/>
            </w:pPr>
            <w:r/>
            <w:r>
              <w:rPr>
                <w:sz w:val="14"/>
              </w:rPr>
              <w:t>Rp365.905.051</w:t>
            </w:r>
          </w:p>
        </w:tc>
      </w:tr>
      <w:tr>
        <w:tc>
          <w:tcPr>
            <w:tcW w:type="dxa" w:w="1191"/>
          </w:tcPr>
          <w:p>
            <w:pPr>
              <w:spacing w:after="20"/>
            </w:pPr>
            <w:r/>
            <w:r>
              <w:rPr>
                <w:sz w:val="14"/>
              </w:rPr>
              <w:t>Non-gaji/bln</w:t>
            </w:r>
          </w:p>
        </w:tc>
        <w:tc>
          <w:tcPr>
            <w:tcW w:type="dxa" w:w="1049"/>
          </w:tcPr>
          <w:p>
            <w:pPr>
              <w:spacing w:after="20"/>
            </w:pPr>
            <w:r/>
            <w:r>
              <w:rPr>
                <w:sz w:val="14"/>
              </w:rPr>
              <w:t>Rp19.350.000</w:t>
            </w:r>
          </w:p>
        </w:tc>
        <w:tc>
          <w:tcPr>
            <w:tcW w:type="dxa" w:w="1049"/>
          </w:tcPr>
          <w:p>
            <w:pPr>
              <w:spacing w:after="20"/>
            </w:pPr>
            <w:r/>
            <w:r>
              <w:rPr>
                <w:sz w:val="14"/>
              </w:rPr>
              <w:t>Rp19.350.000</w:t>
            </w:r>
          </w:p>
        </w:tc>
        <w:tc>
          <w:tcPr>
            <w:tcW w:type="dxa" w:w="1049"/>
          </w:tcPr>
          <w:p>
            <w:pPr>
              <w:spacing w:after="20"/>
            </w:pPr>
            <w:r/>
            <w:r>
              <w:rPr>
                <w:sz w:val="14"/>
              </w:rPr>
              <w:t>Rp17.200.000</w:t>
            </w:r>
          </w:p>
        </w:tc>
        <w:tc>
          <w:tcPr>
            <w:tcW w:type="dxa" w:w="1049"/>
          </w:tcPr>
          <w:p>
            <w:pPr>
              <w:spacing w:after="20"/>
            </w:pPr>
            <w:r/>
            <w:r>
              <w:rPr>
                <w:sz w:val="14"/>
              </w:rPr>
              <w:t>Rp48.000.000</w:t>
            </w:r>
          </w:p>
        </w:tc>
        <w:tc>
          <w:tcPr>
            <w:tcW w:type="dxa" w:w="1049"/>
          </w:tcPr>
          <w:p>
            <w:pPr>
              <w:spacing w:after="20"/>
            </w:pPr>
            <w:r/>
            <w:r>
              <w:rPr>
                <w:sz w:val="14"/>
              </w:rPr>
              <w:t>Rp42.000.000</w:t>
            </w:r>
          </w:p>
        </w:tc>
        <w:tc>
          <w:tcPr>
            <w:tcW w:type="dxa" w:w="1049"/>
          </w:tcPr>
          <w:p>
            <w:pPr>
              <w:spacing w:after="20"/>
            </w:pPr>
            <w:r/>
            <w:r>
              <w:rPr>
                <w:sz w:val="14"/>
              </w:rPr>
              <w:t>Rp34.000.000</w:t>
            </w:r>
          </w:p>
        </w:tc>
        <w:tc>
          <w:tcPr>
            <w:tcW w:type="dxa" w:w="1049"/>
          </w:tcPr>
          <w:p>
            <w:pPr>
              <w:spacing w:after="20"/>
            </w:pPr>
            <w:r/>
            <w:r>
              <w:rPr>
                <w:sz w:val="14"/>
              </w:rPr>
              <w:t>Rp78.300.000</w:t>
            </w:r>
          </w:p>
        </w:tc>
        <w:tc>
          <w:tcPr>
            <w:tcW w:type="dxa" w:w="1049"/>
          </w:tcPr>
          <w:p>
            <w:pPr>
              <w:spacing w:after="20"/>
            </w:pPr>
            <w:r/>
            <w:r>
              <w:rPr>
                <w:sz w:val="14"/>
              </w:rPr>
              <w:t>Rp55.928.571</w:t>
            </w:r>
          </w:p>
        </w:tc>
        <w:tc>
          <w:tcPr>
            <w:tcW w:type="dxa" w:w="1049"/>
          </w:tcPr>
          <w:p>
            <w:pPr>
              <w:spacing w:after="20"/>
            </w:pPr>
            <w:r/>
            <w:r>
              <w:rPr>
                <w:sz w:val="14"/>
              </w:rPr>
              <w:t>Rp35.421.429</w:t>
            </w:r>
          </w:p>
        </w:tc>
      </w:tr>
      <w:tr>
        <w:tc>
          <w:tcPr>
            <w:tcW w:type="dxa" w:w="1191"/>
          </w:tcPr>
          <w:p>
            <w:pPr>
              <w:spacing w:after="20"/>
            </w:pPr>
            <w:r/>
            <w:r>
              <w:rPr>
                <w:sz w:val="14"/>
              </w:rPr>
              <w:t>Biaya AI/bln</w:t>
            </w:r>
          </w:p>
        </w:tc>
        <w:tc>
          <w:tcPr>
            <w:tcW w:type="dxa" w:w="1049"/>
          </w:tcPr>
          <w:p>
            <w:pPr>
              <w:spacing w:after="20"/>
            </w:pPr>
            <w:r/>
            <w:r>
              <w:rPr>
                <w:sz w:val="14"/>
              </w:rPr>
              <w:t>—</w:t>
            </w:r>
          </w:p>
        </w:tc>
        <w:tc>
          <w:tcPr>
            <w:tcW w:type="dxa" w:w="1049"/>
          </w:tcPr>
          <w:p>
            <w:pPr>
              <w:spacing w:after="20"/>
            </w:pPr>
            <w:r/>
            <w:r>
              <w:rPr>
                <w:sz w:val="14"/>
              </w:rPr>
              <w:t>Rp13.102.842</w:t>
            </w:r>
          </w:p>
        </w:tc>
        <w:tc>
          <w:tcPr>
            <w:tcW w:type="dxa" w:w="1049"/>
          </w:tcPr>
          <w:p>
            <w:pPr>
              <w:spacing w:after="20"/>
            </w:pPr>
            <w:r/>
            <w:r>
              <w:rPr>
                <w:sz w:val="14"/>
              </w:rPr>
              <w:t>Rp16.395.877</w:t>
            </w:r>
          </w:p>
        </w:tc>
        <w:tc>
          <w:tcPr>
            <w:tcW w:type="dxa" w:w="1049"/>
          </w:tcPr>
          <w:p>
            <w:pPr>
              <w:spacing w:after="20"/>
            </w:pPr>
            <w:r/>
            <w:r>
              <w:rPr>
                <w:sz w:val="14"/>
              </w:rPr>
              <w:t>—</w:t>
            </w:r>
          </w:p>
        </w:tc>
        <w:tc>
          <w:tcPr>
            <w:tcW w:type="dxa" w:w="1049"/>
          </w:tcPr>
          <w:p>
            <w:pPr>
              <w:spacing w:after="20"/>
            </w:pPr>
            <w:r/>
            <w:r>
              <w:rPr>
                <w:sz w:val="14"/>
              </w:rPr>
              <w:t>Rp43.977.171</w:t>
            </w:r>
          </w:p>
        </w:tc>
        <w:tc>
          <w:tcPr>
            <w:tcW w:type="dxa" w:w="1049"/>
          </w:tcPr>
          <w:p>
            <w:pPr>
              <w:spacing w:after="20"/>
            </w:pPr>
            <w:r/>
            <w:r>
              <w:rPr>
                <w:sz w:val="14"/>
              </w:rPr>
              <w:t>Rp63.009.591</w:t>
            </w:r>
          </w:p>
        </w:tc>
        <w:tc>
          <w:tcPr>
            <w:tcW w:type="dxa" w:w="1049"/>
          </w:tcPr>
          <w:p>
            <w:pPr>
              <w:spacing w:after="20"/>
            </w:pPr>
            <w:r/>
            <w:r>
              <w:rPr>
                <w:sz w:val="14"/>
              </w:rPr>
              <w:t>—</w:t>
            </w:r>
          </w:p>
        </w:tc>
        <w:tc>
          <w:tcPr>
            <w:tcW w:type="dxa" w:w="1049"/>
          </w:tcPr>
          <w:p>
            <w:pPr>
              <w:spacing w:after="20"/>
            </w:pPr>
            <w:r/>
            <w:r>
              <w:rPr>
                <w:sz w:val="14"/>
              </w:rPr>
              <w:t>Rp74.151.773</w:t>
            </w:r>
          </w:p>
        </w:tc>
        <w:tc>
          <w:tcPr>
            <w:tcW w:type="dxa" w:w="1049"/>
          </w:tcPr>
          <w:p>
            <w:pPr>
              <w:spacing w:after="20"/>
            </w:pPr>
            <w:r/>
            <w:r>
              <w:rPr>
                <w:sz w:val="14"/>
              </w:rPr>
              <w:t>Rp105.996.293</w:t>
            </w:r>
          </w:p>
        </w:tc>
      </w:tr>
      <w:tr>
        <w:tc>
          <w:tcPr>
            <w:tcW w:type="dxa" w:w="1191"/>
          </w:tcPr>
          <w:p>
            <w:pPr>
              <w:spacing w:after="20"/>
            </w:pPr>
            <w:r/>
            <w:r>
              <w:rPr>
                <w:sz w:val="14"/>
              </w:rPr>
              <w:t>TOTAL/bln</w:t>
            </w:r>
          </w:p>
        </w:tc>
        <w:tc>
          <w:tcPr>
            <w:tcW w:type="dxa" w:w="1049"/>
          </w:tcPr>
          <w:p>
            <w:pPr>
              <w:spacing w:after="20"/>
            </w:pPr>
            <w:r/>
            <w:r>
              <w:rPr>
                <w:sz w:val="14"/>
              </w:rPr>
              <w:t>Rp249.682.093</w:t>
            </w:r>
          </w:p>
        </w:tc>
        <w:tc>
          <w:tcPr>
            <w:tcW w:type="dxa" w:w="1049"/>
          </w:tcPr>
          <w:p>
            <w:pPr>
              <w:spacing w:after="20"/>
            </w:pPr>
            <w:r/>
            <w:r>
              <w:rPr>
                <w:sz w:val="14"/>
              </w:rPr>
              <w:t>Rp262.784.935</w:t>
            </w:r>
          </w:p>
        </w:tc>
        <w:tc>
          <w:tcPr>
            <w:tcW w:type="dxa" w:w="1049"/>
          </w:tcPr>
          <w:p>
            <w:pPr>
              <w:spacing w:after="20"/>
            </w:pPr>
            <w:r/>
            <w:r>
              <w:rPr>
                <w:sz w:val="14"/>
              </w:rPr>
              <w:t>Rp247.085.834</w:t>
            </w:r>
          </w:p>
        </w:tc>
        <w:tc>
          <w:tcPr>
            <w:tcW w:type="dxa" w:w="1049"/>
          </w:tcPr>
          <w:p>
            <w:pPr>
              <w:spacing w:after="20"/>
            </w:pPr>
            <w:r/>
            <w:r>
              <w:rPr>
                <w:sz w:val="14"/>
              </w:rPr>
              <w:t>Rp483.555.487</w:t>
            </w:r>
          </w:p>
        </w:tc>
        <w:tc>
          <w:tcPr>
            <w:tcW w:type="dxa" w:w="1049"/>
          </w:tcPr>
          <w:p>
            <w:pPr>
              <w:spacing w:after="20"/>
            </w:pPr>
            <w:r/>
            <w:r>
              <w:rPr>
                <w:sz w:val="14"/>
              </w:rPr>
              <w:t>Rp486.645.434</w:t>
            </w:r>
          </w:p>
        </w:tc>
        <w:tc>
          <w:tcPr>
            <w:tcW w:type="dxa" w:w="1049"/>
          </w:tcPr>
          <w:p>
            <w:pPr>
              <w:spacing w:after="20"/>
            </w:pPr>
            <w:r/>
            <w:r>
              <w:rPr>
                <w:sz w:val="14"/>
              </w:rPr>
              <w:t>Rp440.940.488</w:t>
            </w:r>
          </w:p>
        </w:tc>
        <w:tc>
          <w:tcPr>
            <w:tcW w:type="dxa" w:w="1049"/>
          </w:tcPr>
          <w:p>
            <w:pPr>
              <w:spacing w:after="20"/>
            </w:pPr>
            <w:r/>
            <w:r>
              <w:rPr>
                <w:sz w:val="14"/>
              </w:rPr>
              <w:t>Rp714.572.062</w:t>
            </w:r>
          </w:p>
        </w:tc>
        <w:tc>
          <w:tcPr>
            <w:tcW w:type="dxa" w:w="1049"/>
          </w:tcPr>
          <w:p>
            <w:pPr>
              <w:spacing w:after="20"/>
            </w:pPr>
            <w:r/>
            <w:r>
              <w:rPr>
                <w:sz w:val="14"/>
              </w:rPr>
              <w:t>Rp624.180.889</w:t>
            </w:r>
          </w:p>
        </w:tc>
        <w:tc>
          <w:tcPr>
            <w:tcW w:type="dxa" w:w="1049"/>
          </w:tcPr>
          <w:p>
            <w:pPr>
              <w:spacing w:after="20"/>
            </w:pPr>
            <w:r/>
            <w:r>
              <w:rPr>
                <w:sz w:val="14"/>
              </w:rPr>
              <w:t>Rp507.322.772</w:t>
            </w:r>
          </w:p>
        </w:tc>
      </w:tr>
      <w:tr>
        <w:tc>
          <w:tcPr>
            <w:tcW w:type="dxa" w:w="1191"/>
          </w:tcPr>
          <w:p>
            <w:pPr>
              <w:spacing w:after="20"/>
            </w:pPr>
            <w:r/>
            <w:r>
              <w:rPr>
                <w:sz w:val="14"/>
              </w:rPr>
              <w:t>Hemat vs A</w:t>
            </w:r>
          </w:p>
        </w:tc>
        <w:tc>
          <w:tcPr>
            <w:tcW w:type="dxa" w:w="1049"/>
          </w:tcPr>
          <w:p>
            <w:pPr>
              <w:spacing w:after="20"/>
            </w:pPr>
            <w:r/>
            <w:r>
              <w:rPr>
                <w:sz w:val="14"/>
              </w:rPr>
              <w:t>—</w:t>
            </w:r>
          </w:p>
        </w:tc>
        <w:tc>
          <w:tcPr>
            <w:tcW w:type="dxa" w:w="1049"/>
          </w:tcPr>
          <w:p>
            <w:pPr>
              <w:spacing w:after="20"/>
            </w:pPr>
            <w:r/>
            <w:r>
              <w:rPr>
                <w:sz w:val="14"/>
              </w:rPr>
              <w:t>−5,2%</w:t>
            </w:r>
          </w:p>
        </w:tc>
        <w:tc>
          <w:tcPr>
            <w:tcW w:type="dxa" w:w="1049"/>
          </w:tcPr>
          <w:p>
            <w:pPr>
              <w:spacing w:after="20"/>
            </w:pPr>
            <w:r/>
            <w:r>
              <w:rPr>
                <w:sz w:val="14"/>
              </w:rPr>
              <w:t>+1,0%</w:t>
            </w:r>
          </w:p>
        </w:tc>
        <w:tc>
          <w:tcPr>
            <w:tcW w:type="dxa" w:w="1049"/>
          </w:tcPr>
          <w:p>
            <w:pPr>
              <w:spacing w:after="20"/>
            </w:pPr>
            <w:r/>
            <w:r>
              <w:rPr>
                <w:sz w:val="14"/>
              </w:rPr>
              <w:t>—</w:t>
            </w:r>
          </w:p>
        </w:tc>
        <w:tc>
          <w:tcPr>
            <w:tcW w:type="dxa" w:w="1049"/>
          </w:tcPr>
          <w:p>
            <w:pPr>
              <w:spacing w:after="20"/>
            </w:pPr>
            <w:r/>
            <w:r>
              <w:rPr>
                <w:sz w:val="14"/>
              </w:rPr>
              <w:t>−0,6%</w:t>
            </w:r>
          </w:p>
        </w:tc>
        <w:tc>
          <w:tcPr>
            <w:tcW w:type="dxa" w:w="1049"/>
          </w:tcPr>
          <w:p>
            <w:pPr>
              <w:spacing w:after="20"/>
            </w:pPr>
            <w:r/>
            <w:r>
              <w:rPr>
                <w:sz w:val="14"/>
              </w:rPr>
              <w:t>+8,8%</w:t>
            </w:r>
          </w:p>
        </w:tc>
        <w:tc>
          <w:tcPr>
            <w:tcW w:type="dxa" w:w="1049"/>
          </w:tcPr>
          <w:p>
            <w:pPr>
              <w:spacing w:after="20"/>
            </w:pPr>
            <w:r/>
            <w:r>
              <w:rPr>
                <w:sz w:val="14"/>
              </w:rPr>
              <w:t>—</w:t>
            </w:r>
          </w:p>
        </w:tc>
        <w:tc>
          <w:tcPr>
            <w:tcW w:type="dxa" w:w="1049"/>
          </w:tcPr>
          <w:p>
            <w:pPr>
              <w:spacing w:after="20"/>
            </w:pPr>
            <w:r/>
            <w:r>
              <w:rPr>
                <w:sz w:val="14"/>
              </w:rPr>
              <w:t>+12,6%</w:t>
            </w:r>
          </w:p>
        </w:tc>
        <w:tc>
          <w:tcPr>
            <w:tcW w:type="dxa" w:w="1049"/>
          </w:tcPr>
          <w:p>
            <w:pPr>
              <w:spacing w:after="20"/>
            </w:pPr>
            <w:r/>
            <w:r>
              <w:rPr>
                <w:sz w:val="14"/>
              </w:rPr>
              <w:t>+29,0%</w:t>
            </w:r>
          </w:p>
        </w:tc>
      </w:tr>
    </w:tbl>
    <w:p>
      <w:pPr>
        <w:spacing w:after="40"/>
      </w:pPr>
    </w:p>
    <w:p>
      <w:pPr>
        <w:spacing w:after="80"/>
      </w:pPr>
      <w:r>
        <w:rPr>
          <w:b w:val="0"/>
          <w:i/>
          <w:sz w:val="18"/>
        </w:rPr>
        <w:t>Angka negatif berarti lebih mahal daripada Skenario A. Titik impas kumulatif Skenario B jatuh pada bulan ke-18.</w:t>
      </w:r>
    </w:p>
    <w:p>
      <w:pPr>
        <w:sectPr>
          <w:pgSz w:w="15840" w:h="12240" w:orient="landscape"/>
          <w:pgMar w:top="907" w:right="907" w:bottom="907" w:left="907" w:header="720" w:footer="720" w:gutter="0"/>
          <w:cols w:space="720"/>
          <w:docGrid w:linePitch="360"/>
        </w:sectPr>
      </w:pPr>
    </w:p>
    <w:p>
      <w:pPr>
        <w:pStyle w:val="Heading2"/>
      </w:pPr>
      <w:r>
        <w:rPr>
          <w:color w:val="1F3B63"/>
        </w:rPr>
        <w:t>5.3  Sensitivitas</w:t>
      </w:r>
    </w:p>
    <w:p>
      <w:pPr>
        <w:spacing w:after="80"/>
      </w:pPr>
      <w:r>
        <w:rPr>
          <w:b w:val="0"/>
          <w:i w:val="0"/>
        </w:rPr>
        <w:t>a) Harga token model bahasa. Bahkan bila harga naik empat kali lipat, penghematan Skenario B pada Fase 2 hampir tidak berubah, karena biaya token adalah Rp2.703.318 dari total Rp624.180.889 per bulan. Harga token bukan tuas keputusan.</w:t>
      </w:r>
    </w:p>
    <w:p>
      <w:pPr>
        <w:spacing w:after="80"/>
      </w:pPr>
      <w:r>
        <w:rPr>
          <w:b w:val="0"/>
          <w:i w:val="0"/>
        </w:rPr>
        <w:t>b) Tingkat deflection CS. Ini temuan paling penting pada seluruh analisis:</w:t>
      </w:r>
    </w:p>
    <w:tbl>
      <w:tblPr>
        <w:tblStyle w:val="LightGrid-Accent1"/>
        <w:tblW w:type="auto" w:w="0"/>
        <w:tblLayout w:type="fixed"/>
        <w:tblLook w:firstColumn="1" w:firstRow="1" w:lastColumn="0" w:lastRow="0" w:noHBand="0" w:noVBand="1" w:val="04A0"/>
      </w:tblPr>
      <w:tblGrid>
        <w:gridCol w:w="2085"/>
        <w:gridCol w:w="2085"/>
        <w:gridCol w:w="2085"/>
        <w:gridCol w:w="2085"/>
        <w:gridCol w:w="2085"/>
      </w:tblGrid>
      <w:tr>
        <w:tc>
          <w:tcPr>
            <w:tcW w:type="dxa" w:w="1474"/>
          </w:tcPr>
          <w:p>
            <w:r/>
            <w:r>
              <w:rPr>
                <w:b/>
                <w:sz w:val="17"/>
              </w:rPr>
              <w:t>Deflection</w:t>
            </w:r>
          </w:p>
        </w:tc>
        <w:tc>
          <w:tcPr>
            <w:tcW w:type="dxa" w:w="1928"/>
          </w:tcPr>
          <w:p>
            <w:r/>
            <w:r>
              <w:rPr>
                <w:b/>
                <w:sz w:val="17"/>
              </w:rPr>
              <w:t>Tiket eskalasi/hari (Fase 2)</w:t>
            </w:r>
          </w:p>
        </w:tc>
        <w:tc>
          <w:tcPr>
            <w:tcW w:type="dxa" w:w="2381"/>
          </w:tcPr>
          <w:p>
            <w:r/>
            <w:r>
              <w:rPr>
                <w:b/>
                <w:sz w:val="17"/>
              </w:rPr>
              <w:t>CS Agent menurut BEBAN (30 tiket/orang/hari)</w:t>
            </w:r>
          </w:p>
        </w:tc>
        <w:tc>
          <w:tcPr>
            <w:tcW w:type="dxa" w:w="2041"/>
          </w:tcPr>
          <w:p>
            <w:r/>
            <w:r>
              <w:rPr>
                <w:b/>
                <w:sz w:val="17"/>
              </w:rPr>
              <w:t>CS Agent menurut CAKUPAN SHIFT (SOP-05)</w:t>
            </w:r>
          </w:p>
        </w:tc>
        <w:tc>
          <w:tcPr>
            <w:tcW w:type="dxa" w:w="1474"/>
          </w:tcPr>
          <w:p>
            <w:r/>
            <w:r>
              <w:rPr>
                <w:b/>
                <w:sz w:val="17"/>
              </w:rPr>
              <w:t>Yang harus dianggarkan</w:t>
            </w:r>
          </w:p>
        </w:tc>
      </w:tr>
      <w:tr>
        <w:tc>
          <w:tcPr>
            <w:tcW w:type="dxa" w:w="1474"/>
          </w:tcPr>
          <w:p>
            <w:pPr>
              <w:spacing w:after="20"/>
            </w:pPr>
            <w:r/>
            <w:r>
              <w:rPr>
                <w:sz w:val="16"/>
              </w:rPr>
              <w:t>40%</w:t>
            </w:r>
          </w:p>
        </w:tc>
        <w:tc>
          <w:tcPr>
            <w:tcW w:type="dxa" w:w="1928"/>
          </w:tcPr>
          <w:p>
            <w:pPr>
              <w:spacing w:after="20"/>
            </w:pPr>
            <w:r/>
            <w:r>
              <w:rPr>
                <w:sz w:val="16"/>
              </w:rPr>
              <w:t>31,7</w:t>
            </w:r>
          </w:p>
        </w:tc>
        <w:tc>
          <w:tcPr>
            <w:tcW w:type="dxa" w:w="2381"/>
          </w:tcPr>
          <w:p>
            <w:pPr>
              <w:spacing w:after="20"/>
            </w:pPr>
            <w:r/>
            <w:r>
              <w:rPr>
                <w:sz w:val="16"/>
              </w:rPr>
              <w:t>2</w:t>
            </w:r>
          </w:p>
        </w:tc>
        <w:tc>
          <w:tcPr>
            <w:tcW w:type="dxa" w:w="2041"/>
          </w:tcPr>
          <w:p>
            <w:pPr>
              <w:spacing w:after="20"/>
            </w:pPr>
            <w:r/>
            <w:r>
              <w:rPr>
                <w:sz w:val="16"/>
              </w:rPr>
              <w:t>3</w:t>
            </w:r>
          </w:p>
        </w:tc>
        <w:tc>
          <w:tcPr>
            <w:tcW w:type="dxa" w:w="1474"/>
          </w:tcPr>
          <w:p>
            <w:pPr>
              <w:spacing w:after="20"/>
            </w:pPr>
            <w:r/>
            <w:r>
              <w:rPr>
                <w:sz w:val="16"/>
              </w:rPr>
              <w:t>3</w:t>
            </w:r>
          </w:p>
        </w:tc>
      </w:tr>
      <w:tr>
        <w:tc>
          <w:tcPr>
            <w:tcW w:type="dxa" w:w="1474"/>
          </w:tcPr>
          <w:p>
            <w:pPr>
              <w:spacing w:after="20"/>
            </w:pPr>
            <w:r/>
            <w:r>
              <w:rPr>
                <w:sz w:val="16"/>
              </w:rPr>
              <w:t>50%</w:t>
            </w:r>
          </w:p>
        </w:tc>
        <w:tc>
          <w:tcPr>
            <w:tcW w:type="dxa" w:w="1928"/>
          </w:tcPr>
          <w:p>
            <w:pPr>
              <w:spacing w:after="20"/>
            </w:pPr>
            <w:r/>
            <w:r>
              <w:rPr>
                <w:sz w:val="16"/>
              </w:rPr>
              <w:t>26,4</w:t>
            </w:r>
          </w:p>
        </w:tc>
        <w:tc>
          <w:tcPr>
            <w:tcW w:type="dxa" w:w="2381"/>
          </w:tcPr>
          <w:p>
            <w:pPr>
              <w:spacing w:after="20"/>
            </w:pPr>
            <w:r/>
            <w:r>
              <w:rPr>
                <w:sz w:val="16"/>
              </w:rPr>
              <w:t>1</w:t>
            </w:r>
          </w:p>
        </w:tc>
        <w:tc>
          <w:tcPr>
            <w:tcW w:type="dxa" w:w="2041"/>
          </w:tcPr>
          <w:p>
            <w:pPr>
              <w:spacing w:after="20"/>
            </w:pPr>
            <w:r/>
            <w:r>
              <w:rPr>
                <w:sz w:val="16"/>
              </w:rPr>
              <w:t>3</w:t>
            </w:r>
          </w:p>
        </w:tc>
        <w:tc>
          <w:tcPr>
            <w:tcW w:type="dxa" w:w="1474"/>
          </w:tcPr>
          <w:p>
            <w:pPr>
              <w:spacing w:after="20"/>
            </w:pPr>
            <w:r/>
            <w:r>
              <w:rPr>
                <w:sz w:val="16"/>
              </w:rPr>
              <w:t>3</w:t>
            </w:r>
          </w:p>
        </w:tc>
      </w:tr>
      <w:tr>
        <w:tc>
          <w:tcPr>
            <w:tcW w:type="dxa" w:w="1474"/>
          </w:tcPr>
          <w:p>
            <w:pPr>
              <w:spacing w:after="20"/>
            </w:pPr>
            <w:r/>
            <w:r>
              <w:rPr>
                <w:sz w:val="16"/>
              </w:rPr>
              <w:t>60% [ASUMSI dasar]</w:t>
            </w:r>
          </w:p>
        </w:tc>
        <w:tc>
          <w:tcPr>
            <w:tcW w:type="dxa" w:w="1928"/>
          </w:tcPr>
          <w:p>
            <w:pPr>
              <w:spacing w:after="20"/>
            </w:pPr>
            <w:r/>
            <w:r>
              <w:rPr>
                <w:sz w:val="16"/>
              </w:rPr>
              <w:t>21,1</w:t>
            </w:r>
          </w:p>
        </w:tc>
        <w:tc>
          <w:tcPr>
            <w:tcW w:type="dxa" w:w="2381"/>
          </w:tcPr>
          <w:p>
            <w:pPr>
              <w:spacing w:after="20"/>
            </w:pPr>
            <w:r/>
            <w:r>
              <w:rPr>
                <w:sz w:val="16"/>
              </w:rPr>
              <w:t>1</w:t>
            </w:r>
          </w:p>
        </w:tc>
        <w:tc>
          <w:tcPr>
            <w:tcW w:type="dxa" w:w="2041"/>
          </w:tcPr>
          <w:p>
            <w:pPr>
              <w:spacing w:after="20"/>
            </w:pPr>
            <w:r/>
            <w:r>
              <w:rPr>
                <w:sz w:val="16"/>
              </w:rPr>
              <w:t>3</w:t>
            </w:r>
          </w:p>
        </w:tc>
        <w:tc>
          <w:tcPr>
            <w:tcW w:type="dxa" w:w="1474"/>
          </w:tcPr>
          <w:p>
            <w:pPr>
              <w:spacing w:after="20"/>
            </w:pPr>
            <w:r/>
            <w:r>
              <w:rPr>
                <w:sz w:val="16"/>
              </w:rPr>
              <w:t>3</w:t>
            </w:r>
          </w:p>
        </w:tc>
      </w:tr>
      <w:tr>
        <w:tc>
          <w:tcPr>
            <w:tcW w:type="dxa" w:w="1474"/>
          </w:tcPr>
          <w:p>
            <w:pPr>
              <w:spacing w:after="20"/>
            </w:pPr>
            <w:r/>
            <w:r>
              <w:rPr>
                <w:sz w:val="16"/>
              </w:rPr>
              <w:t>70%</w:t>
            </w:r>
          </w:p>
        </w:tc>
        <w:tc>
          <w:tcPr>
            <w:tcW w:type="dxa" w:w="1928"/>
          </w:tcPr>
          <w:p>
            <w:pPr>
              <w:spacing w:after="20"/>
            </w:pPr>
            <w:r/>
            <w:r>
              <w:rPr>
                <w:sz w:val="16"/>
              </w:rPr>
              <w:t>15,8</w:t>
            </w:r>
          </w:p>
        </w:tc>
        <w:tc>
          <w:tcPr>
            <w:tcW w:type="dxa" w:w="2381"/>
          </w:tcPr>
          <w:p>
            <w:pPr>
              <w:spacing w:after="20"/>
            </w:pPr>
            <w:r/>
            <w:r>
              <w:rPr>
                <w:sz w:val="16"/>
              </w:rPr>
              <w:t>1</w:t>
            </w:r>
          </w:p>
        </w:tc>
        <w:tc>
          <w:tcPr>
            <w:tcW w:type="dxa" w:w="2041"/>
          </w:tcPr>
          <w:p>
            <w:pPr>
              <w:spacing w:after="20"/>
            </w:pPr>
            <w:r/>
            <w:r>
              <w:rPr>
                <w:sz w:val="16"/>
              </w:rPr>
              <w:t>3</w:t>
            </w:r>
          </w:p>
        </w:tc>
        <w:tc>
          <w:tcPr>
            <w:tcW w:type="dxa" w:w="1474"/>
          </w:tcPr>
          <w:p>
            <w:pPr>
              <w:spacing w:after="20"/>
            </w:pPr>
            <w:r/>
            <w:r>
              <w:rPr>
                <w:sz w:val="16"/>
              </w:rPr>
              <w:t>3</w:t>
            </w:r>
          </w:p>
        </w:tc>
      </w:tr>
      <w:tr>
        <w:tc>
          <w:tcPr>
            <w:tcW w:type="dxa" w:w="1474"/>
          </w:tcPr>
          <w:p>
            <w:pPr>
              <w:spacing w:after="20"/>
            </w:pPr>
            <w:r/>
            <w:r>
              <w:rPr>
                <w:sz w:val="16"/>
              </w:rPr>
              <w:t>90% (klaim vendor)</w:t>
            </w:r>
          </w:p>
        </w:tc>
        <w:tc>
          <w:tcPr>
            <w:tcW w:type="dxa" w:w="1928"/>
          </w:tcPr>
          <w:p>
            <w:pPr>
              <w:spacing w:after="20"/>
            </w:pPr>
            <w:r/>
            <w:r>
              <w:rPr>
                <w:sz w:val="16"/>
              </w:rPr>
              <w:t>5,3</w:t>
            </w:r>
          </w:p>
        </w:tc>
        <w:tc>
          <w:tcPr>
            <w:tcW w:type="dxa" w:w="2381"/>
          </w:tcPr>
          <w:p>
            <w:pPr>
              <w:spacing w:after="20"/>
            </w:pPr>
            <w:r/>
            <w:r>
              <w:rPr>
                <w:sz w:val="16"/>
              </w:rPr>
              <w:t>1</w:t>
            </w:r>
          </w:p>
        </w:tc>
        <w:tc>
          <w:tcPr>
            <w:tcW w:type="dxa" w:w="2041"/>
          </w:tcPr>
          <w:p>
            <w:pPr>
              <w:spacing w:after="20"/>
            </w:pPr>
            <w:r/>
            <w:r>
              <w:rPr>
                <w:sz w:val="16"/>
              </w:rPr>
              <w:t>3</w:t>
            </w:r>
          </w:p>
        </w:tc>
        <w:tc>
          <w:tcPr>
            <w:tcW w:type="dxa" w:w="1474"/>
          </w:tcPr>
          <w:p>
            <w:pPr>
              <w:spacing w:after="20"/>
            </w:pPr>
            <w:r/>
            <w:r>
              <w:rPr>
                <w:sz w:val="16"/>
              </w:rPr>
              <w:t>3</w:t>
            </w:r>
          </w:p>
        </w:tc>
      </w:tr>
    </w:tbl>
    <w:p>
      <w:pPr>
        <w:spacing w:after="40"/>
      </w:pPr>
    </w:p>
    <w:p>
      <w:pPr>
        <w:spacing w:after="80"/>
      </w:pPr>
      <w:r>
        <w:rPr>
          <w:b/>
          <w:i w:val="0"/>
        </w:rPr>
        <w:t>Menaikkan deflection dari 60% ke 90% tidak menghemat satu rupiah pun pada biaya CS, karena jumlah CS Agent ditentukan oleh kewajiban menjaga kanal darurat 24 jam di dua kota (SOP-05), bukan oleh antrean tiket. Setiap usulan yang menjanjikan penghematan CS di atas angka ini harus ditolak.</w:t>
      </w:r>
    </w:p>
    <w:p>
      <w:pPr>
        <w:spacing w:after="80"/>
      </w:pPr>
      <w:r>
        <w:rPr>
          <w:b w:val="0"/>
          <w:i w:val="0"/>
        </w:rPr>
        <w:t>c) Pertumbuhan volume order. Bila target Bab 5 meleset separuh, biaya AI variabel turun separuh (Rp10.595.138 menjadi sekitar Rp5.297.569 per bulan) tetapi biaya tetap tidak berubah — sehingga penghematan Skenario B menyusut. Bila volume tumbuh dua kali target, biaya AI variabel naik menjadi sekitar Rp21.190.276 per bulan sementara jumlah CS Agent tetap tiga: di sinilah otomasi benar-benar berbayar. Kesimpulannya: otomasi adalah taruhan pada pertumbuhan, bukan pada penghematan.</w:t>
      </w:r>
    </w:p>
    <w:p>
      <w:pPr>
        <w:spacing w:after="80"/>
      </w:pPr>
      <w:r>
        <w:rPr>
          <w:b w:val="0"/>
          <w:i w:val="0"/>
        </w:rPr>
        <w:t>d) Kurs. Porsi ke penyedia luar negeri hanya Rp14.004.789 dari Rp45.896.609 biaya tool Fase 2. Pelemahan rupiah 30% menambah sekitar Rp5,4 juta per bulan — nyata, tetapi bukan penentu.</w:t>
      </w:r>
    </w:p>
    <w:p>
      <w:r>
        <w:br w:type="page"/>
      </w:r>
    </w:p>
    <w:p>
      <w:pPr>
        <w:pStyle w:val="Heading1"/>
      </w:pPr>
      <w:r>
        <w:rPr>
          <w:color w:val="1F3B63"/>
        </w:rPr>
        <w:t>Bab 6  Apa yang Pecah Lebih Dulu, dan Kapan</w:t>
      </w:r>
    </w:p>
    <w:p>
      <w:pPr>
        <w:spacing w:after="80"/>
      </w:pPr>
      <w:r>
        <w:rPr>
          <w:b w:val="0"/>
          <w:i w:val="0"/>
        </w:rPr>
        <w:t>Bagian ini disusun untuk Skenario B yang direkomendasikan. Urutan disusun dari yang paling cepat terjadi.</w:t>
      </w:r>
    </w:p>
    <w:p>
      <w:pPr>
        <w:sectPr>
          <w:pgSz w:w="12240" w:h="15840"/>
          <w:pgMar w:top="907" w:right="907" w:bottom="907" w:left="907" w:header="720" w:footer="720" w:gutter="0"/>
          <w:cols w:space="720"/>
          <w:docGrid w:linePitch="360"/>
        </w:sectPr>
      </w:pPr>
    </w:p>
    <w:tbl>
      <w:tblPr>
        <w:tblStyle w:val="LightGrid-Accent1"/>
        <w:tblW w:type="auto" w:w="0"/>
        <w:tblLayout w:type="fixed"/>
        <w:tblLook w:firstColumn="1" w:firstRow="1" w:lastColumn="0" w:lastRow="0" w:noHBand="0" w:noVBand="1" w:val="04A0"/>
      </w:tblPr>
      <w:tblGrid>
        <w:gridCol w:w="2338"/>
        <w:gridCol w:w="2338"/>
        <w:gridCol w:w="2338"/>
        <w:gridCol w:w="2338"/>
        <w:gridCol w:w="2338"/>
        <w:gridCol w:w="2338"/>
      </w:tblGrid>
      <w:tr>
        <w:tc>
          <w:tcPr>
            <w:tcW w:type="dxa" w:w="340"/>
          </w:tcPr>
          <w:p>
            <w:r/>
            <w:r>
              <w:rPr>
                <w:b/>
                <w:sz w:val="17"/>
              </w:rPr>
              <w:t>#</w:t>
            </w:r>
          </w:p>
        </w:tc>
        <w:tc>
          <w:tcPr>
            <w:tcW w:type="dxa" w:w="1701"/>
          </w:tcPr>
          <w:p>
            <w:r/>
            <w:r>
              <w:rPr>
                <w:b/>
                <w:sz w:val="17"/>
              </w:rPr>
              <w:t>Titik pecah</w:t>
            </w:r>
          </w:p>
        </w:tc>
        <w:tc>
          <w:tcPr>
            <w:tcW w:type="dxa" w:w="2948"/>
          </w:tcPr>
          <w:p>
            <w:r/>
            <w:r>
              <w:rPr>
                <w:b/>
                <w:sz w:val="17"/>
              </w:rPr>
              <w:t>Pemicu berangka</w:t>
            </w:r>
          </w:p>
        </w:tc>
        <w:tc>
          <w:tcPr>
            <w:tcW w:type="dxa" w:w="1247"/>
          </w:tcPr>
          <w:p>
            <w:r/>
            <w:r>
              <w:rPr>
                <w:b/>
                <w:sz w:val="17"/>
              </w:rPr>
              <w:t>Perkiraan waktu</w:t>
            </w:r>
          </w:p>
        </w:tc>
        <w:tc>
          <w:tcPr>
            <w:tcW w:type="dxa" w:w="1701"/>
          </w:tcPr>
          <w:p>
            <w:r/>
            <w:r>
              <w:rPr>
                <w:b/>
                <w:sz w:val="17"/>
              </w:rPr>
              <w:t>Peringatan dini</w:t>
            </w:r>
          </w:p>
        </w:tc>
        <w:tc>
          <w:tcPr>
            <w:tcW w:type="dxa" w:w="1928"/>
          </w:tcPr>
          <w:p>
            <w:r/>
            <w:r>
              <w:rPr>
                <w:b/>
                <w:sz w:val="17"/>
              </w:rPr>
              <w:t>Mitigasi</w:t>
            </w:r>
          </w:p>
        </w:tc>
      </w:tr>
      <w:tr>
        <w:tc>
          <w:tcPr>
            <w:tcW w:type="dxa" w:w="340"/>
          </w:tcPr>
          <w:p>
            <w:pPr>
              <w:spacing w:after="20"/>
            </w:pPr>
            <w:r/>
            <w:r>
              <w:rPr>
                <w:sz w:val="15"/>
              </w:rPr>
              <w:t>1</w:t>
            </w:r>
          </w:p>
        </w:tc>
        <w:tc>
          <w:tcPr>
            <w:tcW w:type="dxa" w:w="1701"/>
          </w:tcPr>
          <w:p>
            <w:pPr>
              <w:spacing w:after="20"/>
            </w:pPr>
            <w:r/>
            <w:r>
              <w:rPr>
                <w:sz w:val="15"/>
              </w:rPr>
              <w:t>Kanal darurat 24 jam kehilangan penutup shift</w:t>
            </w:r>
          </w:p>
        </w:tc>
        <w:tc>
          <w:tcPr>
            <w:tcW w:type="dxa" w:w="2948"/>
          </w:tcPr>
          <w:p>
            <w:pPr>
              <w:spacing w:after="20"/>
            </w:pPr>
            <w:r/>
            <w:r>
              <w:rPr>
                <w:sz w:val="15"/>
              </w:rPr>
              <w:t>Dengan 2 CS Agent Pekanbaru dan 1 Padang, shift ketiga di salah satu kota ditutup lintas kota. Satu orang sakit atau mengundurkan diri berarti shift kosong. Ini risiko harian, bukan risiko volume — ia dapat terjadi pada bulan ke-14 maupun bulan ke-24.</w:t>
            </w:r>
          </w:p>
        </w:tc>
        <w:tc>
          <w:tcPr>
            <w:tcW w:type="dxa" w:w="1247"/>
          </w:tcPr>
          <w:p>
            <w:pPr>
              <w:spacing w:after="20"/>
            </w:pPr>
            <w:r/>
            <w:r>
              <w:rPr>
                <w:sz w:val="15"/>
              </w:rPr>
              <w:t>Kapan saja setelah bulan 14</w:t>
            </w:r>
          </w:p>
        </w:tc>
        <w:tc>
          <w:tcPr>
            <w:tcW w:type="dxa" w:w="1701"/>
          </w:tcPr>
          <w:p>
            <w:pPr>
              <w:spacing w:after="20"/>
            </w:pPr>
            <w:r/>
            <w:r>
              <w:rPr>
                <w:sz w:val="15"/>
              </w:rPr>
              <w:t>Persentase peringatan darurat ditangani ≤15 menit turun di bawah 95% (target Bab 5, tabel sos_alerts)</w:t>
            </w:r>
          </w:p>
        </w:tc>
        <w:tc>
          <w:tcPr>
            <w:tcW w:type="dxa" w:w="1928"/>
          </w:tcPr>
          <w:p>
            <w:pPr>
              <w:spacing w:after="20"/>
            </w:pPr>
            <w:r/>
            <w:r>
              <w:rPr>
                <w:sz w:val="15"/>
              </w:rPr>
              <w:t>Anggarkan satu CS Agent cadangan lintas kota. Jangan pernah turun di bawah tiga orang total.</w:t>
            </w:r>
          </w:p>
        </w:tc>
      </w:tr>
      <w:tr>
        <w:tc>
          <w:tcPr>
            <w:tcW w:type="dxa" w:w="340"/>
          </w:tcPr>
          <w:p>
            <w:pPr>
              <w:spacing w:after="20"/>
            </w:pPr>
            <w:r/>
            <w:r>
              <w:rPr>
                <w:sz w:val="15"/>
              </w:rPr>
              <w:t>2</w:t>
            </w:r>
          </w:p>
        </w:tc>
        <w:tc>
          <w:tcPr>
            <w:tcW w:type="dxa" w:w="1701"/>
          </w:tcPr>
          <w:p>
            <w:pPr>
              <w:spacing w:after="20"/>
            </w:pPr>
            <w:r/>
            <w:r>
              <w:rPr>
                <w:sz w:val="15"/>
              </w:rPr>
              <w:t>Agen CS otomatis kewalahan — karena keragaman kasus, bukan jumlahnya</w:t>
            </w:r>
          </w:p>
        </w:tc>
        <w:tc>
          <w:tcPr>
            <w:tcW w:type="dxa" w:w="2948"/>
          </w:tcPr>
          <w:p>
            <w:pPr>
              <w:spacing w:after="20"/>
            </w:pPr>
            <w:r/>
            <w:r>
              <w:rPr>
                <w:sz w:val="15"/>
              </w:rPr>
              <w:t>Pada 2.400 order per hari, eskalasi hanya 21 tiket per hari. Jumlah bukan masalah. Yang pecah adalah cakupan basis pengetahuan: setiap peluncuran layanan baru (AntarTravel, AntarBox, AntarMarket) memunculkan kategori tiket yang belum pernah dilihat agen.</w:t>
            </w:r>
          </w:p>
        </w:tc>
        <w:tc>
          <w:tcPr>
            <w:tcW w:type="dxa" w:w="1247"/>
          </w:tcPr>
          <w:p>
            <w:pPr>
              <w:spacing w:after="20"/>
            </w:pPr>
            <w:r/>
            <w:r>
              <w:rPr>
                <w:sz w:val="15"/>
              </w:rPr>
              <w:t>Bulan ke-2 setelah setiap peluncuran layanan baru</w:t>
            </w:r>
          </w:p>
        </w:tc>
        <w:tc>
          <w:tcPr>
            <w:tcW w:type="dxa" w:w="1701"/>
          </w:tcPr>
          <w:p>
            <w:pPr>
              <w:spacing w:after="20"/>
            </w:pPr>
            <w:r/>
            <w:r>
              <w:rPr>
                <w:sz w:val="15"/>
              </w:rPr>
              <w:t>Tingkat tiket dibuka ulang naik melewati 8%; deflection turun di bawah 50%</w:t>
            </w:r>
          </w:p>
        </w:tc>
        <w:tc>
          <w:tcPr>
            <w:tcW w:type="dxa" w:w="1928"/>
          </w:tcPr>
          <w:p>
            <w:pPr>
              <w:spacing w:after="20"/>
            </w:pPr>
            <w:r/>
            <w:r>
              <w:rPr>
                <w:sz w:val="15"/>
              </w:rPr>
              <w:t>Jadikan pemutakhiran basis pengetahuan sebagai gerbang wajib pada SOP-11 sebelum layanan baru dirilis.</w:t>
            </w:r>
          </w:p>
        </w:tc>
      </w:tr>
      <w:tr>
        <w:tc>
          <w:tcPr>
            <w:tcW w:type="dxa" w:w="340"/>
          </w:tcPr>
          <w:p>
            <w:pPr>
              <w:spacing w:after="20"/>
            </w:pPr>
            <w:r/>
            <w:r>
              <w:rPr>
                <w:sz w:val="15"/>
              </w:rPr>
              <w:t>3</w:t>
            </w:r>
          </w:p>
        </w:tc>
        <w:tc>
          <w:tcPr>
            <w:tcW w:type="dxa" w:w="1701"/>
          </w:tcPr>
          <w:p>
            <w:pPr>
              <w:spacing w:after="20"/>
            </w:pPr>
            <w:r/>
            <w:r>
              <w:rPr>
                <w:sz w:val="15"/>
              </w:rPr>
              <w:t>Pemelihara otomasi menjadi titik tunggal kegagalan</w:t>
            </w:r>
          </w:p>
        </w:tc>
        <w:tc>
          <w:tcPr>
            <w:tcW w:type="dxa" w:w="2948"/>
          </w:tcPr>
          <w:p>
            <w:pPr>
              <w:spacing w:after="20"/>
            </w:pPr>
            <w:r/>
            <w:r>
              <w:rPr>
                <w:sz w:val="15"/>
              </w:rPr>
              <w:t>Satu Backend Engineer (Mid) yang dialihfungsikan memelihara tiga belas komponen AI sekaligus mengerjakan fitur. Bebannya melampaui satu FTE begitu kota kedua berjalan penuh. Ini adalah versi otomasi dari masalah "satu-satunya DevOps".</w:t>
            </w:r>
          </w:p>
        </w:tc>
        <w:tc>
          <w:tcPr>
            <w:tcW w:type="dxa" w:w="1247"/>
          </w:tcPr>
          <w:p>
            <w:pPr>
              <w:spacing w:after="20"/>
            </w:pPr>
            <w:r/>
            <w:r>
              <w:rPr>
                <w:sz w:val="15"/>
              </w:rPr>
              <w:t>Bulan 16–18</w:t>
            </w:r>
          </w:p>
        </w:tc>
        <w:tc>
          <w:tcPr>
            <w:tcW w:type="dxa" w:w="1701"/>
          </w:tcPr>
          <w:p>
            <w:pPr>
              <w:spacing w:after="20"/>
            </w:pPr>
            <w:r/>
            <w:r>
              <w:rPr>
                <w:sz w:val="15"/>
              </w:rPr>
              <w:t>Antrean cacat otomasi lebih dari 5 terbuka lebih dari dua pekan; waktu balas API p95 melewati ambang</w:t>
            </w:r>
          </w:p>
        </w:tc>
        <w:tc>
          <w:tcPr>
            <w:tcW w:type="dxa" w:w="1928"/>
          </w:tcPr>
          <w:p>
            <w:pPr>
              <w:spacing w:after="20"/>
            </w:pPr>
            <w:r/>
            <w:r>
              <w:rPr>
                <w:sz w:val="15"/>
              </w:rPr>
              <w:t>Kontraktor 0,5 FTE sudah dianggarkan pada H-1. Naikkan ke 1,0 FTE pada bulan 16, atau kembalikan satu Backend Engineer (Mid) — keduanya sudah ada di model.</w:t>
            </w:r>
          </w:p>
        </w:tc>
      </w:tr>
      <w:tr>
        <w:tc>
          <w:tcPr>
            <w:tcW w:type="dxa" w:w="340"/>
          </w:tcPr>
          <w:p>
            <w:pPr>
              <w:spacing w:after="20"/>
            </w:pPr>
            <w:r/>
            <w:r>
              <w:rPr>
                <w:sz w:val="15"/>
              </w:rPr>
              <w:t>4</w:t>
            </w:r>
          </w:p>
        </w:tc>
        <w:tc>
          <w:tcPr>
            <w:tcW w:type="dxa" w:w="1701"/>
          </w:tcPr>
          <w:p>
            <w:pPr>
              <w:spacing w:after="20"/>
            </w:pPr>
            <w:r/>
            <w:r>
              <w:rPr>
                <w:sz w:val="15"/>
              </w:rPr>
              <w:t>Beban kepatuhan UU PDP melampaui kapasitas DPO merangkap</w:t>
            </w:r>
          </w:p>
        </w:tc>
        <w:tc>
          <w:tcPr>
            <w:tcW w:type="dxa" w:w="2948"/>
          </w:tcPr>
          <w:p>
            <w:pPr>
              <w:spacing w:after="20"/>
            </w:pPr>
            <w:r/>
            <w:r>
              <w:rPr>
                <w:sz w:val="15"/>
              </w:rPr>
              <w:t>Head of Legal &amp; Compliance sudah merangkap DPO dan memikul perizinan, kontrak kemitraan, serta hak subjek data. Otomasi menambah DPIA berkala, register keputusan otomatis (Pasal 10), dan uji transfer data (Pasal 56) untuk tiga belas komponen.</w:t>
            </w:r>
          </w:p>
        </w:tc>
        <w:tc>
          <w:tcPr>
            <w:tcW w:type="dxa" w:w="1247"/>
          </w:tcPr>
          <w:p>
            <w:pPr>
              <w:spacing w:after="20"/>
            </w:pPr>
            <w:r/>
            <w:r>
              <w:rPr>
                <w:sz w:val="15"/>
              </w:rPr>
              <w:t>Bulan 15–18, atau seketika bila terjadi insiden data</w:t>
            </w:r>
          </w:p>
        </w:tc>
        <w:tc>
          <w:tcPr>
            <w:tcW w:type="dxa" w:w="1701"/>
          </w:tcPr>
          <w:p>
            <w:pPr>
              <w:spacing w:after="20"/>
            </w:pPr>
            <w:r/>
            <w:r>
              <w:rPr>
                <w:sz w:val="15"/>
              </w:rPr>
              <w:t>Permintaan hak subjek data melewati SLA 14 hari; DPIA fitur baru tertunda lebih dari satu kuartal</w:t>
            </w:r>
          </w:p>
        </w:tc>
        <w:tc>
          <w:tcPr>
            <w:tcW w:type="dxa" w:w="1928"/>
          </w:tcPr>
          <w:p>
            <w:pPr>
              <w:spacing w:after="20"/>
            </w:pPr>
            <w:r/>
            <w:r>
              <w:rPr>
                <w:sz w:val="15"/>
              </w:rPr>
              <w:t>Alokasi 0,2 FTE sudah dianggarkan pada H-3. Bila terlampaui, pisahkan DPO dari Head of Legal — ini konsekuensi biaya dari otomasi, bukan pilihan.</w:t>
            </w:r>
          </w:p>
        </w:tc>
      </w:tr>
      <w:tr>
        <w:tc>
          <w:tcPr>
            <w:tcW w:type="dxa" w:w="340"/>
          </w:tcPr>
          <w:p>
            <w:pPr>
              <w:spacing w:after="20"/>
            </w:pPr>
            <w:r/>
            <w:r>
              <w:rPr>
                <w:sz w:val="15"/>
              </w:rPr>
              <w:t>5</w:t>
            </w:r>
          </w:p>
        </w:tc>
        <w:tc>
          <w:tcPr>
            <w:tcW w:type="dxa" w:w="1701"/>
          </w:tcPr>
          <w:p>
            <w:pPr>
              <w:spacing w:after="20"/>
            </w:pPr>
            <w:r/>
            <w:r>
              <w:rPr>
                <w:sz w:val="15"/>
              </w:rPr>
              <w:t>Gerbang rilis tanpa QA manusia meloloskan cacat pada alur uang</w:t>
            </w:r>
          </w:p>
        </w:tc>
        <w:tc>
          <w:tcPr>
            <w:tcW w:type="dxa" w:w="2948"/>
          </w:tcPr>
          <w:p>
            <w:pPr>
              <w:spacing w:after="20"/>
            </w:pPr>
            <w:r/>
            <w:r>
              <w:rPr>
                <w:sz w:val="15"/>
              </w:rPr>
              <w:t>QA Engineer dihapus dan hak veto rilis pindah ke Engineering Manager, yang juga menulis dan menggabungkan kode. Pemisahan penulis dan penguji hilang.</w:t>
            </w:r>
          </w:p>
        </w:tc>
        <w:tc>
          <w:tcPr>
            <w:tcW w:type="dxa" w:w="1247"/>
          </w:tcPr>
          <w:p>
            <w:pPr>
              <w:spacing w:after="20"/>
            </w:pPr>
            <w:r/>
            <w:r>
              <w:rPr>
                <w:sz w:val="15"/>
              </w:rPr>
              <w:t>Rilis besar pertama yang menyentuh dompet setelah bulan 13</w:t>
            </w:r>
          </w:p>
        </w:tc>
        <w:tc>
          <w:tcPr>
            <w:tcW w:type="dxa" w:w="1701"/>
          </w:tcPr>
          <w:p>
            <w:pPr>
              <w:spacing w:after="20"/>
            </w:pPr>
            <w:r/>
            <w:r>
              <w:rPr>
                <w:sz w:val="15"/>
              </w:rPr>
              <w:t>Proporsi rilis tanpa cacat kritikal turun; simulasi ujung-ke-ujung tidak lolos 100%</w:t>
            </w:r>
          </w:p>
        </w:tc>
        <w:tc>
          <w:tcPr>
            <w:tcW w:type="dxa" w:w="1928"/>
          </w:tcPr>
          <w:p>
            <w:pPr>
              <w:spacing w:after="20"/>
            </w:pPr>
            <w:r/>
            <w:r>
              <w:rPr>
                <w:sz w:val="15"/>
              </w:rPr>
              <w:t>Aturan mutlak yang harus ditulis di SOP-11 sebelum QA dihapus: setiap perubahan yang menyentuh dompet wajib ditinjau Backend Engineer Senior yang bukan penulisnya.</w:t>
            </w:r>
          </w:p>
        </w:tc>
      </w:tr>
    </w:tbl>
    <w:p>
      <w:pPr>
        <w:spacing w:after="40"/>
      </w:pPr>
    </w:p>
    <w:p>
      <w:pPr>
        <w:sectPr>
          <w:pgSz w:w="15840" w:h="12240" w:orient="landscape"/>
          <w:pgMar w:top="907" w:right="907" w:bottom="907" w:left="907" w:header="720" w:footer="720" w:gutter="0"/>
          <w:cols w:space="720"/>
          <w:docGrid w:linePitch="360"/>
        </w:sectPr>
      </w:pPr>
    </w:p>
    <w:p>
      <w:pPr>
        <w:spacing w:after="80"/>
      </w:pPr>
      <w:r>
        <w:rPr>
          <w:b/>
          <w:i w:val="0"/>
        </w:rPr>
        <w:t>Pada Skenario C, urutan ini berubah total: yang pecah lebih dulu adalah pemisahan tugas keuangan, pada hari pertama Treasury/Settlement Officer dihapus. Bukan karena sistem gagal, melainkan karena kontrol internalnya memang sudah tidak ada. Ini bukan risiko yang muncul kemudian; ia hadir sejak keputusan diambil.</w:t>
      </w:r>
    </w:p>
    <w:p>
      <w:r>
        <w:br w:type="page"/>
      </w:r>
    </w:p>
    <w:p>
      <w:pPr>
        <w:pStyle w:val="Heading1"/>
      </w:pPr>
      <w:r>
        <w:rPr>
          <w:color w:val="1F3B63"/>
        </w:rPr>
        <w:t>Bab 7  Peta Jalan Implementasi Bertahap</w:t>
      </w:r>
    </w:p>
    <w:p>
      <w:pPr>
        <w:spacing w:after="80"/>
      </w:pPr>
      <w:r>
        <w:rPr>
          <w:b w:val="0"/>
          <w:i w:val="0"/>
        </w:rPr>
        <w:t>Prinsip yang mengikat peta jalan ini: jangan pernah menghapus posisi sebelum penggantinya terbukti berjalan pada data nyata selama satu kuartal penuh. Karena itu setiap kuartal memuat kolom "gerbang" — bila gerbang tidak terpenuhi, pemangkasan pada kuartal berikutnya ditunda dan posisi tetap direkrut.</w:t>
      </w:r>
    </w:p>
    <w:p>
      <w:pPr>
        <w:sectPr>
          <w:pgSz w:w="12240" w:h="15840"/>
          <w:pgMar w:top="907" w:right="907" w:bottom="907" w:left="907" w:header="720" w:footer="720" w:gutter="0"/>
          <w:cols w:space="720"/>
          <w:docGrid w:linePitch="360"/>
        </w:sectPr>
      </w:pPr>
    </w:p>
    <w:tbl>
      <w:tblPr>
        <w:tblStyle w:val="LightGrid-Accent1"/>
        <w:tblW w:type="auto" w:w="0"/>
        <w:tblLayout w:type="fixed"/>
        <w:tblLook w:firstColumn="1" w:firstRow="1" w:lastColumn="0" w:lastRow="0" w:noHBand="0" w:noVBand="1" w:val="04A0"/>
      </w:tblPr>
      <w:tblGrid>
        <w:gridCol w:w="2338"/>
        <w:gridCol w:w="2338"/>
        <w:gridCol w:w="2338"/>
        <w:gridCol w:w="2338"/>
        <w:gridCol w:w="2338"/>
        <w:gridCol w:w="2338"/>
      </w:tblGrid>
      <w:tr>
        <w:tc>
          <w:tcPr>
            <w:tcW w:type="dxa" w:w="624"/>
          </w:tcPr>
          <w:p>
            <w:r/>
            <w:r>
              <w:rPr>
                <w:b/>
                <w:sz w:val="17"/>
              </w:rPr>
              <w:t>Kuartal</w:t>
            </w:r>
          </w:p>
        </w:tc>
        <w:tc>
          <w:tcPr>
            <w:tcW w:type="dxa" w:w="567"/>
          </w:tcPr>
          <w:p>
            <w:r/>
            <w:r>
              <w:rPr>
                <w:b/>
                <w:sz w:val="17"/>
              </w:rPr>
              <w:t>Bulan</w:t>
            </w:r>
          </w:p>
        </w:tc>
        <w:tc>
          <w:tcPr>
            <w:tcW w:type="dxa" w:w="2608"/>
          </w:tcPr>
          <w:p>
            <w:r/>
            <w:r>
              <w:rPr>
                <w:b/>
                <w:sz w:val="17"/>
              </w:rPr>
              <w:t>Yang dibangun</w:t>
            </w:r>
          </w:p>
        </w:tc>
        <w:tc>
          <w:tcPr>
            <w:tcW w:type="dxa" w:w="2041"/>
          </w:tcPr>
          <w:p>
            <w:r/>
            <w:r>
              <w:rPr>
                <w:b/>
                <w:sz w:val="17"/>
              </w:rPr>
              <w:t>Yang TIDAK dilakukan</w:t>
            </w:r>
          </w:p>
        </w:tc>
        <w:tc>
          <w:tcPr>
            <w:tcW w:type="dxa" w:w="2041"/>
          </w:tcPr>
          <w:p>
            <w:r/>
            <w:r>
              <w:rPr>
                <w:b/>
                <w:sz w:val="17"/>
              </w:rPr>
              <w:t>Gerbang kelulusan sebelum lanjut</w:t>
            </w:r>
          </w:p>
        </w:tc>
        <w:tc>
          <w:tcPr>
            <w:tcW w:type="dxa" w:w="1191"/>
          </w:tcPr>
          <w:p>
            <w:r/>
            <w:r>
              <w:rPr>
                <w:b/>
                <w:sz w:val="17"/>
              </w:rPr>
              <w:t>Biaya AI kuartal (perkiraan)</w:t>
            </w:r>
          </w:p>
        </w:tc>
      </w:tr>
      <w:tr>
        <w:tc>
          <w:tcPr>
            <w:tcW w:type="dxa" w:w="624"/>
          </w:tcPr>
          <w:p>
            <w:pPr>
              <w:spacing w:after="20"/>
            </w:pPr>
            <w:r/>
            <w:r>
              <w:rPr>
                <w:sz w:val="15"/>
              </w:rPr>
              <w:t>K1</w:t>
            </w:r>
          </w:p>
        </w:tc>
        <w:tc>
          <w:tcPr>
            <w:tcW w:type="dxa" w:w="567"/>
          </w:tcPr>
          <w:p>
            <w:pPr>
              <w:spacing w:after="20"/>
            </w:pPr>
            <w:r/>
            <w:r>
              <w:rPr>
                <w:sz w:val="15"/>
              </w:rPr>
              <w:t>1–3</w:t>
            </w:r>
          </w:p>
        </w:tc>
        <w:tc>
          <w:tcPr>
            <w:tcW w:type="dxa" w:w="2608"/>
          </w:tcPr>
          <w:p>
            <w:pPr>
              <w:spacing w:after="20"/>
            </w:pPr>
            <w:r/>
            <w:r>
              <w:rPr>
                <w:sz w:val="15"/>
              </w:rPr>
              <w:t>Tidak ada pembangunan otomasi. Hanya: kursi Claude Code untuk 4 orang teknologi, Metabase untuk pelaporan awal, dan penetapan kebijakan penyamaran data pribadi pada prompt.</w:t>
            </w:r>
          </w:p>
        </w:tc>
        <w:tc>
          <w:tcPr>
            <w:tcW w:type="dxa" w:w="2041"/>
          </w:tcPr>
          <w:p>
            <w:pPr>
              <w:spacing w:after="20"/>
            </w:pPr>
            <w:r/>
            <w:r>
              <w:rPr>
                <w:sz w:val="15"/>
              </w:rPr>
              <w:t>Tidak ada posisi yang dipangkas. Tidak ada agen CS. Tidak ada vendor fraud.</w:t>
            </w:r>
          </w:p>
        </w:tc>
        <w:tc>
          <w:tcPr>
            <w:tcW w:type="dxa" w:w="2041"/>
          </w:tcPr>
          <w:p>
            <w:pPr>
              <w:spacing w:after="20"/>
            </w:pPr>
            <w:r/>
            <w:r>
              <w:rPr>
                <w:sz w:val="15"/>
              </w:rPr>
              <w:t>Kebijakan penyamaran data pribadi tertulis dan disetujui DPO.</w:t>
            </w:r>
          </w:p>
        </w:tc>
        <w:tc>
          <w:tcPr>
            <w:tcW w:type="dxa" w:w="1191"/>
          </w:tcPr>
          <w:p>
            <w:pPr>
              <w:spacing w:after="20"/>
            </w:pPr>
            <w:r/>
            <w:r>
              <w:rPr>
                <w:sz w:val="15"/>
              </w:rPr>
              <w:t>Rp39.308.526</w:t>
            </w:r>
          </w:p>
        </w:tc>
      </w:tr>
      <w:tr>
        <w:tc>
          <w:tcPr>
            <w:tcW w:type="dxa" w:w="624"/>
          </w:tcPr>
          <w:p>
            <w:pPr>
              <w:spacing w:after="20"/>
            </w:pPr>
            <w:r/>
            <w:r>
              <w:rPr>
                <w:sz w:val="15"/>
              </w:rPr>
              <w:t>K2</w:t>
            </w:r>
          </w:p>
        </w:tc>
        <w:tc>
          <w:tcPr>
            <w:tcW w:type="dxa" w:w="567"/>
          </w:tcPr>
          <w:p>
            <w:pPr>
              <w:spacing w:after="20"/>
            </w:pPr>
            <w:r/>
            <w:r>
              <w:rPr>
                <w:sz w:val="15"/>
              </w:rPr>
              <w:t>4–6</w:t>
            </w:r>
          </w:p>
        </w:tc>
        <w:tc>
          <w:tcPr>
            <w:tcW w:type="dxa" w:w="2608"/>
          </w:tcPr>
          <w:p>
            <w:pPr>
              <w:spacing w:after="20"/>
            </w:pPr>
            <w:r/>
            <w:r>
              <w:rPr>
                <w:sz w:val="15"/>
              </w:rPr>
              <w:t>Agen CS tingkat 1 (T-01 + T-02 + T-05) untuk kategori status order, saldo, dan promo saja. Verifikasi identitas + liveness (T-03). Pipeline uji otomatis (T-11). Observability &amp; jejak keputusan (T-12). DPIA untuk empat sistem.</w:t>
            </w:r>
          </w:p>
        </w:tc>
        <w:tc>
          <w:tcPr>
            <w:tcW w:type="dxa" w:w="2041"/>
          </w:tcPr>
          <w:p>
            <w:pPr>
              <w:spacing w:after="20"/>
            </w:pPr>
            <w:r/>
            <w:r>
              <w:rPr>
                <w:sz w:val="15"/>
              </w:rPr>
              <w:t>Belum memangkas CS Agent. Belum memangkas QA Engineer. Agen CS berjalan sebagai lapisan bantu, bukan pengganti.</w:t>
            </w:r>
          </w:p>
        </w:tc>
        <w:tc>
          <w:tcPr>
            <w:tcW w:type="dxa" w:w="2041"/>
          </w:tcPr>
          <w:p>
            <w:pPr>
              <w:spacing w:after="20"/>
            </w:pPr>
            <w:r/>
            <w:r>
              <w:rPr>
                <w:sz w:val="15"/>
              </w:rPr>
              <w:t>Deflection terukur ≥50% selama satu bulan penuh; tiket dibuka ulang ≤8%; DPIA selesai; SOP-04 dan SOP-11 sudah direvisi.</w:t>
            </w:r>
          </w:p>
        </w:tc>
        <w:tc>
          <w:tcPr>
            <w:tcW w:type="dxa" w:w="1191"/>
          </w:tcPr>
          <w:p>
            <w:pPr>
              <w:spacing w:after="20"/>
            </w:pPr>
            <w:r/>
            <w:r>
              <w:rPr>
                <w:sz w:val="15"/>
              </w:rPr>
              <w:t>Rp131.931.513</w:t>
            </w:r>
          </w:p>
        </w:tc>
      </w:tr>
      <w:tr>
        <w:tc>
          <w:tcPr>
            <w:tcW w:type="dxa" w:w="624"/>
          </w:tcPr>
          <w:p>
            <w:pPr>
              <w:spacing w:after="20"/>
            </w:pPr>
            <w:r/>
            <w:r>
              <w:rPr>
                <w:sz w:val="15"/>
              </w:rPr>
              <w:t>K3</w:t>
            </w:r>
          </w:p>
        </w:tc>
        <w:tc>
          <w:tcPr>
            <w:tcW w:type="dxa" w:w="567"/>
          </w:tcPr>
          <w:p>
            <w:pPr>
              <w:spacing w:after="20"/>
            </w:pPr>
            <w:r/>
            <w:r>
              <w:rPr>
                <w:sz w:val="15"/>
              </w:rPr>
              <w:t>7–9</w:t>
            </w:r>
          </w:p>
        </w:tc>
        <w:tc>
          <w:tcPr>
            <w:tcW w:type="dxa" w:w="2608"/>
          </w:tcPr>
          <w:p>
            <w:pPr>
              <w:spacing w:after="20"/>
            </w:pPr>
            <w:r/>
            <w:r>
              <w:rPr>
                <w:sz w:val="15"/>
              </w:rPr>
              <w:t>Rekonsiliasi dompet otomatis (T-10) berjalan paralel dengan Treasury manual. Triase fraud (T-04) berjalan sebagai pemeringkat, bukan pemutus. Otomasi laporan Portal Eksekutif (T-07).</w:t>
            </w:r>
          </w:p>
        </w:tc>
        <w:tc>
          <w:tcPr>
            <w:tcW w:type="dxa" w:w="2041"/>
          </w:tcPr>
          <w:p>
            <w:pPr>
              <w:spacing w:after="20"/>
            </w:pPr>
            <w:r/>
            <w:r>
              <w:rPr>
                <w:sz w:val="15"/>
              </w:rPr>
              <w:t>Belum memangkas Treasury. Belum memangkas Data Analyst. Rekonsiliasi otomatis WAJIB dibandingkan dengan hasil manual setiap hari.</w:t>
            </w:r>
          </w:p>
        </w:tc>
        <w:tc>
          <w:tcPr>
            <w:tcW w:type="dxa" w:w="2041"/>
          </w:tcPr>
          <w:p>
            <w:pPr>
              <w:spacing w:after="20"/>
            </w:pPr>
            <w:r/>
            <w:r>
              <w:rPr>
                <w:sz w:val="15"/>
              </w:rPr>
              <w:t>Selisih rekonsiliasi otomatis vs manual = 0 selama 30 hari berturut-turut; nol keputusan penangguhan otomatis tanpa peninjauan manusia.</w:t>
            </w:r>
          </w:p>
        </w:tc>
        <w:tc>
          <w:tcPr>
            <w:tcW w:type="dxa" w:w="1191"/>
          </w:tcPr>
          <w:p>
            <w:pPr>
              <w:spacing w:after="20"/>
            </w:pPr>
            <w:r/>
            <w:r>
              <w:rPr>
                <w:sz w:val="15"/>
              </w:rPr>
              <w:t>Rp131.931.513</w:t>
            </w:r>
          </w:p>
        </w:tc>
      </w:tr>
      <w:tr>
        <w:tc>
          <w:tcPr>
            <w:tcW w:type="dxa" w:w="624"/>
          </w:tcPr>
          <w:p>
            <w:pPr>
              <w:spacing w:after="20"/>
            </w:pPr>
            <w:r/>
            <w:r>
              <w:rPr>
                <w:sz w:val="15"/>
              </w:rPr>
              <w:t>K4</w:t>
            </w:r>
          </w:p>
        </w:tc>
        <w:tc>
          <w:tcPr>
            <w:tcW w:type="dxa" w:w="567"/>
          </w:tcPr>
          <w:p>
            <w:pPr>
              <w:spacing w:after="20"/>
            </w:pPr>
            <w:r/>
            <w:r>
              <w:rPr>
                <w:sz w:val="15"/>
              </w:rPr>
              <w:t>10–12</w:t>
            </w:r>
          </w:p>
        </w:tc>
        <w:tc>
          <w:tcPr>
            <w:tcW w:type="dxa" w:w="2608"/>
          </w:tcPr>
          <w:p>
            <w:pPr>
              <w:spacing w:after="20"/>
            </w:pPr>
            <w:r/>
            <w:r>
              <w:rPr>
                <w:sz w:val="15"/>
              </w:rPr>
              <w:t>Moderasi katalog (T-08). Otomasi konten &amp; kampanye. Residensi data (T-13). PEMANGKASAN PERTAMA: QA Engineer dan satu Mobile Engineer (Mid) tidak direkrut.</w:t>
            </w:r>
          </w:p>
        </w:tc>
        <w:tc>
          <w:tcPr>
            <w:tcW w:type="dxa" w:w="2041"/>
          </w:tcPr>
          <w:p>
            <w:pPr>
              <w:spacing w:after="20"/>
            </w:pPr>
            <w:r/>
            <w:r>
              <w:rPr>
                <w:sz w:val="15"/>
              </w:rPr>
              <w:t>Belum memangkas CS Agent Padang (kota belum dibuka). Belum memangkas Digital Marketing (posisi baru masuk bulan 13).</w:t>
            </w:r>
          </w:p>
        </w:tc>
        <w:tc>
          <w:tcPr>
            <w:tcW w:type="dxa" w:w="2041"/>
          </w:tcPr>
          <w:p>
            <w:pPr>
              <w:spacing w:after="20"/>
            </w:pPr>
            <w:r/>
            <w:r>
              <w:rPr>
                <w:sz w:val="15"/>
              </w:rPr>
              <w:t>Rilis tanpa cacat kritikal ≥ target Bab 5 selama satu kuartal tanpa QA Engineer.</w:t>
            </w:r>
          </w:p>
        </w:tc>
        <w:tc>
          <w:tcPr>
            <w:tcW w:type="dxa" w:w="1191"/>
          </w:tcPr>
          <w:p>
            <w:pPr>
              <w:spacing w:after="20"/>
            </w:pPr>
            <w:r/>
            <w:r>
              <w:rPr>
                <w:sz w:val="15"/>
              </w:rPr>
              <w:t>Rp131.931.513</w:t>
            </w:r>
          </w:p>
        </w:tc>
      </w:tr>
      <w:tr>
        <w:tc>
          <w:tcPr>
            <w:tcW w:type="dxa" w:w="624"/>
          </w:tcPr>
          <w:p>
            <w:pPr>
              <w:spacing w:after="20"/>
            </w:pPr>
            <w:r/>
            <w:r>
              <w:rPr>
                <w:sz w:val="15"/>
              </w:rPr>
              <w:t>K5</w:t>
            </w:r>
          </w:p>
        </w:tc>
        <w:tc>
          <w:tcPr>
            <w:tcW w:type="dxa" w:w="567"/>
          </w:tcPr>
          <w:p>
            <w:pPr>
              <w:spacing w:after="20"/>
            </w:pPr>
            <w:r/>
            <w:r>
              <w:rPr>
                <w:sz w:val="15"/>
              </w:rPr>
              <w:t>13–15</w:t>
            </w:r>
          </w:p>
        </w:tc>
        <w:tc>
          <w:tcPr>
            <w:tcW w:type="dxa" w:w="2608"/>
          </w:tcPr>
          <w:p>
            <w:pPr>
              <w:spacing w:after="20"/>
            </w:pPr>
            <w:r/>
            <w:r>
              <w:rPr>
                <w:sz w:val="15"/>
              </w:rPr>
              <w:t>Pembukaan Padang dengan struktur hibrida sejak hari pertama: 1 City Manager, 1 Ops Supervisor, 2 Partner Acquisition, 1 CS Agent, tanpa Finance Staff lokal. Panggilan otomatis (T-09).</w:t>
            </w:r>
          </w:p>
        </w:tc>
        <w:tc>
          <w:tcPr>
            <w:tcW w:type="dxa" w:w="2041"/>
          </w:tcPr>
          <w:p>
            <w:pPr>
              <w:spacing w:after="20"/>
            </w:pPr>
            <w:r/>
            <w:r>
              <w:rPr>
                <w:sz w:val="15"/>
              </w:rPr>
              <w:t>Posisi lapangan Padang TIDAK dikurangi — pasokan mitra adalah risiko R-07 dengan kemungkinan tertinggi.</w:t>
            </w:r>
          </w:p>
        </w:tc>
        <w:tc>
          <w:tcPr>
            <w:tcW w:type="dxa" w:w="2041"/>
          </w:tcPr>
          <w:p>
            <w:pPr>
              <w:spacing w:after="20"/>
            </w:pPr>
            <w:r/>
            <w:r>
              <w:rPr>
                <w:sz w:val="15"/>
              </w:rPr>
              <w:t>Waktu balas pertama tiket Padang ≤15 menit; peringatan darurat ditangani ≤15 menit pada ≥95% kasus.</w:t>
            </w:r>
          </w:p>
        </w:tc>
        <w:tc>
          <w:tcPr>
            <w:tcW w:type="dxa" w:w="1191"/>
          </w:tcPr>
          <w:p>
            <w:pPr>
              <w:spacing w:after="20"/>
            </w:pPr>
            <w:r/>
            <w:r>
              <w:rPr>
                <w:sz w:val="15"/>
              </w:rPr>
              <w:t>Rp222.455.319</w:t>
            </w:r>
          </w:p>
        </w:tc>
      </w:tr>
      <w:tr>
        <w:tc>
          <w:tcPr>
            <w:tcW w:type="dxa" w:w="624"/>
          </w:tcPr>
          <w:p>
            <w:pPr>
              <w:spacing w:after="20"/>
            </w:pPr>
            <w:r/>
            <w:r>
              <w:rPr>
                <w:sz w:val="15"/>
              </w:rPr>
              <w:t>K6</w:t>
            </w:r>
          </w:p>
        </w:tc>
        <w:tc>
          <w:tcPr>
            <w:tcW w:type="dxa" w:w="567"/>
          </w:tcPr>
          <w:p>
            <w:pPr>
              <w:spacing w:after="20"/>
            </w:pPr>
            <w:r/>
            <w:r>
              <w:rPr>
                <w:sz w:val="15"/>
              </w:rPr>
              <w:t>16–18</w:t>
            </w:r>
          </w:p>
        </w:tc>
        <w:tc>
          <w:tcPr>
            <w:tcW w:type="dxa" w:w="2608"/>
          </w:tcPr>
          <w:p>
            <w:pPr>
              <w:spacing w:after="20"/>
            </w:pPr>
            <w:r/>
            <w:r>
              <w:rPr>
                <w:sz w:val="15"/>
              </w:rPr>
              <w:t>Pemangkasan penuh Skenario B berlaku. Kontraktor pemelihara otomasi dinaikkan ke 1,0 FTE. Titik impas kumulatif tercapai pada bulan 18.</w:t>
            </w:r>
          </w:p>
        </w:tc>
        <w:tc>
          <w:tcPr>
            <w:tcW w:type="dxa" w:w="2041"/>
          </w:tcPr>
          <w:p>
            <w:pPr>
              <w:spacing w:after="20"/>
            </w:pPr>
            <w:r/>
            <w:r>
              <w:rPr>
                <w:sz w:val="15"/>
              </w:rPr>
              <w:t>Tidak menambah otomasi baru. Kuartal ini untuk menstabilkan, bukan memperluas.</w:t>
            </w:r>
          </w:p>
        </w:tc>
        <w:tc>
          <w:tcPr>
            <w:tcW w:type="dxa" w:w="2041"/>
          </w:tcPr>
          <w:p>
            <w:pPr>
              <w:spacing w:after="20"/>
            </w:pPr>
            <w:r/>
            <w:r>
              <w:rPr>
                <w:sz w:val="15"/>
              </w:rPr>
              <w:t>Semua indikator Bab 5 pada ambang; tidak ada temuan kepatuhan terbuka.</w:t>
            </w:r>
          </w:p>
        </w:tc>
        <w:tc>
          <w:tcPr>
            <w:tcW w:type="dxa" w:w="1191"/>
          </w:tcPr>
          <w:p>
            <w:pPr>
              <w:spacing w:after="20"/>
            </w:pPr>
            <w:r/>
            <w:r>
              <w:rPr>
                <w:sz w:val="15"/>
              </w:rPr>
              <w:t>Rp222.455.319</w:t>
            </w:r>
          </w:p>
        </w:tc>
      </w:tr>
      <w:tr>
        <w:tc>
          <w:tcPr>
            <w:tcW w:type="dxa" w:w="624"/>
          </w:tcPr>
          <w:p>
            <w:pPr>
              <w:spacing w:after="20"/>
            </w:pPr>
            <w:r/>
            <w:r>
              <w:rPr>
                <w:sz w:val="15"/>
              </w:rPr>
              <w:t>K7–K8</w:t>
            </w:r>
          </w:p>
        </w:tc>
        <w:tc>
          <w:tcPr>
            <w:tcW w:type="dxa" w:w="567"/>
          </w:tcPr>
          <w:p>
            <w:pPr>
              <w:spacing w:after="20"/>
            </w:pPr>
            <w:r/>
            <w:r>
              <w:rPr>
                <w:sz w:val="15"/>
              </w:rPr>
              <w:t>19–24</w:t>
            </w:r>
          </w:p>
        </w:tc>
        <w:tc>
          <w:tcPr>
            <w:tcW w:type="dxa" w:w="2608"/>
          </w:tcPr>
          <w:p>
            <w:pPr>
              <w:spacing w:after="20"/>
            </w:pPr>
            <w:r/>
            <w:r>
              <w:rPr>
                <w:sz w:val="15"/>
              </w:rPr>
              <w:t>Pemeliharaan dan penajaman. Peninjauan ulang seluruh asumsi dengan data operasi nyata 12 bulan.</w:t>
            </w:r>
          </w:p>
        </w:tc>
        <w:tc>
          <w:tcPr>
            <w:tcW w:type="dxa" w:w="2041"/>
          </w:tcPr>
          <w:p>
            <w:pPr>
              <w:spacing w:after="20"/>
            </w:pPr>
            <w:r/>
            <w:r>
              <w:rPr>
                <w:sz w:val="15"/>
              </w:rPr>
              <w:t>Tidak memangkas lebih jauh tanpa keputusan Komisaris baru.</w:t>
            </w:r>
          </w:p>
        </w:tc>
        <w:tc>
          <w:tcPr>
            <w:tcW w:type="dxa" w:w="2041"/>
          </w:tcPr>
          <w:p>
            <w:pPr>
              <w:spacing w:after="20"/>
            </w:pPr>
            <w:r/>
            <w:r>
              <w:rPr>
                <w:sz w:val="15"/>
              </w:rPr>
              <w:t>Laporan realisasi vs model ini disampaikan ke Dewan Komisaris pada bulan 24.</w:t>
            </w:r>
          </w:p>
        </w:tc>
        <w:tc>
          <w:tcPr>
            <w:tcW w:type="dxa" w:w="1191"/>
          </w:tcPr>
          <w:p>
            <w:pPr>
              <w:spacing w:after="20"/>
            </w:pPr>
            <w:r/>
            <w:r>
              <w:rPr>
                <w:sz w:val="15"/>
              </w:rPr>
              <w:t>Rp444.910.638</w:t>
            </w:r>
          </w:p>
        </w:tc>
      </w:tr>
    </w:tbl>
    <w:p>
      <w:pPr>
        <w:spacing w:after="40"/>
      </w:pPr>
    </w:p>
    <w:p>
      <w:pPr>
        <w:sectPr>
          <w:pgSz w:w="15840" w:h="12240" w:orient="landscape"/>
          <w:pgMar w:top="907" w:right="907" w:bottom="907" w:left="907" w:header="720" w:footer="720" w:gutter="0"/>
          <w:cols w:space="720"/>
          <w:docGrid w:linePitch="360"/>
        </w:sectPr>
      </w:pPr>
    </w:p>
    <w:p>
      <w:pPr>
        <w:pStyle w:val="Heading1"/>
      </w:pPr>
      <w:r>
        <w:rPr>
          <w:color w:val="1F3B63"/>
        </w:rPr>
        <w:t>Bab 8  Risiko dan Mitigasi</w:t>
      </w:r>
    </w:p>
    <w:p>
      <w:pPr>
        <w:spacing w:after="80"/>
      </w:pPr>
      <w:r>
        <w:rPr>
          <w:b w:val="0"/>
          <w:i w:val="0"/>
        </w:rPr>
        <w:t>Register di bawah adalah tambahan terhadap sepuluh risiko yang sudah ada pada Bab 7 manual organisasi (R-01 s.d. R-10). Penomoran dilanjutkan sebagai R-11 dst. Skala dampak dan kemungkinan adalah penilaian penyusun [ASUMSI].</w:t>
      </w:r>
    </w:p>
    <w:tbl>
      <w:tblPr>
        <w:tblStyle w:val="LightGrid-Accent1"/>
        <w:tblW w:type="auto" w:w="0"/>
        <w:tblLayout w:type="fixed"/>
        <w:tblLook w:firstColumn="1" w:firstRow="1" w:lastColumn="0" w:lastRow="0" w:noHBand="0" w:noVBand="1" w:val="04A0"/>
      </w:tblPr>
      <w:tblGrid>
        <w:gridCol w:w="2338"/>
        <w:gridCol w:w="2338"/>
        <w:gridCol w:w="2338"/>
        <w:gridCol w:w="2338"/>
        <w:gridCol w:w="2338"/>
        <w:gridCol w:w="2338"/>
      </w:tblGrid>
      <w:tr>
        <w:tc>
          <w:tcPr>
            <w:tcW w:type="dxa" w:w="510"/>
          </w:tcPr>
          <w:p>
            <w:r/>
            <w:r>
              <w:rPr>
                <w:b/>
                <w:sz w:val="17"/>
              </w:rPr>
              <w:t>Kode</w:t>
            </w:r>
          </w:p>
        </w:tc>
        <w:tc>
          <w:tcPr>
            <w:tcW w:type="dxa" w:w="3061"/>
          </w:tcPr>
          <w:p>
            <w:r/>
            <w:r>
              <w:rPr>
                <w:b/>
                <w:sz w:val="17"/>
              </w:rPr>
              <w:t>Risiko</w:t>
            </w:r>
          </w:p>
        </w:tc>
        <w:tc>
          <w:tcPr>
            <w:tcW w:type="dxa" w:w="794"/>
          </w:tcPr>
          <w:p>
            <w:r/>
            <w:r>
              <w:rPr>
                <w:b/>
                <w:sz w:val="17"/>
              </w:rPr>
              <w:t>Dampak</w:t>
            </w:r>
          </w:p>
        </w:tc>
        <w:tc>
          <w:tcPr>
            <w:tcW w:type="dxa" w:w="850"/>
          </w:tcPr>
          <w:p>
            <w:r/>
            <w:r>
              <w:rPr>
                <w:b/>
                <w:sz w:val="17"/>
              </w:rPr>
              <w:t>Kemung- kinan</w:t>
            </w:r>
          </w:p>
        </w:tc>
        <w:tc>
          <w:tcPr>
            <w:tcW w:type="dxa" w:w="3061"/>
          </w:tcPr>
          <w:p>
            <w:r/>
            <w:r>
              <w:rPr>
                <w:b/>
                <w:sz w:val="17"/>
              </w:rPr>
              <w:t>Mitigasi</w:t>
            </w:r>
          </w:p>
        </w:tc>
        <w:tc>
          <w:tcPr>
            <w:tcW w:type="dxa" w:w="1361"/>
          </w:tcPr>
          <w:p>
            <w:r/>
            <w:r>
              <w:rPr>
                <w:b/>
                <w:sz w:val="17"/>
              </w:rPr>
              <w:t>Pemilik</w:t>
            </w:r>
          </w:p>
        </w:tc>
      </w:tr>
      <w:tr>
        <w:tc>
          <w:tcPr>
            <w:tcW w:type="dxa" w:w="510"/>
          </w:tcPr>
          <w:p>
            <w:pPr>
              <w:spacing w:after="20"/>
            </w:pPr>
            <w:r/>
            <w:r>
              <w:rPr>
                <w:sz w:val="15"/>
              </w:rPr>
              <w:t>R-11</w:t>
            </w:r>
          </w:p>
        </w:tc>
        <w:tc>
          <w:tcPr>
            <w:tcW w:type="dxa" w:w="3061"/>
          </w:tcPr>
          <w:p>
            <w:pPr>
              <w:spacing w:after="20"/>
            </w:pPr>
            <w:r/>
            <w:r>
              <w:rPr>
                <w:sz w:val="15"/>
              </w:rPr>
              <w:t>Keputusan otomatis (penangguhan akun, penolakan verifikasi, penahanan pencairan) digugat berdasarkan UU 27/2022 Pasal 10 — subjek data berhak keberatan atas keputusan yang hanya didasarkan pemrosesan otomatis dan berdampak signifikan [S-78]</w:t>
            </w:r>
          </w:p>
        </w:tc>
        <w:tc>
          <w:tcPr>
            <w:tcW w:type="dxa" w:w="794"/>
          </w:tcPr>
          <w:p>
            <w:pPr>
              <w:spacing w:after="20"/>
            </w:pPr>
            <w:r/>
            <w:r>
              <w:rPr>
                <w:sz w:val="15"/>
              </w:rPr>
              <w:t>Tinggi</w:t>
            </w:r>
          </w:p>
        </w:tc>
        <w:tc>
          <w:tcPr>
            <w:tcW w:type="dxa" w:w="850"/>
          </w:tcPr>
          <w:p>
            <w:pPr>
              <w:spacing w:after="20"/>
            </w:pPr>
            <w:r/>
            <w:r>
              <w:rPr>
                <w:sz w:val="15"/>
              </w:rPr>
              <w:t>Sedang</w:t>
            </w:r>
          </w:p>
        </w:tc>
        <w:tc>
          <w:tcPr>
            <w:tcW w:type="dxa" w:w="3061"/>
          </w:tcPr>
          <w:p>
            <w:pPr>
              <w:spacing w:after="20"/>
            </w:pPr>
            <w:r/>
            <w:r>
              <w:rPr>
                <w:sz w:val="15"/>
              </w:rPr>
              <w:t>Tetapkan aturan mutlak: sistem hanya memberi PERINGKAT, manusia yang MEMUTUSKAN, untuk seluruh tindakan yang menghilangkan penghasilan mitra. Rekam alasan setiap keputusan (T-12). Sediakan jalur banding ke Trust &amp; Safety dengan SLA tertulis.</w:t>
            </w:r>
          </w:p>
        </w:tc>
        <w:tc>
          <w:tcPr>
            <w:tcW w:type="dxa" w:w="1361"/>
          </w:tcPr>
          <w:p>
            <w:pPr>
              <w:spacing w:after="20"/>
            </w:pPr>
            <w:r/>
            <w:r>
              <w:rPr>
                <w:sz w:val="15"/>
              </w:rPr>
              <w:t>Head of Legal &amp; Compliance (DPO)</w:t>
            </w:r>
          </w:p>
        </w:tc>
      </w:tr>
      <w:tr>
        <w:tc>
          <w:tcPr>
            <w:tcW w:type="dxa" w:w="510"/>
          </w:tcPr>
          <w:p>
            <w:pPr>
              <w:spacing w:after="20"/>
            </w:pPr>
            <w:r/>
            <w:r>
              <w:rPr>
                <w:sz w:val="15"/>
              </w:rPr>
              <w:t>R-12</w:t>
            </w:r>
          </w:p>
        </w:tc>
        <w:tc>
          <w:tcPr>
            <w:tcW w:type="dxa" w:w="3061"/>
          </w:tcPr>
          <w:p>
            <w:pPr>
              <w:spacing w:after="20"/>
            </w:pPr>
            <w:r/>
            <w:r>
              <w:rPr>
                <w:sz w:val="15"/>
              </w:rPr>
              <w:t>Data pribadi keluar wilayah Indonesia melalui prompt API atau penyedia KYC luar negeri tanpa dasar Pasal 56 [S-78]</w:t>
            </w:r>
          </w:p>
        </w:tc>
        <w:tc>
          <w:tcPr>
            <w:tcW w:type="dxa" w:w="794"/>
          </w:tcPr>
          <w:p>
            <w:pPr>
              <w:spacing w:after="20"/>
            </w:pPr>
            <w:r/>
            <w:r>
              <w:rPr>
                <w:sz w:val="15"/>
              </w:rPr>
              <w:t>Tinggi</w:t>
            </w:r>
          </w:p>
        </w:tc>
        <w:tc>
          <w:tcPr>
            <w:tcW w:type="dxa" w:w="850"/>
          </w:tcPr>
          <w:p>
            <w:pPr>
              <w:spacing w:after="20"/>
            </w:pPr>
            <w:r/>
            <w:r>
              <w:rPr>
                <w:sz w:val="15"/>
              </w:rPr>
              <w:t>Sedang</w:t>
            </w:r>
          </w:p>
        </w:tc>
        <w:tc>
          <w:tcPr>
            <w:tcW w:type="dxa" w:w="3061"/>
          </w:tcPr>
          <w:p>
            <w:pPr>
              <w:spacing w:after="20"/>
            </w:pPr>
            <w:r/>
            <w:r>
              <w:rPr>
                <w:sz w:val="15"/>
              </w:rPr>
              <w:t>Penyedia KYC WAJIB lokal berizin. Lapisan penyamaran wajib pada seluruh prompt keluar. Perjanjian pemrosesan data ditandatangani sebelum produksi. Register pemrosesan dipelihara DPO.</w:t>
            </w:r>
          </w:p>
        </w:tc>
        <w:tc>
          <w:tcPr>
            <w:tcW w:type="dxa" w:w="1361"/>
          </w:tcPr>
          <w:p>
            <w:pPr>
              <w:spacing w:after="20"/>
            </w:pPr>
            <w:r/>
            <w:r>
              <w:rPr>
                <w:sz w:val="15"/>
              </w:rPr>
              <w:t>Direktur Teknologi bersama DPO</w:t>
            </w:r>
          </w:p>
        </w:tc>
      </w:tr>
      <w:tr>
        <w:tc>
          <w:tcPr>
            <w:tcW w:type="dxa" w:w="510"/>
          </w:tcPr>
          <w:p>
            <w:pPr>
              <w:spacing w:after="20"/>
            </w:pPr>
            <w:r/>
            <w:r>
              <w:rPr>
                <w:sz w:val="15"/>
              </w:rPr>
              <w:t>R-13</w:t>
            </w:r>
          </w:p>
        </w:tc>
        <w:tc>
          <w:tcPr>
            <w:tcW w:type="dxa" w:w="3061"/>
          </w:tcPr>
          <w:p>
            <w:pPr>
              <w:spacing w:after="20"/>
            </w:pPr>
            <w:r/>
            <w:r>
              <w:rPr>
                <w:sz w:val="15"/>
              </w:rPr>
              <w:t>Perpres 27/2026 membatasi potongan aplikasi roda dua maksimal 8% [S-25], sehingga penghematan biaya SDM tidak cukup menutup tekanan marjin bila bauran pendapatan non-komisi tidak terbentuk</w:t>
            </w:r>
          </w:p>
        </w:tc>
        <w:tc>
          <w:tcPr>
            <w:tcW w:type="dxa" w:w="794"/>
          </w:tcPr>
          <w:p>
            <w:pPr>
              <w:spacing w:after="20"/>
            </w:pPr>
            <w:r/>
            <w:r>
              <w:rPr>
                <w:sz w:val="15"/>
              </w:rPr>
              <w:t>Tinggi</w:t>
            </w:r>
          </w:p>
        </w:tc>
        <w:tc>
          <w:tcPr>
            <w:tcW w:type="dxa" w:w="850"/>
          </w:tcPr>
          <w:p>
            <w:pPr>
              <w:spacing w:after="20"/>
            </w:pPr>
            <w:r/>
            <w:r>
              <w:rPr>
                <w:sz w:val="15"/>
              </w:rPr>
              <w:t>Sedang</w:t>
            </w:r>
          </w:p>
        </w:tc>
        <w:tc>
          <w:tcPr>
            <w:tcW w:type="dxa" w:w="3061"/>
          </w:tcPr>
          <w:p>
            <w:pPr>
              <w:spacing w:after="20"/>
            </w:pPr>
            <w:r/>
            <w:r>
              <w:rPr>
                <w:sz w:val="15"/>
              </w:rPr>
              <w:t>Otomasi TIDAK boleh dipakai sebagai jawaban atas tekanan marjin ini. Penghematan 12,6% pada Fase 2 jauh lebih kecil daripada dampak batas 8%. Jawabannya tetap pada target pendapatan non-komisi Bab 5.</w:t>
            </w:r>
          </w:p>
        </w:tc>
        <w:tc>
          <w:tcPr>
            <w:tcW w:type="dxa" w:w="1361"/>
          </w:tcPr>
          <w:p>
            <w:pPr>
              <w:spacing w:after="20"/>
            </w:pPr>
            <w:r/>
            <w:r>
              <w:rPr>
                <w:sz w:val="15"/>
              </w:rPr>
              <w:t>Head of Growth &amp; Partnership</w:t>
            </w:r>
          </w:p>
        </w:tc>
      </w:tr>
      <w:tr>
        <w:tc>
          <w:tcPr>
            <w:tcW w:type="dxa" w:w="510"/>
          </w:tcPr>
          <w:p>
            <w:pPr>
              <w:spacing w:after="20"/>
            </w:pPr>
            <w:r/>
            <w:r>
              <w:rPr>
                <w:sz w:val="15"/>
              </w:rPr>
              <w:t>R-14</w:t>
            </w:r>
          </w:p>
        </w:tc>
        <w:tc>
          <w:tcPr>
            <w:tcW w:type="dxa" w:w="3061"/>
          </w:tcPr>
          <w:p>
            <w:pPr>
              <w:spacing w:after="20"/>
            </w:pPr>
            <w:r/>
            <w:r>
              <w:rPr>
                <w:sz w:val="15"/>
              </w:rPr>
              <w:t>Pemangkasan diterapkan pada posisi yang sudah terisi sehingga menimbulkan biaya pemutusan hubungan kerja dan risiko hukum ketenagakerjaan</w:t>
            </w:r>
          </w:p>
        </w:tc>
        <w:tc>
          <w:tcPr>
            <w:tcW w:type="dxa" w:w="794"/>
          </w:tcPr>
          <w:p>
            <w:pPr>
              <w:spacing w:after="20"/>
            </w:pPr>
            <w:r/>
            <w:r>
              <w:rPr>
                <w:sz w:val="15"/>
              </w:rPr>
              <w:t>Sedang</w:t>
            </w:r>
          </w:p>
        </w:tc>
        <w:tc>
          <w:tcPr>
            <w:tcW w:type="dxa" w:w="850"/>
          </w:tcPr>
          <w:p>
            <w:pPr>
              <w:spacing w:after="20"/>
            </w:pPr>
            <w:r/>
            <w:r>
              <w:rPr>
                <w:sz w:val="15"/>
              </w:rPr>
              <w:t>Tinggi</w:t>
            </w:r>
          </w:p>
        </w:tc>
        <w:tc>
          <w:tcPr>
            <w:tcW w:type="dxa" w:w="3061"/>
          </w:tcPr>
          <w:p>
            <w:pPr>
              <w:spacing w:after="20"/>
            </w:pPr>
            <w:r/>
            <w:r>
              <w:rPr>
                <w:sz w:val="15"/>
              </w:rPr>
              <w:t>Seluruh pemangkasan dalam dokumen ini diusulkan pada posisi yang BELUM direkrut. Bila posisi sudah terisi, biaya pesangon wajib dihitung terpisah dan titik impas mundur. Model tidak memuat biaya ini.</w:t>
            </w:r>
          </w:p>
        </w:tc>
        <w:tc>
          <w:tcPr>
            <w:tcW w:type="dxa" w:w="1361"/>
          </w:tcPr>
          <w:p>
            <w:pPr>
              <w:spacing w:after="20"/>
            </w:pPr>
            <w:r/>
            <w:r>
              <w:rPr>
                <w:sz w:val="15"/>
              </w:rPr>
              <w:t>HR &amp; GA Generalist</w:t>
            </w:r>
          </w:p>
        </w:tc>
      </w:tr>
      <w:tr>
        <w:tc>
          <w:tcPr>
            <w:tcW w:type="dxa" w:w="510"/>
          </w:tcPr>
          <w:p>
            <w:pPr>
              <w:spacing w:after="20"/>
            </w:pPr>
            <w:r/>
            <w:r>
              <w:rPr>
                <w:sz w:val="15"/>
              </w:rPr>
              <w:t>R-15</w:t>
            </w:r>
          </w:p>
        </w:tc>
        <w:tc>
          <w:tcPr>
            <w:tcW w:type="dxa" w:w="3061"/>
          </w:tcPr>
          <w:p>
            <w:pPr>
              <w:spacing w:after="20"/>
            </w:pPr>
            <w:r/>
            <w:r>
              <w:rPr>
                <w:sz w:val="15"/>
              </w:rPr>
              <w:t>Ketergantungan pada satu penyedia model bahasa: perubahan harga, kebijakan, atau ketersediaan layanan</w:t>
            </w:r>
          </w:p>
        </w:tc>
        <w:tc>
          <w:tcPr>
            <w:tcW w:type="dxa" w:w="794"/>
          </w:tcPr>
          <w:p>
            <w:pPr>
              <w:spacing w:after="20"/>
            </w:pPr>
            <w:r/>
            <w:r>
              <w:rPr>
                <w:sz w:val="15"/>
              </w:rPr>
              <w:t>Sedang</w:t>
            </w:r>
          </w:p>
        </w:tc>
        <w:tc>
          <w:tcPr>
            <w:tcW w:type="dxa" w:w="850"/>
          </w:tcPr>
          <w:p>
            <w:pPr>
              <w:spacing w:after="20"/>
            </w:pPr>
            <w:r/>
            <w:r>
              <w:rPr>
                <w:sz w:val="15"/>
              </w:rPr>
              <w:t>Sedang</w:t>
            </w:r>
          </w:p>
        </w:tc>
        <w:tc>
          <w:tcPr>
            <w:tcW w:type="dxa" w:w="3061"/>
          </w:tcPr>
          <w:p>
            <w:pPr>
              <w:spacing w:after="20"/>
            </w:pPr>
            <w:r/>
            <w:r>
              <w:rPr>
                <w:sz w:val="15"/>
              </w:rPr>
              <w:t>Rancang lapisan abstraksi sejak awal sehingga model dapat diganti (pembanding terverifikasi: OpenAI [S-63] dan Gemini [S-64] tersedia pada rentang harga yang sebanding). Jangan menanam prompt di dalam kode aplikasi.</w:t>
            </w:r>
          </w:p>
        </w:tc>
        <w:tc>
          <w:tcPr>
            <w:tcW w:type="dxa" w:w="1361"/>
          </w:tcPr>
          <w:p>
            <w:pPr>
              <w:spacing w:after="20"/>
            </w:pPr>
            <w:r/>
            <w:r>
              <w:rPr>
                <w:sz w:val="15"/>
              </w:rPr>
              <w:t>Direktur Teknologi</w:t>
            </w:r>
          </w:p>
        </w:tc>
      </w:tr>
      <w:tr>
        <w:tc>
          <w:tcPr>
            <w:tcW w:type="dxa" w:w="510"/>
          </w:tcPr>
          <w:p>
            <w:pPr>
              <w:spacing w:after="20"/>
            </w:pPr>
            <w:r/>
            <w:r>
              <w:rPr>
                <w:sz w:val="15"/>
              </w:rPr>
              <w:t>R-16</w:t>
            </w:r>
          </w:p>
        </w:tc>
        <w:tc>
          <w:tcPr>
            <w:tcW w:type="dxa" w:w="3061"/>
          </w:tcPr>
          <w:p>
            <w:pPr>
              <w:spacing w:after="20"/>
            </w:pPr>
            <w:r/>
            <w:r>
              <w:rPr>
                <w:sz w:val="15"/>
              </w:rPr>
              <w:t>Mutu jawaban agen CS menurun diam-diam karena basis pengetahuan tidak dirawat</w:t>
            </w:r>
          </w:p>
        </w:tc>
        <w:tc>
          <w:tcPr>
            <w:tcW w:type="dxa" w:w="794"/>
          </w:tcPr>
          <w:p>
            <w:pPr>
              <w:spacing w:after="20"/>
            </w:pPr>
            <w:r/>
            <w:r>
              <w:rPr>
                <w:sz w:val="15"/>
              </w:rPr>
              <w:t>Sedang</w:t>
            </w:r>
          </w:p>
        </w:tc>
        <w:tc>
          <w:tcPr>
            <w:tcW w:type="dxa" w:w="850"/>
          </w:tcPr>
          <w:p>
            <w:pPr>
              <w:spacing w:after="20"/>
            </w:pPr>
            <w:r/>
            <w:r>
              <w:rPr>
                <w:sz w:val="15"/>
              </w:rPr>
              <w:t>Tinggi</w:t>
            </w:r>
          </w:p>
        </w:tc>
        <w:tc>
          <w:tcPr>
            <w:tcW w:type="dxa" w:w="3061"/>
          </w:tcPr>
          <w:p>
            <w:pPr>
              <w:spacing w:after="20"/>
            </w:pPr>
            <w:r/>
            <w:r>
              <w:rPr>
                <w:sz w:val="15"/>
              </w:rPr>
              <w:t>Pemeriksaan sampel 20 tiket per pekan oleh Head of Customer Experience tetap berlaku (JD-16) — kini termasuk tiket yang dijawab agen AI. Uji regresi mutu jawaban otomatis setiap rilis (T-12).</w:t>
            </w:r>
          </w:p>
        </w:tc>
        <w:tc>
          <w:tcPr>
            <w:tcW w:type="dxa" w:w="1361"/>
          </w:tcPr>
          <w:p>
            <w:pPr>
              <w:spacing w:after="20"/>
            </w:pPr>
            <w:r/>
            <w:r>
              <w:rPr>
                <w:sz w:val="15"/>
              </w:rPr>
              <w:t>Head of Customer Experience</w:t>
            </w:r>
          </w:p>
        </w:tc>
      </w:tr>
      <w:tr>
        <w:tc>
          <w:tcPr>
            <w:tcW w:type="dxa" w:w="510"/>
          </w:tcPr>
          <w:p>
            <w:pPr>
              <w:spacing w:after="20"/>
            </w:pPr>
            <w:r/>
            <w:r>
              <w:rPr>
                <w:sz w:val="15"/>
              </w:rPr>
              <w:t>R-17</w:t>
            </w:r>
          </w:p>
        </w:tc>
        <w:tc>
          <w:tcPr>
            <w:tcW w:type="dxa" w:w="3061"/>
          </w:tcPr>
          <w:p>
            <w:pPr>
              <w:spacing w:after="20"/>
            </w:pPr>
            <w:r/>
            <w:r>
              <w:rPr>
                <w:sz w:val="15"/>
              </w:rPr>
              <w:t>Otomasi rekonsiliasi menutupi selisih alih-alih memunculkannya</w:t>
            </w:r>
          </w:p>
        </w:tc>
        <w:tc>
          <w:tcPr>
            <w:tcW w:type="dxa" w:w="794"/>
          </w:tcPr>
          <w:p>
            <w:pPr>
              <w:spacing w:after="20"/>
            </w:pPr>
            <w:r/>
            <w:r>
              <w:rPr>
                <w:sz w:val="15"/>
              </w:rPr>
              <w:t>Tinggi</w:t>
            </w:r>
          </w:p>
        </w:tc>
        <w:tc>
          <w:tcPr>
            <w:tcW w:type="dxa" w:w="850"/>
          </w:tcPr>
          <w:p>
            <w:pPr>
              <w:spacing w:after="20"/>
            </w:pPr>
            <w:r/>
            <w:r>
              <w:rPr>
                <w:sz w:val="15"/>
              </w:rPr>
              <w:t>Rendah</w:t>
            </w:r>
          </w:p>
        </w:tc>
        <w:tc>
          <w:tcPr>
            <w:tcW w:type="dxa" w:w="3061"/>
          </w:tcPr>
          <w:p>
            <w:pPr>
              <w:spacing w:after="20"/>
            </w:pPr>
            <w:r/>
            <w:r>
              <w:rPr>
                <w:sz w:val="15"/>
              </w:rPr>
              <w:t>Alur rekonsiliasi wajib dirancang agar selisih memicu penahanan tutup buku harian, sesuai kewenangan Treasury/Settlement Officer pada JD-21. Sampel 20 pencairan otomatis per pekan tetap diperiksa manusia (SOP-06).</w:t>
            </w:r>
          </w:p>
        </w:tc>
        <w:tc>
          <w:tcPr>
            <w:tcW w:type="dxa" w:w="1361"/>
          </w:tcPr>
          <w:p>
            <w:pPr>
              <w:spacing w:after="20"/>
            </w:pPr>
            <w:r/>
            <w:r>
              <w:rPr>
                <w:sz w:val="15"/>
              </w:rPr>
              <w:t>Head of Finance</w:t>
            </w:r>
          </w:p>
        </w:tc>
      </w:tr>
    </w:tbl>
    <w:p>
      <w:pPr>
        <w:spacing w:after="40"/>
      </w:pPr>
    </w:p>
    <w:p>
      <w:pPr>
        <w:sectPr>
          <w:pgSz w:w="15840" w:h="12240" w:orient="landscape"/>
          <w:pgMar w:top="907" w:right="907" w:bottom="907" w:left="907" w:header="720" w:footer="720" w:gutter="0"/>
          <w:cols w:space="720"/>
          <w:docGrid w:linePitch="360"/>
        </w:sectPr>
      </w:pPr>
    </w:p>
    <w:p>
      <w:pPr>
        <w:pStyle w:val="Heading1"/>
      </w:pPr>
      <w:r>
        <w:rPr>
          <w:color w:val="1F3B63"/>
        </w:rPr>
        <w:t>Bab 9  Yang Tidak Boleh Diotomasi, dan Dasarnya</w:t>
      </w:r>
    </w:p>
    <w:tbl>
      <w:tblPr>
        <w:tblStyle w:val="LightGrid-Accent1"/>
        <w:tblW w:type="auto" w:w="0"/>
        <w:tblLayout w:type="fixed"/>
        <w:tblLook w:firstColumn="1" w:firstRow="1" w:lastColumn="0" w:lastRow="0" w:noHBand="0" w:noVBand="1" w:val="04A0"/>
      </w:tblPr>
      <w:tblGrid>
        <w:gridCol w:w="3475"/>
        <w:gridCol w:w="3475"/>
        <w:gridCol w:w="3475"/>
      </w:tblGrid>
      <w:tr>
        <w:tc>
          <w:tcPr>
            <w:tcW w:type="dxa" w:w="2494"/>
          </w:tcPr>
          <w:p>
            <w:r/>
            <w:r>
              <w:rPr>
                <w:b/>
                <w:sz w:val="17"/>
              </w:rPr>
              <w:t>Peran / keputusan</w:t>
            </w:r>
          </w:p>
        </w:tc>
        <w:tc>
          <w:tcPr>
            <w:tcW w:type="dxa" w:w="5329"/>
          </w:tcPr>
          <w:p>
            <w:r/>
            <w:r>
              <w:rPr>
                <w:b/>
                <w:sz w:val="17"/>
              </w:rPr>
              <w:t>Dasar</w:t>
            </w:r>
          </w:p>
        </w:tc>
        <w:tc>
          <w:tcPr>
            <w:tcW w:type="dxa" w:w="1134"/>
          </w:tcPr>
          <w:p>
            <w:r/>
            <w:r>
              <w:rPr>
                <w:b/>
                <w:sz w:val="17"/>
              </w:rPr>
              <w:t>Jenis dasar</w:t>
            </w:r>
          </w:p>
        </w:tc>
      </w:tr>
      <w:tr>
        <w:tc>
          <w:tcPr>
            <w:tcW w:type="dxa" w:w="2494"/>
          </w:tcPr>
          <w:p>
            <w:pPr>
              <w:spacing w:after="20"/>
            </w:pPr>
            <w:r/>
            <w:r>
              <w:rPr>
                <w:sz w:val="16"/>
              </w:rPr>
              <w:t>JD-22 Head of Legal &amp; Compliance merangkap Pejabat Pelindungan Data Pribadi</w:t>
            </w:r>
          </w:p>
        </w:tc>
        <w:tc>
          <w:tcPr>
            <w:tcW w:type="dxa" w:w="5329"/>
          </w:tcPr>
          <w:p>
            <w:pPr>
              <w:spacing w:after="20"/>
            </w:pPr>
            <w:r/>
            <w:r>
              <w:rPr>
                <w:sz w:val="16"/>
              </w:rPr>
              <w:t>UU 27/2022 Pasal 53 mewajibkan pengendali dan prosesor data menunjuk pejabat atau petugas yang melaksanakan fungsi pelindungan data pribadi, antara lain karena pemantauan teratur dan sistematis dalam skala besar. Putusan MK 151/PUU-XXII/2024 memperluas tafsirnya. Jabatan melekat pada orang, bukan pada sistem. [S-78]</w:t>
            </w:r>
          </w:p>
        </w:tc>
        <w:tc>
          <w:tcPr>
            <w:tcW w:type="dxa" w:w="1134"/>
          </w:tcPr>
          <w:p>
            <w:pPr>
              <w:spacing w:after="20"/>
            </w:pPr>
            <w:r/>
            <w:r>
              <w:rPr>
                <w:sz w:val="16"/>
              </w:rPr>
              <w:t>Hukum eksplisit</w:t>
            </w:r>
          </w:p>
        </w:tc>
      </w:tr>
      <w:tr>
        <w:tc>
          <w:tcPr>
            <w:tcW w:type="dxa" w:w="2494"/>
          </w:tcPr>
          <w:p>
            <w:pPr>
              <w:spacing w:after="20"/>
            </w:pPr>
            <w:r/>
            <w:r>
              <w:rPr>
                <w:sz w:val="16"/>
              </w:rPr>
              <w:t>JD-01 Direktur Utama, JD-02 CTO, JD-03 COO, JD-19 Head of Finance</w:t>
            </w:r>
          </w:p>
        </w:tc>
        <w:tc>
          <w:tcPr>
            <w:tcW w:type="dxa" w:w="5329"/>
          </w:tcPr>
          <w:p>
            <w:pPr>
              <w:spacing w:after="20"/>
            </w:pPr>
            <w:r/>
            <w:r>
              <w:rPr>
                <w:sz w:val="16"/>
              </w:rPr>
              <w:t>Organ perseroan dan penanggung jawab laporan keuangan serta perpajakan. Menandatangani perjanjian kemitraan, perjanjian dengan Penyedia Jasa Pembayaran berizin, dan sewa kantor. Akuntabilitas ini tidak dapat dialihkan ke sistem.</w:t>
            </w:r>
          </w:p>
        </w:tc>
        <w:tc>
          <w:tcPr>
            <w:tcW w:type="dxa" w:w="1134"/>
          </w:tcPr>
          <w:p>
            <w:pPr>
              <w:spacing w:after="20"/>
            </w:pPr>
            <w:r/>
            <w:r>
              <w:rPr>
                <w:sz w:val="16"/>
              </w:rPr>
              <w:t>Hukum dan tata kelola</w:t>
            </w:r>
          </w:p>
        </w:tc>
      </w:tr>
      <w:tr>
        <w:tc>
          <w:tcPr>
            <w:tcW w:type="dxa" w:w="2494"/>
          </w:tcPr>
          <w:p>
            <w:pPr>
              <w:spacing w:after="20"/>
            </w:pPr>
            <w:r/>
            <w:r>
              <w:rPr>
                <w:sz w:val="16"/>
              </w:rPr>
              <w:t>Keputusan penangguhan akun dan penolakan verifikasi (JD-18 Trust &amp; Safety)</w:t>
            </w:r>
          </w:p>
        </w:tc>
        <w:tc>
          <w:tcPr>
            <w:tcW w:type="dxa" w:w="5329"/>
          </w:tcPr>
          <w:p>
            <w:pPr>
              <w:spacing w:after="20"/>
            </w:pPr>
            <w:r/>
            <w:r>
              <w:rPr>
                <w:sz w:val="16"/>
              </w:rPr>
              <w:t>UU 27/2022 Pasal 10: subjek data berhak mengajukan keberatan atas tindakan pengambilan keputusan yang HANYA didasarkan pemrosesan otomatis, termasuk pemrofilan, yang menimbulkan akibat hukum atau berdampak signifikan. Menangguhkan mitra menghilangkan penghasilannya. [S-78]</w:t>
            </w:r>
          </w:p>
        </w:tc>
        <w:tc>
          <w:tcPr>
            <w:tcW w:type="dxa" w:w="1134"/>
          </w:tcPr>
          <w:p>
            <w:pPr>
              <w:spacing w:after="20"/>
            </w:pPr>
            <w:r/>
            <w:r>
              <w:rPr>
                <w:sz w:val="16"/>
              </w:rPr>
              <w:t>Hukum eksplisit</w:t>
            </w:r>
          </w:p>
        </w:tc>
      </w:tr>
      <w:tr>
        <w:tc>
          <w:tcPr>
            <w:tcW w:type="dxa" w:w="2494"/>
          </w:tcPr>
          <w:p>
            <w:pPr>
              <w:spacing w:after="20"/>
            </w:pPr>
            <w:r/>
            <w:r>
              <w:rPr>
                <w:sz w:val="16"/>
              </w:rPr>
              <w:t>Penerimaan dan penanganan peringatan darurat (SOP-05)</w:t>
            </w:r>
          </w:p>
        </w:tc>
        <w:tc>
          <w:tcPr>
            <w:tcW w:type="dxa" w:w="5329"/>
          </w:tcPr>
          <w:p>
            <w:pPr>
              <w:spacing w:after="20"/>
            </w:pPr>
            <w:r/>
            <w:r>
              <w:rPr>
                <w:sz w:val="16"/>
              </w:rPr>
              <w:t>SOP-05 mewajibkan setiap peringatan darurat ditangani manusia dalam hitungan menit, kanal aktif 24 jam, dengan CS Agent sebagai penerima pertama di luar jam kerja Trust &amp; Safety. Target Bab 5: ≥95% peringatan ditangani ≤15 menit.</w:t>
            </w:r>
          </w:p>
        </w:tc>
        <w:tc>
          <w:tcPr>
            <w:tcW w:type="dxa" w:w="1134"/>
          </w:tcPr>
          <w:p>
            <w:pPr>
              <w:spacing w:after="20"/>
            </w:pPr>
            <w:r/>
            <w:r>
              <w:rPr>
                <w:sz w:val="16"/>
              </w:rPr>
              <w:t>Keselamatan jiwa</w:t>
            </w:r>
          </w:p>
        </w:tc>
      </w:tr>
      <w:tr>
        <w:tc>
          <w:tcPr>
            <w:tcW w:type="dxa" w:w="2494"/>
          </w:tcPr>
          <w:p>
            <w:pPr>
              <w:spacing w:after="20"/>
            </w:pPr>
            <w:r/>
            <w:r>
              <w:rPr>
                <w:sz w:val="16"/>
              </w:rPr>
              <w:t>JD-21 Treasury/Settlement Officer sebagai perekonsiliasi</w:t>
            </w:r>
          </w:p>
        </w:tc>
        <w:tc>
          <w:tcPr>
            <w:tcW w:type="dxa" w:w="5329"/>
          </w:tcPr>
          <w:p>
            <w:pPr>
              <w:spacing w:after="20"/>
            </w:pPr>
            <w:r/>
            <w:r>
              <w:rPr>
                <w:sz w:val="16"/>
              </w:rPr>
              <w:t>DESAIN-ORGANISASI §6 dan SOP-07: penyetuju ≠ pelaksana ≠ perekonsiliasi. Mesin boleh menjalankan pencocokan; penanggung jawab yang berwenang menahan tutup buku harian harus orang yang berbeda dari penyetuju dan pelaksana.</w:t>
            </w:r>
          </w:p>
        </w:tc>
        <w:tc>
          <w:tcPr>
            <w:tcW w:type="dxa" w:w="1134"/>
          </w:tcPr>
          <w:p>
            <w:pPr>
              <w:spacing w:after="20"/>
            </w:pPr>
            <w:r/>
            <w:r>
              <w:rPr>
                <w:sz w:val="16"/>
              </w:rPr>
              <w:t>Kontrol internal wajib</w:t>
            </w:r>
          </w:p>
        </w:tc>
      </w:tr>
      <w:tr>
        <w:tc>
          <w:tcPr>
            <w:tcW w:type="dxa" w:w="2494"/>
          </w:tcPr>
          <w:p>
            <w:pPr>
              <w:spacing w:after="20"/>
            </w:pPr>
            <w:r/>
            <w:r>
              <w:rPr>
                <w:sz w:val="16"/>
              </w:rPr>
              <w:t>JD-13 City Manager, JD-14 Ops Supervisor, JD-15 Partner Acquisition, JD-25 Merchant Acquisition</w:t>
            </w:r>
          </w:p>
        </w:tc>
        <w:tc>
          <w:tcPr>
            <w:tcW w:type="dxa" w:w="5329"/>
          </w:tcPr>
          <w:p>
            <w:pPr>
              <w:spacing w:after="20"/>
            </w:pPr>
            <w:r/>
            <w:r>
              <w:rPr>
                <w:sz w:val="16"/>
              </w:rPr>
              <w:t>Rekrutmen dan pembinaan mitra pengemudi, pemeriksaan fisik kendaraan dan atribut keselamatan, penanganan insiden lapangan, hubungan dengan pemerintah kota dan pengelola pasar, negosiasi paket komisi merchant, dan pelatihan pedagang pasar memakai aplikasi. Register risiko menempatkan kegagalan pasokan mitra (R-07) sebagai risiko dengan kemungkinan tertinggi — ini adalah posisi TERAKHIR yang boleh dipangkas, bukan yang pertama.</w:t>
            </w:r>
          </w:p>
        </w:tc>
        <w:tc>
          <w:tcPr>
            <w:tcW w:type="dxa" w:w="1134"/>
          </w:tcPr>
          <w:p>
            <w:pPr>
              <w:spacing w:after="20"/>
            </w:pPr>
            <w:r/>
            <w:r>
              <w:rPr>
                <w:sz w:val="16"/>
              </w:rPr>
              <w:t>Sifat pekerjaan lapangan</w:t>
            </w:r>
          </w:p>
        </w:tc>
      </w:tr>
      <w:tr>
        <w:tc>
          <w:tcPr>
            <w:tcW w:type="dxa" w:w="2494"/>
          </w:tcPr>
          <w:p>
            <w:pPr>
              <w:spacing w:after="20"/>
            </w:pPr>
            <w:r/>
            <w:r>
              <w:rPr>
                <w:sz w:val="16"/>
              </w:rPr>
              <w:t>Penetapan tarif, komisi, dan promo (SOP-08)</w:t>
            </w:r>
          </w:p>
        </w:tc>
        <w:tc>
          <w:tcPr>
            <w:tcW w:type="dxa" w:w="5329"/>
          </w:tcPr>
          <w:p>
            <w:pPr>
              <w:spacing w:after="20"/>
            </w:pPr>
            <w:r/>
            <w:r>
              <w:rPr>
                <w:sz w:val="16"/>
              </w:rPr>
              <w:t>Kewenangan persetujuan ada pada Dewan Komisaris (DESAIN-ORGANISASI §6). Batas potongan aplikasi roda dua maksimal 8% adalah batas regulasi [S-25] yang pelanggarannya berakibat sanksi; tidak boleh diserahkan pada sistem penetapan harga otomatis.</w:t>
            </w:r>
          </w:p>
        </w:tc>
        <w:tc>
          <w:tcPr>
            <w:tcW w:type="dxa" w:w="1134"/>
          </w:tcPr>
          <w:p>
            <w:pPr>
              <w:spacing w:after="20"/>
            </w:pPr>
            <w:r/>
            <w:r>
              <w:rPr>
                <w:sz w:val="16"/>
              </w:rPr>
              <w:t>Hukum dan tata kelola</w:t>
            </w:r>
          </w:p>
        </w:tc>
      </w:tr>
    </w:tbl>
    <w:p>
      <w:pPr>
        <w:spacing w:after="40"/>
      </w:pPr>
    </w:p>
    <w:p>
      <w:pPr>
        <w:pStyle w:val="Heading1"/>
      </w:pPr>
      <w:r>
        <w:rPr>
          <w:color w:val="1F3B63"/>
        </w:rPr>
        <w:t>Bab 10  Keputusan yang Diminta dari Dewan Komisaris</w:t>
      </w:r>
    </w:p>
    <w:p>
      <w:pPr>
        <w:spacing w:after="80"/>
      </w:pPr>
      <w:r>
        <w:rPr>
          <w:b w:val="0"/>
          <w:i w:val="0"/>
        </w:rPr>
        <w:t>Berikut daftar keputusan yang belum diambil. Analis mengusulkan; kewenangan memutus ada pada Komisaris (DESAIN-ORGANISASI §6).</w:t>
      </w:r>
    </w:p>
    <w:tbl>
      <w:tblPr>
        <w:tblStyle w:val="LightGrid-Accent1"/>
        <w:tblW w:type="auto" w:w="0"/>
        <w:tblLayout w:type="fixed"/>
        <w:tblLook w:firstColumn="1" w:firstRow="1" w:lastColumn="0" w:lastRow="0" w:noHBand="0" w:noVBand="1" w:val="04A0"/>
      </w:tblPr>
      <w:tblGrid>
        <w:gridCol w:w="2606"/>
        <w:gridCol w:w="2606"/>
        <w:gridCol w:w="2606"/>
        <w:gridCol w:w="2606"/>
      </w:tblGrid>
      <w:tr>
        <w:tc>
          <w:tcPr>
            <w:tcW w:type="dxa" w:w="397"/>
          </w:tcPr>
          <w:p>
            <w:r/>
            <w:r>
              <w:rPr>
                <w:b/>
                <w:sz w:val="17"/>
              </w:rPr>
              <w:t>#</w:t>
            </w:r>
          </w:p>
        </w:tc>
        <w:tc>
          <w:tcPr>
            <w:tcW w:type="dxa" w:w="3175"/>
          </w:tcPr>
          <w:p>
            <w:r/>
            <w:r>
              <w:rPr>
                <w:b/>
                <w:sz w:val="17"/>
              </w:rPr>
              <w:t>Keputusan</w:t>
            </w:r>
          </w:p>
        </w:tc>
        <w:tc>
          <w:tcPr>
            <w:tcW w:type="dxa" w:w="2948"/>
          </w:tcPr>
          <w:p>
            <w:r/>
            <w:r>
              <w:rPr>
                <w:b/>
                <w:sz w:val="17"/>
              </w:rPr>
              <w:t>Usulan analis</w:t>
            </w:r>
          </w:p>
        </w:tc>
        <w:tc>
          <w:tcPr>
            <w:tcW w:type="dxa" w:w="2438"/>
          </w:tcPr>
          <w:p>
            <w:r/>
            <w:r>
              <w:rPr>
                <w:b/>
                <w:sz w:val="17"/>
              </w:rPr>
              <w:t>Konsekuensi bila ditolak</w:t>
            </w:r>
          </w:p>
        </w:tc>
      </w:tr>
      <w:tr>
        <w:tc>
          <w:tcPr>
            <w:tcW w:type="dxa" w:w="397"/>
          </w:tcPr>
          <w:p>
            <w:pPr>
              <w:spacing w:after="20"/>
            </w:pPr>
            <w:r/>
            <w:r>
              <w:rPr>
                <w:sz w:val="16"/>
              </w:rPr>
              <w:t>1</w:t>
            </w:r>
          </w:p>
        </w:tc>
        <w:tc>
          <w:tcPr>
            <w:tcW w:type="dxa" w:w="3175"/>
          </w:tcPr>
          <w:p>
            <w:pPr>
              <w:spacing w:after="20"/>
            </w:pPr>
            <w:r/>
            <w:r>
              <w:rPr>
                <w:sz w:val="16"/>
              </w:rPr>
              <w:t>Menyetujui Skenario B sebagai kerangka perencanaan tenaga kerja Fase 2 (30 orang, bukan 42)</w:t>
            </w:r>
          </w:p>
        </w:tc>
        <w:tc>
          <w:tcPr>
            <w:tcW w:type="dxa" w:w="2948"/>
          </w:tcPr>
          <w:p>
            <w:pPr>
              <w:spacing w:after="20"/>
            </w:pPr>
            <w:r/>
            <w:r>
              <w:rPr>
                <w:sz w:val="16"/>
              </w:rPr>
              <w:t>Setujui</w:t>
            </w:r>
          </w:p>
        </w:tc>
        <w:tc>
          <w:tcPr>
            <w:tcW w:type="dxa" w:w="2438"/>
          </w:tcPr>
          <w:p>
            <w:pPr>
              <w:spacing w:after="20"/>
            </w:pPr>
            <w:r/>
            <w:r>
              <w:rPr>
                <w:sz w:val="16"/>
              </w:rPr>
              <w:t>Tetap pada Skenario A: biaya 24 bulan Rp646.819.986 lebih tinggi, runway lebih pendek</w:t>
            </w:r>
          </w:p>
        </w:tc>
      </w:tr>
      <w:tr>
        <w:tc>
          <w:tcPr>
            <w:tcW w:type="dxa" w:w="397"/>
          </w:tcPr>
          <w:p>
            <w:pPr>
              <w:spacing w:after="20"/>
            </w:pPr>
            <w:r/>
            <w:r>
              <w:rPr>
                <w:sz w:val="16"/>
              </w:rPr>
              <w:t>2</w:t>
            </w:r>
          </w:p>
        </w:tc>
        <w:tc>
          <w:tcPr>
            <w:tcW w:type="dxa" w:w="3175"/>
          </w:tcPr>
          <w:p>
            <w:pPr>
              <w:spacing w:after="20"/>
            </w:pPr>
            <w:r/>
            <w:r>
              <w:rPr>
                <w:sz w:val="16"/>
              </w:rPr>
              <w:t>Menyetujui anggaran biaya satu kali Rp350.000.000 untuk implementasi, integrasi, dan DPIA (di atas ambang Rp50 juta)</w:t>
            </w:r>
          </w:p>
        </w:tc>
        <w:tc>
          <w:tcPr>
            <w:tcW w:type="dxa" w:w="2948"/>
          </w:tcPr>
          <w:p>
            <w:pPr>
              <w:spacing w:after="20"/>
            </w:pPr>
            <w:r/>
            <w:r>
              <w:rPr>
                <w:sz w:val="16"/>
              </w:rPr>
              <w:t>Setujui, dicairkan bertahap per kuartal dengan gerbang kelulusan Bab 7</w:t>
            </w:r>
          </w:p>
        </w:tc>
        <w:tc>
          <w:tcPr>
            <w:tcW w:type="dxa" w:w="2438"/>
          </w:tcPr>
          <w:p>
            <w:pPr>
              <w:spacing w:after="20"/>
            </w:pPr>
            <w:r/>
            <w:r>
              <w:rPr>
                <w:sz w:val="16"/>
              </w:rPr>
              <w:t>Otomasi tidak dapat dibangun; Skenario B tidak berlaku</w:t>
            </w:r>
          </w:p>
        </w:tc>
      </w:tr>
      <w:tr>
        <w:tc>
          <w:tcPr>
            <w:tcW w:type="dxa" w:w="397"/>
          </w:tcPr>
          <w:p>
            <w:pPr>
              <w:spacing w:after="20"/>
            </w:pPr>
            <w:r/>
            <w:r>
              <w:rPr>
                <w:sz w:val="16"/>
              </w:rPr>
              <w:t>3</w:t>
            </w:r>
          </w:p>
        </w:tc>
        <w:tc>
          <w:tcPr>
            <w:tcW w:type="dxa" w:w="3175"/>
          </w:tcPr>
          <w:p>
            <w:pPr>
              <w:spacing w:after="20"/>
            </w:pPr>
            <w:r/>
            <w:r>
              <w:rPr>
                <w:sz w:val="16"/>
              </w:rPr>
              <w:t>Menolak Skenario C secara eksplisit dan mencatatnya pada risalah</w:t>
            </w:r>
          </w:p>
        </w:tc>
        <w:tc>
          <w:tcPr>
            <w:tcW w:type="dxa" w:w="2948"/>
          </w:tcPr>
          <w:p>
            <w:pPr>
              <w:spacing w:after="20"/>
            </w:pPr>
            <w:r/>
            <w:r>
              <w:rPr>
                <w:sz w:val="16"/>
              </w:rPr>
              <w:t>Tolak</w:t>
            </w:r>
          </w:p>
        </w:tc>
        <w:tc>
          <w:tcPr>
            <w:tcW w:type="dxa" w:w="2438"/>
          </w:tcPr>
          <w:p>
            <w:pPr>
              <w:spacing w:after="20"/>
            </w:pPr>
            <w:r/>
            <w:r>
              <w:rPr>
                <w:sz w:val="16"/>
              </w:rPr>
              <w:t>Bila tidak dicatat, tekanan biaya di kemudian hari dapat mendorong pemangkasan Treasury dan CS tanpa pembahasan ulang</w:t>
            </w:r>
          </w:p>
        </w:tc>
      </w:tr>
      <w:tr>
        <w:tc>
          <w:tcPr>
            <w:tcW w:type="dxa" w:w="397"/>
          </w:tcPr>
          <w:p>
            <w:pPr>
              <w:spacing w:after="20"/>
            </w:pPr>
            <w:r/>
            <w:r>
              <w:rPr>
                <w:sz w:val="16"/>
              </w:rPr>
              <w:t>4</w:t>
            </w:r>
          </w:p>
        </w:tc>
        <w:tc>
          <w:tcPr>
            <w:tcW w:type="dxa" w:w="3175"/>
          </w:tcPr>
          <w:p>
            <w:pPr>
              <w:spacing w:after="20"/>
            </w:pPr>
            <w:r/>
            <w:r>
              <w:rPr>
                <w:sz w:val="16"/>
              </w:rPr>
              <w:t>Menugaskan revisi SOP-04 (jenjang tiket dengan agen AI), SOP-11 (gerbang rilis tanpa QA Engineer), dan SOP-06 (triase fraud otomatis) SEBELUM posisi terkait dipangkas</w:t>
            </w:r>
          </w:p>
        </w:tc>
        <w:tc>
          <w:tcPr>
            <w:tcW w:type="dxa" w:w="2948"/>
          </w:tcPr>
          <w:p>
            <w:pPr>
              <w:spacing w:after="20"/>
            </w:pPr>
            <w:r/>
            <w:r>
              <w:rPr>
                <w:sz w:val="16"/>
              </w:rPr>
              <w:t>Setujui</w:t>
            </w:r>
          </w:p>
        </w:tc>
        <w:tc>
          <w:tcPr>
            <w:tcW w:type="dxa" w:w="2438"/>
          </w:tcPr>
          <w:p>
            <w:pPr>
              <w:spacing w:after="20"/>
            </w:pPr>
            <w:r/>
            <w:r>
              <w:rPr>
                <w:sz w:val="16"/>
              </w:rPr>
              <w:t>Posisi dipangkas tanpa dasar prosedur — temuan pada audit dan uji tuntas</w:t>
            </w:r>
          </w:p>
        </w:tc>
      </w:tr>
      <w:tr>
        <w:tc>
          <w:tcPr>
            <w:tcW w:type="dxa" w:w="397"/>
          </w:tcPr>
          <w:p>
            <w:pPr>
              <w:spacing w:after="20"/>
            </w:pPr>
            <w:r/>
            <w:r>
              <w:rPr>
                <w:sz w:val="16"/>
              </w:rPr>
              <w:t>5</w:t>
            </w:r>
          </w:p>
        </w:tc>
        <w:tc>
          <w:tcPr>
            <w:tcW w:type="dxa" w:w="3175"/>
          </w:tcPr>
          <w:p>
            <w:pPr>
              <w:spacing w:after="20"/>
            </w:pPr>
            <w:r/>
            <w:r>
              <w:rPr>
                <w:sz w:val="16"/>
              </w:rPr>
              <w:t>Memutuskan nasib Junior Software Engineer Padang: dipertahankan sebagai kaderisasi lokal (biaya Rp9.152.990/bulan) atau dipangkas</w:t>
            </w:r>
          </w:p>
        </w:tc>
        <w:tc>
          <w:tcPr>
            <w:tcW w:type="dxa" w:w="2948"/>
          </w:tcPr>
          <w:p>
            <w:pPr>
              <w:spacing w:after="20"/>
            </w:pPr>
            <w:r/>
            <w:r>
              <w:rPr>
                <w:sz w:val="16"/>
              </w:rPr>
              <w:t>Pertahankan — nilainya strategis, bukan produktivitas</w:t>
            </w:r>
          </w:p>
        </w:tc>
        <w:tc>
          <w:tcPr>
            <w:tcW w:type="dxa" w:w="2438"/>
          </w:tcPr>
          <w:p>
            <w:pPr>
              <w:spacing w:after="20"/>
            </w:pPr>
            <w:r/>
            <w:r>
              <w:rPr>
                <w:sz w:val="16"/>
              </w:rPr>
              <w:t>Bila dipangkas, penghematan bertambah Rp9.152.990/bulan tetapi rencana kaderisasi lokal Pekanbaru–Padang batal</w:t>
            </w:r>
          </w:p>
        </w:tc>
      </w:tr>
      <w:tr>
        <w:tc>
          <w:tcPr>
            <w:tcW w:type="dxa" w:w="397"/>
          </w:tcPr>
          <w:p>
            <w:pPr>
              <w:spacing w:after="20"/>
            </w:pPr>
            <w:r/>
            <w:r>
              <w:rPr>
                <w:sz w:val="16"/>
              </w:rPr>
              <w:t>6</w:t>
            </w:r>
          </w:p>
        </w:tc>
        <w:tc>
          <w:tcPr>
            <w:tcW w:type="dxa" w:w="3175"/>
          </w:tcPr>
          <w:p>
            <w:pPr>
              <w:spacing w:after="20"/>
            </w:pPr>
            <w:r/>
            <w:r>
              <w:rPr>
                <w:sz w:val="16"/>
              </w:rPr>
              <w:t>Menetapkan kebijakan tertulis: data identitas resmi (KTP, SIM, STNK, swafoto) tidak boleh keluar wilayah Indonesia</w:t>
            </w:r>
          </w:p>
        </w:tc>
        <w:tc>
          <w:tcPr>
            <w:tcW w:type="dxa" w:w="2948"/>
          </w:tcPr>
          <w:p>
            <w:pPr>
              <w:spacing w:after="20"/>
            </w:pPr>
            <w:r/>
            <w:r>
              <w:rPr>
                <w:sz w:val="16"/>
              </w:rPr>
              <w:t>Setujui sebagai kebijakan, bukan sebagai preferensi teknis</w:t>
            </w:r>
          </w:p>
        </w:tc>
        <w:tc>
          <w:tcPr>
            <w:tcW w:type="dxa" w:w="2438"/>
          </w:tcPr>
          <w:p>
            <w:pPr>
              <w:spacing w:after="20"/>
            </w:pPr>
            <w:r/>
            <w:r>
              <w:rPr>
                <w:sz w:val="16"/>
              </w:rPr>
              <w:t>Risiko R-12 terbuka; sanksi administratif hingga 2% pendapatan tahunan</w:t>
            </w:r>
          </w:p>
        </w:tc>
      </w:tr>
      <w:tr>
        <w:tc>
          <w:tcPr>
            <w:tcW w:type="dxa" w:w="397"/>
          </w:tcPr>
          <w:p>
            <w:pPr>
              <w:spacing w:after="20"/>
            </w:pPr>
            <w:r/>
            <w:r>
              <w:rPr>
                <w:sz w:val="16"/>
              </w:rPr>
              <w:t>7</w:t>
            </w:r>
          </w:p>
        </w:tc>
        <w:tc>
          <w:tcPr>
            <w:tcW w:type="dxa" w:w="3175"/>
          </w:tcPr>
          <w:p>
            <w:pPr>
              <w:spacing w:after="20"/>
            </w:pPr>
            <w:r/>
            <w:r>
              <w:rPr>
                <w:sz w:val="16"/>
              </w:rPr>
              <w:t>Menetapkan lantai jumlah CS Agent = 3 orang yang tidak boleh dilanggar oleh pertimbangan biaya</w:t>
            </w:r>
          </w:p>
        </w:tc>
        <w:tc>
          <w:tcPr>
            <w:tcW w:type="dxa" w:w="2948"/>
          </w:tcPr>
          <w:p>
            <w:pPr>
              <w:spacing w:after="20"/>
            </w:pPr>
            <w:r/>
            <w:r>
              <w:rPr>
                <w:sz w:val="16"/>
              </w:rPr>
              <w:t>Setujui</w:t>
            </w:r>
          </w:p>
        </w:tc>
        <w:tc>
          <w:tcPr>
            <w:tcW w:type="dxa" w:w="2438"/>
          </w:tcPr>
          <w:p>
            <w:pPr>
              <w:spacing w:after="20"/>
            </w:pPr>
            <w:r/>
            <w:r>
              <w:rPr>
                <w:sz w:val="16"/>
              </w:rPr>
              <w:t>Kanal darurat 24 jam tidak terjamin; target ≥95% peringatan ditangani ≤15 menit tidak dapat dipenuhi</w:t>
            </w:r>
          </w:p>
        </w:tc>
      </w:tr>
    </w:tbl>
    <w:p>
      <w:pPr>
        <w:spacing w:after="40"/>
      </w:pPr>
    </w:p>
    <w:p>
      <w:r>
        <w:br w:type="page"/>
      </w:r>
    </w:p>
    <w:p>
      <w:pPr>
        <w:pStyle w:val="Heading1"/>
      </w:pPr>
      <w:r>
        <w:rPr>
          <w:color w:val="1F3B63"/>
        </w:rPr>
        <w:t>Lampiran A  Sumber</w:t>
      </w:r>
    </w:p>
    <w:p>
      <w:pPr>
        <w:spacing w:after="80"/>
      </w:pPr>
      <w:r>
        <w:rPr>
          <w:b w:val="0"/>
          <w:i w:val="0"/>
        </w:rPr>
        <w:t>Penomoran melanjutkan Lampiran A manual organisasi yang berakhir pada [S-61], agar dapat dicocokkan silang. Seluruh sumber baru diakses 7 September 2026.</w:t>
      </w:r>
    </w:p>
    <w:tbl>
      <w:tblPr>
        <w:tblStyle w:val="LightGrid-Accent1"/>
        <w:tblW w:type="auto" w:w="0"/>
        <w:tblLayout w:type="fixed"/>
        <w:tblLook w:firstColumn="1" w:firstRow="1" w:lastColumn="0" w:lastRow="0" w:noHBand="0" w:noVBand="1" w:val="04A0"/>
      </w:tblPr>
      <w:tblGrid>
        <w:gridCol w:w="3475"/>
        <w:gridCol w:w="3475"/>
        <w:gridCol w:w="3475"/>
      </w:tblGrid>
      <w:tr>
        <w:tc>
          <w:tcPr>
            <w:tcW w:type="dxa" w:w="567"/>
          </w:tcPr>
          <w:p>
            <w:r/>
            <w:r>
              <w:rPr>
                <w:b/>
                <w:sz w:val="17"/>
              </w:rPr>
              <w:t>ID</w:t>
            </w:r>
          </w:p>
        </w:tc>
        <w:tc>
          <w:tcPr>
            <w:tcW w:type="dxa" w:w="5329"/>
          </w:tcPr>
          <w:p>
            <w:r/>
            <w:r>
              <w:rPr>
                <w:b/>
                <w:sz w:val="17"/>
              </w:rPr>
              <w:t>Isi yang dikutip</w:t>
            </w:r>
          </w:p>
        </w:tc>
        <w:tc>
          <w:tcPr>
            <w:tcW w:type="dxa" w:w="3061"/>
          </w:tcPr>
          <w:p>
            <w:r/>
            <w:r>
              <w:rPr>
                <w:b/>
                <w:sz w:val="17"/>
              </w:rPr>
              <w:t>URL</w:t>
            </w:r>
          </w:p>
        </w:tc>
      </w:tr>
      <w:tr>
        <w:tc>
          <w:tcPr>
            <w:tcW w:type="dxa" w:w="567"/>
          </w:tcPr>
          <w:p>
            <w:pPr>
              <w:spacing w:after="20"/>
            </w:pPr>
            <w:r/>
            <w:r>
              <w:rPr>
                <w:sz w:val="15"/>
              </w:rPr>
              <w:t>S-62</w:t>
            </w:r>
          </w:p>
        </w:tc>
        <w:tc>
          <w:tcPr>
            <w:tcW w:type="dxa" w:w="5329"/>
          </w:tcPr>
          <w:p>
            <w:pPr>
              <w:spacing w:after="20"/>
            </w:pPr>
            <w:r/>
            <w:r>
              <w:rPr>
                <w:sz w:val="15"/>
              </w:rPr>
              <w:t>Anthropic — dokumentasi harga API Claude: Haiku 4.5 USD 1/5, Sonnet 5 USD 2/10, Opus 5 USD 5/25 per juta token</w:t>
            </w:r>
          </w:p>
        </w:tc>
        <w:tc>
          <w:tcPr>
            <w:tcW w:type="dxa" w:w="3061"/>
          </w:tcPr>
          <w:p>
            <w:pPr>
              <w:spacing w:after="20"/>
            </w:pPr>
            <w:r/>
            <w:r>
              <w:rPr>
                <w:sz w:val="15"/>
              </w:rPr>
              <w:t>https://platform.claude.com/docs/en/about-claude/pricing</w:t>
            </w:r>
          </w:p>
        </w:tc>
      </w:tr>
      <w:tr>
        <w:tc>
          <w:tcPr>
            <w:tcW w:type="dxa" w:w="567"/>
          </w:tcPr>
          <w:p>
            <w:pPr>
              <w:spacing w:after="20"/>
            </w:pPr>
            <w:r/>
            <w:r>
              <w:rPr>
                <w:sz w:val="15"/>
              </w:rPr>
              <w:t>S-63</w:t>
            </w:r>
          </w:p>
        </w:tc>
        <w:tc>
          <w:tcPr>
            <w:tcW w:type="dxa" w:w="5329"/>
          </w:tcPr>
          <w:p>
            <w:pPr>
              <w:spacing w:after="20"/>
            </w:pPr>
            <w:r/>
            <w:r>
              <w:rPr>
                <w:sz w:val="15"/>
              </w:rPr>
              <w:t>OpenAI — halaman harga API: GPT-5.6 Luna USD 0,20/1,20; Terra USD 2/12; Sol USD 5/30 per juta token</w:t>
            </w:r>
          </w:p>
        </w:tc>
        <w:tc>
          <w:tcPr>
            <w:tcW w:type="dxa" w:w="3061"/>
          </w:tcPr>
          <w:p>
            <w:pPr>
              <w:spacing w:after="20"/>
            </w:pPr>
            <w:r/>
            <w:r>
              <w:rPr>
                <w:sz w:val="15"/>
              </w:rPr>
              <w:t>https://openai.com/api/pricing/</w:t>
            </w:r>
          </w:p>
        </w:tc>
      </w:tr>
      <w:tr>
        <w:tc>
          <w:tcPr>
            <w:tcW w:type="dxa" w:w="567"/>
          </w:tcPr>
          <w:p>
            <w:pPr>
              <w:spacing w:after="20"/>
            </w:pPr>
            <w:r/>
            <w:r>
              <w:rPr>
                <w:sz w:val="15"/>
              </w:rPr>
              <w:t>S-64</w:t>
            </w:r>
          </w:p>
        </w:tc>
        <w:tc>
          <w:tcPr>
            <w:tcW w:type="dxa" w:w="5329"/>
          </w:tcPr>
          <w:p>
            <w:pPr>
              <w:spacing w:after="20"/>
            </w:pPr>
            <w:r/>
            <w:r>
              <w:rPr>
                <w:sz w:val="15"/>
              </w:rPr>
              <w:t>Google — Gemini API pricing: Gemini 3.8 Flash USD 0,75/3,75 per juta token sampai 31 Desember 2026</w:t>
            </w:r>
          </w:p>
        </w:tc>
        <w:tc>
          <w:tcPr>
            <w:tcW w:type="dxa" w:w="3061"/>
          </w:tcPr>
          <w:p>
            <w:pPr>
              <w:spacing w:after="20"/>
            </w:pPr>
            <w:r/>
            <w:r>
              <w:rPr>
                <w:sz w:val="15"/>
              </w:rPr>
              <w:t>https://ai.google.dev/gemini-api/docs/pricing</w:t>
            </w:r>
          </w:p>
        </w:tc>
      </w:tr>
      <w:tr>
        <w:tc>
          <w:tcPr>
            <w:tcW w:type="dxa" w:w="567"/>
          </w:tcPr>
          <w:p>
            <w:pPr>
              <w:spacing w:after="20"/>
            </w:pPr>
            <w:r/>
            <w:r>
              <w:rPr>
                <w:sz w:val="15"/>
              </w:rPr>
              <w:t>S-65</w:t>
            </w:r>
          </w:p>
        </w:tc>
        <w:tc>
          <w:tcPr>
            <w:tcW w:type="dxa" w:w="5329"/>
          </w:tcPr>
          <w:p>
            <w:pPr>
              <w:spacing w:after="20"/>
            </w:pPr>
            <w:r/>
            <w:r>
              <w:rPr>
                <w:sz w:val="15"/>
              </w:rPr>
              <w:t>Intercom — halaman harga: Fin AI Agent USD 0,99 per hasil; kursi USD 29 / 85 / 132 per bulan</w:t>
            </w:r>
          </w:p>
        </w:tc>
        <w:tc>
          <w:tcPr>
            <w:tcW w:type="dxa" w:w="3061"/>
          </w:tcPr>
          <w:p>
            <w:pPr>
              <w:spacing w:after="20"/>
            </w:pPr>
            <w:r/>
            <w:r>
              <w:rPr>
                <w:sz w:val="15"/>
              </w:rPr>
              <w:t>https://www.intercom.com/pricing</w:t>
            </w:r>
          </w:p>
        </w:tc>
      </w:tr>
      <w:tr>
        <w:tc>
          <w:tcPr>
            <w:tcW w:type="dxa" w:w="567"/>
          </w:tcPr>
          <w:p>
            <w:pPr>
              <w:spacing w:after="20"/>
            </w:pPr>
            <w:r/>
            <w:r>
              <w:rPr>
                <w:sz w:val="15"/>
              </w:rPr>
              <w:t>S-66</w:t>
            </w:r>
          </w:p>
        </w:tc>
        <w:tc>
          <w:tcPr>
            <w:tcW w:type="dxa" w:w="5329"/>
          </w:tcPr>
          <w:p>
            <w:pPr>
              <w:spacing w:after="20"/>
            </w:pPr>
            <w:r/>
            <w:r>
              <w:rPr>
                <w:sz w:val="15"/>
              </w:rPr>
              <w:t>Zendesk — halaman harga: Suite Team USD 55 dan Suite Professional USD 115 per agen per bulan (tagihan tahunan); agen AI ditagih per automated resolution, tarifnya tidak dipublikasikan</w:t>
            </w:r>
          </w:p>
        </w:tc>
        <w:tc>
          <w:tcPr>
            <w:tcW w:type="dxa" w:w="3061"/>
          </w:tcPr>
          <w:p>
            <w:pPr>
              <w:spacing w:after="20"/>
            </w:pPr>
            <w:r/>
            <w:r>
              <w:rPr>
                <w:sz w:val="15"/>
              </w:rPr>
              <w:t>https://www.zendesk.com/pricing/</w:t>
            </w:r>
          </w:p>
        </w:tc>
      </w:tr>
      <w:tr>
        <w:tc>
          <w:tcPr>
            <w:tcW w:type="dxa" w:w="567"/>
          </w:tcPr>
          <w:p>
            <w:pPr>
              <w:spacing w:after="20"/>
            </w:pPr>
            <w:r/>
            <w:r>
              <w:rPr>
                <w:sz w:val="15"/>
              </w:rPr>
              <w:t>S-67</w:t>
            </w:r>
          </w:p>
        </w:tc>
        <w:tc>
          <w:tcPr>
            <w:tcW w:type="dxa" w:w="5329"/>
          </w:tcPr>
          <w:p>
            <w:pPr>
              <w:spacing w:after="20"/>
            </w:pPr>
            <w:r/>
            <w:r>
              <w:rPr>
                <w:sz w:val="15"/>
              </w:rPr>
              <w:t>Didit — perbandingan biaya verifikasi identitas: alur KYC inti (verifikasi dokumen + passive liveness + kecocokan wajah 1:1) USD 0,33 per verifikasi; dengan AML USD 0,53</w:t>
            </w:r>
          </w:p>
        </w:tc>
        <w:tc>
          <w:tcPr>
            <w:tcW w:type="dxa" w:w="3061"/>
          </w:tcPr>
          <w:p>
            <w:pPr>
              <w:spacing w:after="20"/>
            </w:pPr>
            <w:r/>
            <w:r>
              <w:rPr>
                <w:sz w:val="15"/>
              </w:rPr>
              <w:t>https://didit.me/id/blog/identity-verification-cost-comparison-ja/</w:t>
            </w:r>
          </w:p>
        </w:tc>
      </w:tr>
      <w:tr>
        <w:tc>
          <w:tcPr>
            <w:tcW w:type="dxa" w:w="567"/>
          </w:tcPr>
          <w:p>
            <w:pPr>
              <w:spacing w:after="20"/>
            </w:pPr>
            <w:r/>
            <w:r>
              <w:rPr>
                <w:sz w:val="15"/>
              </w:rPr>
              <w:t>S-68</w:t>
            </w:r>
          </w:p>
        </w:tc>
        <w:tc>
          <w:tcPr>
            <w:tcW w:type="dxa" w:w="5329"/>
          </w:tcPr>
          <w:p>
            <w:pPr>
              <w:spacing w:after="20"/>
            </w:pPr>
            <w:r/>
            <w:r>
              <w:rPr>
                <w:sz w:val="15"/>
              </w:rPr>
              <w:t>n8n — halaman harga: Starter EUR 20 (2.500 eksekusi), Pro EUR 50 (10.000), Business EUR 667 (40.000) per bulan; Community edition swakelola gratis</w:t>
            </w:r>
          </w:p>
        </w:tc>
        <w:tc>
          <w:tcPr>
            <w:tcW w:type="dxa" w:w="3061"/>
          </w:tcPr>
          <w:p>
            <w:pPr>
              <w:spacing w:after="20"/>
            </w:pPr>
            <w:r/>
            <w:r>
              <w:rPr>
                <w:sz w:val="15"/>
              </w:rPr>
              <w:t>https://n8n.io/pricing/</w:t>
            </w:r>
          </w:p>
        </w:tc>
      </w:tr>
      <w:tr>
        <w:tc>
          <w:tcPr>
            <w:tcW w:type="dxa" w:w="567"/>
          </w:tcPr>
          <w:p>
            <w:pPr>
              <w:spacing w:after="20"/>
            </w:pPr>
            <w:r/>
            <w:r>
              <w:rPr>
                <w:sz w:val="15"/>
              </w:rPr>
              <w:t>S-69</w:t>
            </w:r>
          </w:p>
        </w:tc>
        <w:tc>
          <w:tcPr>
            <w:tcW w:type="dxa" w:w="5329"/>
          </w:tcPr>
          <w:p>
            <w:pPr>
              <w:spacing w:after="20"/>
            </w:pPr>
            <w:r/>
            <w:r>
              <w:rPr>
                <w:sz w:val="15"/>
              </w:rPr>
              <w:t>Metabase — halaman harga: open source gratis; Starter Cloud USD 100/bulan (5 pengguna) + USD 6 per pengguna; add-on token AI USD 3,75 per juta token</w:t>
            </w:r>
          </w:p>
        </w:tc>
        <w:tc>
          <w:tcPr>
            <w:tcW w:type="dxa" w:w="3061"/>
          </w:tcPr>
          <w:p>
            <w:pPr>
              <w:spacing w:after="20"/>
            </w:pPr>
            <w:r/>
            <w:r>
              <w:rPr>
                <w:sz w:val="15"/>
              </w:rPr>
              <w:t>https://www.metabase.com/pricing/</w:t>
            </w:r>
          </w:p>
        </w:tc>
      </w:tr>
      <w:tr>
        <w:tc>
          <w:tcPr>
            <w:tcW w:type="dxa" w:w="567"/>
          </w:tcPr>
          <w:p>
            <w:pPr>
              <w:spacing w:after="20"/>
            </w:pPr>
            <w:r/>
            <w:r>
              <w:rPr>
                <w:sz w:val="15"/>
              </w:rPr>
              <w:t>S-70</w:t>
            </w:r>
          </w:p>
        </w:tc>
        <w:tc>
          <w:tcPr>
            <w:tcW w:type="dxa" w:w="5329"/>
          </w:tcPr>
          <w:p>
            <w:pPr>
              <w:spacing w:after="20"/>
            </w:pPr>
            <w:r/>
            <w:r>
              <w:rPr>
                <w:sz w:val="15"/>
              </w:rPr>
              <w:t>GitHub — paket Copilot: Free USD 0, Pro USD 10, Pro+ USD 39, Max USD 100 per pengguna per bulan</w:t>
            </w:r>
          </w:p>
        </w:tc>
        <w:tc>
          <w:tcPr>
            <w:tcW w:type="dxa" w:w="3061"/>
          </w:tcPr>
          <w:p>
            <w:pPr>
              <w:spacing w:after="20"/>
            </w:pPr>
            <w:r/>
            <w:r>
              <w:rPr>
                <w:sz w:val="15"/>
              </w:rPr>
              <w:t>https://github.com/features/copilot/plans</w:t>
            </w:r>
          </w:p>
        </w:tc>
      </w:tr>
      <w:tr>
        <w:tc>
          <w:tcPr>
            <w:tcW w:type="dxa" w:w="567"/>
          </w:tcPr>
          <w:p>
            <w:pPr>
              <w:spacing w:after="20"/>
            </w:pPr>
            <w:r/>
            <w:r>
              <w:rPr>
                <w:sz w:val="15"/>
              </w:rPr>
              <w:t>S-71</w:t>
            </w:r>
          </w:p>
        </w:tc>
        <w:tc>
          <w:tcPr>
            <w:tcW w:type="dxa" w:w="5329"/>
          </w:tcPr>
          <w:p>
            <w:pPr>
              <w:spacing w:after="20"/>
            </w:pPr>
            <w:r/>
            <w:r>
              <w:rPr>
                <w:sz w:val="15"/>
              </w:rPr>
              <w:t>Anthropic — halaman harga Claude: Team USD 20 per kursi per bulan (tahunan), kursi premium USD 100; Enterprise USD 20 per kursi + pemakaian tarif API; seluruh paket berbayar mencakup Claude Code</w:t>
            </w:r>
          </w:p>
        </w:tc>
        <w:tc>
          <w:tcPr>
            <w:tcW w:type="dxa" w:w="3061"/>
          </w:tcPr>
          <w:p>
            <w:pPr>
              <w:spacing w:after="20"/>
            </w:pPr>
            <w:r/>
            <w:r>
              <w:rPr>
                <w:sz w:val="15"/>
              </w:rPr>
              <w:t>https://claude.com/pricing</w:t>
            </w:r>
          </w:p>
        </w:tc>
      </w:tr>
      <w:tr>
        <w:tc>
          <w:tcPr>
            <w:tcW w:type="dxa" w:w="567"/>
          </w:tcPr>
          <w:p>
            <w:pPr>
              <w:spacing w:after="20"/>
            </w:pPr>
            <w:r/>
            <w:r>
              <w:rPr>
                <w:sz w:val="15"/>
              </w:rPr>
              <w:t>S-72</w:t>
            </w:r>
          </w:p>
        </w:tc>
        <w:tc>
          <w:tcPr>
            <w:tcW w:type="dxa" w:w="5329"/>
          </w:tcPr>
          <w:p>
            <w:pPr>
              <w:spacing w:after="20"/>
            </w:pPr>
            <w:r/>
            <w:r>
              <w:rPr>
                <w:sz w:val="15"/>
              </w:rPr>
              <w:t>ElevenLabs — halaman harga: Starter USD 6 (30 rb kredit), Creator USD 11 (121 rb), Pro USD 99 (600 rb), Scale USD 299 (1,8 juta), Business USD 990 (6 juta) per bulan</w:t>
            </w:r>
          </w:p>
        </w:tc>
        <w:tc>
          <w:tcPr>
            <w:tcW w:type="dxa" w:w="3061"/>
          </w:tcPr>
          <w:p>
            <w:pPr>
              <w:spacing w:after="20"/>
            </w:pPr>
            <w:r/>
            <w:r>
              <w:rPr>
                <w:sz w:val="15"/>
              </w:rPr>
              <w:t>https://elevenlabs.io/pricing</w:t>
            </w:r>
          </w:p>
        </w:tc>
      </w:tr>
      <w:tr>
        <w:tc>
          <w:tcPr>
            <w:tcW w:type="dxa" w:w="567"/>
          </w:tcPr>
          <w:p>
            <w:pPr>
              <w:spacing w:after="20"/>
            </w:pPr>
            <w:r/>
            <w:r>
              <w:rPr>
                <w:sz w:val="15"/>
              </w:rPr>
              <w:t>S-73</w:t>
            </w:r>
          </w:p>
        </w:tc>
        <w:tc>
          <w:tcPr>
            <w:tcW w:type="dxa" w:w="5329"/>
          </w:tcPr>
          <w:p>
            <w:pPr>
              <w:spacing w:after="20"/>
            </w:pPr>
            <w:r/>
            <w:r>
              <w:rPr>
                <w:sz w:val="15"/>
              </w:rPr>
              <w:t>Cekat.ai, mengutip tarif resmi Meta berlaku 1 Juli 2026 — WhatsApp Business Platform Indonesia: Marketing Rp586,33; Utility Rp356,65; Authentication domestik Rp356,65 per pesan; pesan Service dalam jendela 24 jam gratis</w:t>
            </w:r>
          </w:p>
        </w:tc>
        <w:tc>
          <w:tcPr>
            <w:tcW w:type="dxa" w:w="3061"/>
          </w:tcPr>
          <w:p>
            <w:pPr>
              <w:spacing w:after="20"/>
            </w:pPr>
            <w:r/>
            <w:r>
              <w:rPr>
                <w:sz w:val="15"/>
              </w:rPr>
              <w:t>https://cekat.ai/en/blog/harga-whatsapp-api-indonesia-2026</w:t>
            </w:r>
          </w:p>
        </w:tc>
      </w:tr>
      <w:tr>
        <w:tc>
          <w:tcPr>
            <w:tcW w:type="dxa" w:w="567"/>
          </w:tcPr>
          <w:p>
            <w:pPr>
              <w:spacing w:after="20"/>
            </w:pPr>
            <w:r/>
            <w:r>
              <w:rPr>
                <w:sz w:val="15"/>
              </w:rPr>
              <w:t>S-74</w:t>
            </w:r>
          </w:p>
        </w:tc>
        <w:tc>
          <w:tcPr>
            <w:tcW w:type="dxa" w:w="5329"/>
          </w:tcPr>
          <w:p>
            <w:pPr>
              <w:spacing w:after="20"/>
            </w:pPr>
            <w:r/>
            <w:r>
              <w:rPr>
                <w:sz w:val="15"/>
              </w:rPr>
              <w:t>Exchange-Rates.org — riwayat kurs USD/IDR 2026: 4 September 2026 = Rp17.631 per USD</w:t>
            </w:r>
          </w:p>
        </w:tc>
        <w:tc>
          <w:tcPr>
            <w:tcW w:type="dxa" w:w="3061"/>
          </w:tcPr>
          <w:p>
            <w:pPr>
              <w:spacing w:after="20"/>
            </w:pPr>
            <w:r/>
            <w:r>
              <w:rPr>
                <w:sz w:val="15"/>
              </w:rPr>
              <w:t>https://www.exchange-rates.org/exchange-rate-history/usd-idr-2026</w:t>
            </w:r>
          </w:p>
        </w:tc>
      </w:tr>
      <w:tr>
        <w:tc>
          <w:tcPr>
            <w:tcW w:type="dxa" w:w="567"/>
          </w:tcPr>
          <w:p>
            <w:pPr>
              <w:spacing w:after="20"/>
            </w:pPr>
            <w:r/>
            <w:r>
              <w:rPr>
                <w:sz w:val="15"/>
              </w:rPr>
              <w:t>S-75</w:t>
            </w:r>
          </w:p>
        </w:tc>
        <w:tc>
          <w:tcPr>
            <w:tcW w:type="dxa" w:w="5329"/>
          </w:tcPr>
          <w:p>
            <w:pPr>
              <w:spacing w:after="20"/>
            </w:pPr>
            <w:r/>
            <w:r>
              <w:rPr>
                <w:sz w:val="15"/>
              </w:rPr>
              <w:t>MSM Consulting — PPN PMSE atas produk digital luar negeri 12% dengan DPP nilai lain 11/12 (efektif 11%); dasar UU HPP, PMK 131/2024, PER-12/PJ/2025</w:t>
            </w:r>
          </w:p>
        </w:tc>
        <w:tc>
          <w:tcPr>
            <w:tcW w:type="dxa" w:w="3061"/>
          </w:tcPr>
          <w:p>
            <w:pPr>
              <w:spacing w:after="20"/>
            </w:pPr>
            <w:r/>
            <w:r>
              <w:rPr>
                <w:sz w:val="15"/>
              </w:rPr>
              <w:t>https://msmconsulting.co.id/news/190/aturan-ppn-pmse-terbaru-di-coretax-netflix-spotify-zoom</w:t>
            </w:r>
          </w:p>
        </w:tc>
      </w:tr>
      <w:tr>
        <w:tc>
          <w:tcPr>
            <w:tcW w:type="dxa" w:w="567"/>
          </w:tcPr>
          <w:p>
            <w:pPr>
              <w:spacing w:after="20"/>
            </w:pPr>
            <w:r/>
            <w:r>
              <w:rPr>
                <w:sz w:val="15"/>
              </w:rPr>
              <w:t>S-76</w:t>
            </w:r>
          </w:p>
        </w:tc>
        <w:tc>
          <w:tcPr>
            <w:tcW w:type="dxa" w:w="5329"/>
          </w:tcPr>
          <w:p>
            <w:pPr>
              <w:spacing w:after="20"/>
            </w:pPr>
            <w:r/>
            <w:r>
              <w:rPr>
                <w:sz w:val="15"/>
              </w:rPr>
              <w:t>PajakOnline.com — PMK 49/2026 tentang Sistem Pemungutan Pajak atas Transaksi Digital Luar Negeri (SPP-TDLN); ditetapkan 14 Juli 2026, berlaku 20 Juli 2026</w:t>
            </w:r>
          </w:p>
        </w:tc>
        <w:tc>
          <w:tcPr>
            <w:tcW w:type="dxa" w:w="3061"/>
          </w:tcPr>
          <w:p>
            <w:pPr>
              <w:spacing w:after="20"/>
            </w:pPr>
            <w:r/>
            <w:r>
              <w:rPr>
                <w:sz w:val="15"/>
              </w:rPr>
              <w:t>https://www.pajakonline.com/pmk-49-2026-pemerintah-perkuat-pemungutan-ppn-atas-transaksi-digital-luar-negeri/</w:t>
            </w:r>
          </w:p>
        </w:tc>
      </w:tr>
      <w:tr>
        <w:tc>
          <w:tcPr>
            <w:tcW w:type="dxa" w:w="567"/>
          </w:tcPr>
          <w:p>
            <w:pPr>
              <w:spacing w:after="20"/>
            </w:pPr>
            <w:r/>
            <w:r>
              <w:rPr>
                <w:sz w:val="15"/>
              </w:rPr>
              <w:t>S-77</w:t>
            </w:r>
          </w:p>
        </w:tc>
        <w:tc>
          <w:tcPr>
            <w:tcW w:type="dxa" w:w="5329"/>
          </w:tcPr>
          <w:p>
            <w:pPr>
              <w:spacing w:after="20"/>
            </w:pPr>
            <w:r/>
            <w:r>
              <w:rPr>
                <w:sz w:val="15"/>
              </w:rPr>
              <w:t>Ortax — PPh Pasal 26: tarif umum 20% dari penghasilan bruto atas royalti, jasa, dan sewa kepada wajib pajak luar negeri; dapat lebih rendah dengan P3B sesuai PER-25/PJ/2018</w:t>
            </w:r>
          </w:p>
        </w:tc>
        <w:tc>
          <w:tcPr>
            <w:tcW w:type="dxa" w:w="3061"/>
          </w:tcPr>
          <w:p>
            <w:pPr>
              <w:spacing w:after="20"/>
            </w:pPr>
            <w:r/>
            <w:r>
              <w:rPr>
                <w:sz w:val="15"/>
              </w:rPr>
              <w:t>https://ortax.org/pph-pasal-26-subjek-objek-tarif-dan-kaitannya-dengan-tax-treaty</w:t>
            </w:r>
          </w:p>
        </w:tc>
      </w:tr>
      <w:tr>
        <w:tc>
          <w:tcPr>
            <w:tcW w:type="dxa" w:w="567"/>
          </w:tcPr>
          <w:p>
            <w:pPr>
              <w:spacing w:after="20"/>
            </w:pPr>
            <w:r/>
            <w:r>
              <w:rPr>
                <w:sz w:val="15"/>
              </w:rPr>
              <w:t>S-78</w:t>
            </w:r>
          </w:p>
        </w:tc>
        <w:tc>
          <w:tcPr>
            <w:tcW w:type="dxa" w:w="5329"/>
          </w:tcPr>
          <w:p>
            <w:pPr>
              <w:spacing w:after="20"/>
            </w:pPr>
            <w:r/>
            <w:r>
              <w:rPr>
                <w:sz w:val="15"/>
              </w:rPr>
              <w:t>Pasal.id — salinan UU No. 27 Tahun 2022 tentang Pelindungan Data Pribadi: Pasal 10 (hak keberatan atas keputusan yang hanya didasarkan pemrosesan otomatis termasuk pemrofilan), Pasal 53 (kewajiban menunjuk pejabat/petugas pelindungan data pribadi), Pasal 56 (transfer data ke luar wilayah Indonesia)</w:t>
            </w:r>
          </w:p>
        </w:tc>
        <w:tc>
          <w:tcPr>
            <w:tcW w:type="dxa" w:w="3061"/>
          </w:tcPr>
          <w:p>
            <w:pPr>
              <w:spacing w:after="20"/>
            </w:pPr>
            <w:r/>
            <w:r>
              <w:rPr>
                <w:sz w:val="15"/>
              </w:rPr>
              <w:t>https://pasal.id/peraturan/uu/uu-no-27-tahun-2022</w:t>
            </w:r>
          </w:p>
        </w:tc>
      </w:tr>
    </w:tbl>
    <w:p>
      <w:pPr>
        <w:spacing w:after="40"/>
      </w:pPr>
    </w:p>
    <w:p>
      <w:pPr>
        <w:spacing w:after="80"/>
      </w:pPr>
      <w:r>
        <w:rPr>
          <w:b w:val="0"/>
          <w:i w:val="0"/>
          <w:sz w:val="18"/>
        </w:rPr>
        <w:t>Sumber yang diwarisi tanpa perubahan dari manual organisasi: [S-01] s.d. [S-06] (UMK Pekanbaru Rp3.998.179,46 dan UMP Sumbar Rp3.182.955), [S-07] s.d. [S-17] (iuran BPJS, plafon upah, THR, PPh 21 TER), [S-25]–[S-27] (Perpres 27/2026, batas potongan roda dua 8%), [S-37]–[S-39] (UU PDP dan Putusan MK 151/PUU-XXII/2024), [S-41]–[S-43] (KBLI 53200 dan modal minimum Rp500 juta), [S-58]–[S-59] (rasio mitra aktif 20%).</w:t>
      </w:r>
    </w:p>
    <w:p>
      <w:pPr>
        <w:pStyle w:val="Heading1"/>
      </w:pPr>
      <w:r>
        <w:rPr>
          <w:color w:val="1F3B63"/>
        </w:rPr>
        <w:t>Lampiran B  Keterbatasan Data</w:t>
      </w:r>
    </w:p>
    <w:p>
      <w:pPr>
        <w:spacing w:after="80"/>
      </w:pPr>
      <w:r>
        <w:rPr>
          <w:b/>
          <w:i w:val="0"/>
        </w:rPr>
        <w:t>Bagian ini wajib dibaca sebelum memakai angka mana pun dari dokumen ini.</w:t>
      </w:r>
    </w:p>
    <w:p>
      <w:pPr>
        <w:spacing w:after="80"/>
      </w:pPr>
      <w:r>
        <w:rPr>
          <w:b/>
        </w:rPr>
        <w:t xml:space="preserve">B.1  Seluruh volume adalah asumsi berlapis  </w:t>
      </w:r>
      <w:r>
        <w:t>Volume order, tiket, mitra, dan merchant diturunkan dari target Bab 5 manual organisasi, yang seluruhnya berlabel [ASUMSI] penyusun manual karena AntarKita belum beroperasi komersial per 7 September 2026. Dokumen ini karena itu adalah asumsi di atas asumsi. Bila target meleset separuh, biaya AI variabel turun separuh tetapi biaya tetap tidak — penghematan Skenario B menyusut.</w:t>
      </w:r>
    </w:p>
    <w:p>
      <w:pPr>
        <w:spacing w:after="80"/>
      </w:pPr>
      <w:r>
        <w:rPr>
          <w:b/>
        </w:rPr>
        <w:t xml:space="preserve">B.2  Empat puluh persen biaya tool tidak dapat diverifikasi  </w:t>
      </w:r>
      <w:r>
        <w:t>Harga T-04 (intelijen perangkat/fraud), T-08 (moderasi konten), T-11 (CI), T-12 (observability LLM), dan T-13 (residensi data) berbasis kutipan penawaran dan tidak memiliki daftar harga publik. Angkanya adalah [ASUMSI] penyusun. Bersama-sama kelimanya mencakup sekitar 40% biaya tool Fase 2. Ini keterbatasan terbesar pada dokumen ini.</w:t>
      </w:r>
    </w:p>
    <w:p>
      <w:pPr>
        <w:spacing w:after="80"/>
      </w:pPr>
      <w:r>
        <w:rPr>
          <w:b/>
        </w:rPr>
        <w:t xml:space="preserve">B.3  Tarif verifikasi identitas lokal adalah asumsi  </w:t>
      </w:r>
      <w:r>
        <w:t>Rp10.000 per verifikasi adalah [ASUMSI]. Tidak ditemukan daftar harga publik penyedia Indonesia (Verihubs, Privy, VIDA). Pembanding yang terverifikasi justru penyedia luar negeri (Didit USD 0,33 [S-67]) yang tidak direkomendasikan karena memicu Pasal 56 UU PDP.</w:t>
      </w:r>
    </w:p>
    <w:p>
      <w:pPr>
        <w:spacing w:after="80"/>
      </w:pPr>
      <w:r>
        <w:rPr>
          <w:b/>
        </w:rPr>
        <w:t xml:space="preserve">B.4  Tingkat deflection CS adalah asumsi  </w:t>
      </w:r>
      <w:r>
        <w:t>60% adalah [ASUMSI]. Tidak ada tolok ukur publik untuk agen CS berbahasa Indonesia pada layanan ride-hailing. Rentang 50–70% dipakai sebagai batas kewajaran; klaim vendor 90% ke atas sengaja tidak dipakai untuk menganggarkan apa pun.</w:t>
      </w:r>
    </w:p>
    <w:p>
      <w:pPr>
        <w:spacing w:after="80"/>
      </w:pPr>
      <w:r>
        <w:rPr>
          <w:b/>
        </w:rPr>
        <w:t xml:space="preserve">B.5  Biaya implementasi adalah asumsi  </w:t>
      </w:r>
      <w:r>
        <w:t>Rp250 juta implementasi dan Rp100 juta DPIA adalah [ASUMSI]. Tarif internal Rp97.504 per jam diturunkan dari CTC Backend Engineer (Mid) dibagi 160 jam kerja — konsisten dengan model biaya lama, tetapi bukan kutipan penawaran vendor.</w:t>
      </w:r>
    </w:p>
    <w:p>
      <w:pPr>
        <w:spacing w:after="80"/>
      </w:pPr>
      <w:r>
        <w:rPr>
          <w:b/>
        </w:rPr>
        <w:t xml:space="preserve">B.6  Skenario C bukan pilihan yang dianggarkan  </w:t>
      </w:r>
      <w:r>
        <w:t>Faktor Skenario C (tool 1,25×, biaya tersembunyi 1,80×) adalah [ASUMSI] penyusun. Skenario C disajikan untuk menunjukkan di mana ia pecah, bukan untuk dipilih.</w:t>
      </w:r>
    </w:p>
    <w:p>
      <w:pPr>
        <w:spacing w:after="80"/>
      </w:pPr>
      <w:r>
        <w:rPr>
          <w:b/>
        </w:rPr>
        <w:t xml:space="preserve">B.7  Yang tidak dimodelkan  </w:t>
      </w:r>
      <w:r>
        <w:t>Kenaikan gaji tahunan, biaya pemutusan hubungan kerja atas posisi yang dipangkas bila sudah terisi, insentif variabel maksimal 20% (DESAIN §4.5), beban ESOP, honorarium Dewan Komisaris, dan biaya mitra pengemudi (BPJS BPU, Bonus Hari Raya) yang berada di luar hubungan kerja.</w:t>
      </w:r>
    </w:p>
    <w:p>
      <w:pPr>
        <w:spacing w:after="80"/>
      </w:pPr>
      <w:r>
        <w:rPr>
          <w:b/>
        </w:rPr>
        <w:t xml:space="preserve">B.8  Pemangkasan diterapkan pada posisi yang belum direkrut  </w:t>
      </w:r>
      <w:r>
        <w:t>Seluruh usulan pemangkasan mengasumsikan posisi belum terisi. Bila sudah terisi, biaya pesangon dan risiko hukum ketenagakerjaan wajib dihitung terpisah dan akan memundurkan titik impas dari bulan 18.</w:t>
      </w:r>
    </w:p>
    <w:p>
      <w:pPr>
        <w:pStyle w:val="Heading1"/>
      </w:pPr>
      <w:r>
        <w:rPr>
          <w:color w:val="1F3B63"/>
        </w:rPr>
        <w:t>Lampiran C  Ketidakcocokan yang Ditemukan pada Dokumen Lama</w:t>
      </w:r>
    </w:p>
    <w:p>
      <w:pPr>
        <w:spacing w:after="80"/>
      </w:pPr>
      <w:r>
        <w:rPr>
          <w:b w:val="0"/>
          <w:i/>
        </w:rPr>
        <w:t>Dilaporkan sebagaimana adanya; tidak ada dokumen lama yang diubah oleh analisis ini.</w:t>
      </w:r>
    </w:p>
    <w:p>
      <w:r>
        <w:rPr>
          <w:b/>
        </w:rPr>
        <w:t xml:space="preserve">C.1  Rasio biaya perusahaan terhadap gaji pokok.  </w:t>
      </w:r>
      <w:r>
        <w:t>DESAIN-ORGANISASI.md §4.3 menyatakan "biaya perusahaan = gaji pokok × 1,19". Model biaya SDM menghasilkan rasio 1,276 (Fase 0) sampai 1,289 (Fase 2). Lembar "Ringkasan" model biaya sudah menandai hal ini dengan catatan "angka indikatif 1,19× — lihat catatan koreksi", sehingga ketidakcocokan ini sudah diketahui penyusun model. Analisis ini memakai angka model (≈1,28×), bukan angka DESAIN. Perbedaan ini perlu dirapikan pada revisi DESAIN-ORGANISASI berikutnya agar tidak ada dua versi angka untuk satu ukuran — hal yang dilarang Bab 5 manual.</w:t>
      </w:r>
    </w:p>
    <w:p>
      <w:r>
        <w:rPr>
          <w:b/>
        </w:rPr>
        <w:t xml:space="preserve">C.2  Sel U64 pada lembar "Biaya Bulanan".  </w:t>
      </w:r>
      <w:r>
        <w:t>Sel ini diberi label "Rasio CTC : Gaji Pokok" tetapi rumusnya =SUM(Y64:AA64)/SUMPRODUCT(K26:K63,X26:X63) menjumlahkan biaya TIGA fase lalu membaginya dengan gaji pokok SATU fase, menghasilkan 2,638 — angka yang tidak bermakna sebagai rasio. Baris ini tidak dirujuk lembar mana pun sehingga tidak berdampak pada angka lain, tetapi sebaiknya diperbaiki atau dihapus agar tidak salah dibaca pada uji tuntas.</w:t>
      </w:r>
    </w:p>
    <w:p>
      <w:r>
        <w:rPr>
          <w:b/>
        </w:rPr>
        <w:t xml:space="preserve">C.3  Selisih total non-gaji.  </w:t>
      </w:r>
      <w:r>
        <w:t>Total 24 bulan Skenario A pada model analisis ini (Rp13.605.044.567) berbeda sekitar Rp11,2 juta atau 0,08% dari angka Rp13.616.258.853 pada model lama. Penyebabnya tunggal dan diketahui: model lama menghitung biaya kursi kantor hanya untuk karyawan non-Remote dan memakai tarif Padang yang berbeda, sedangkan model analisis ini memakai tarif non-gaji rata-rata per orang per fase agar dapat diskalakan ke headcount Skenario B dan C. Uji kecocokan untuk biaya SDM murni (gaji + iuran + THR) menghasilkan selisih NOL.</w:t>
      </w:r>
    </w:p>
    <w:p/>
    <w:p>
      <w:r>
        <w:rPr>
          <w:b/>
          <w:sz w:val="16"/>
        </w:rPr>
        <w:t xml:space="preserve">Catatan keterbatasan (footer):  </w:t>
      </w:r>
      <w:r>
        <w:rPr>
          <w:i/>
          <w:sz w:val="16"/>
        </w:rPr>
        <w:t>Dokumen ini adalah usulan analis per 7 September 2026 dan bukan keputusan perusahaan. Seluruh harga penyedia diverifikasi pada tanggal tersebut dan dapat berubah sewaktu-waktu. Seluruh volume operasional adalah asumsi tanpa basis historis karena AntarKita belum beroperasi komersial. Kurs Rp17.631/USD per 4 September 2026. Angka bertanda [ASUMSI] adalah konstruksi penyusun, bukan kutipan sumber; angka bersumber ditandai [S-xx] dengan URL pada Lampiran A. Model angka lengkap dan seluruh rumus tersedia pada AntarKita-Analisis-AI-vs-SDM.xlsx.</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