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053B01F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BF6B6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3225DD5" w:rsidR="00886489" w:rsidRPr="00F33076" w:rsidRDefault="00A07A0C" w:rsidP="00A07A0C">
            <w:pPr>
              <w:pStyle w:val="a3"/>
              <w:ind w:left="0" w:firstLine="851"/>
              <w:jc w:val="both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A07A0C">
              <w:rPr>
                <w:rFonts w:ascii="Times New Roman" w:eastAsia="PMingLiU" w:hAnsi="Times New Roman" w:cs="Times New Roman"/>
                <w:sz w:val="28"/>
                <w:szCs w:val="24"/>
              </w:rPr>
              <w:t>Разработка технических требований к серверу баз данных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EBA74D9" w14:textId="77777777" w:rsidR="005A0AFF" w:rsidRPr="00425D0C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Лабораторная работа №1 «Разработка технических требований к серверу баз данных»</w:t>
      </w:r>
    </w:p>
    <w:p w14:paraId="22216EF8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Из списка предлагаемых видов деятельности – см. Приложение 1 – выбрать один вид деятельности и описать его в соответствии со следующей структурой:</w:t>
      </w:r>
    </w:p>
    <w:p w14:paraId="77AAD42A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Краткая характеристика вида деятельности: </w:t>
      </w:r>
    </w:p>
    <w:p w14:paraId="6F9A58AC" w14:textId="77777777" w:rsidR="005A0AFF" w:rsidRPr="005A0AFF" w:rsidRDefault="005A0AFF" w:rsidP="005A0AFF">
      <w:pPr>
        <w:numPr>
          <w:ilvl w:val="0"/>
          <w:numId w:val="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классификация по ОКВЭД - 66.11 (Управление финансовыми рынками), 66.12 (Деятельность брокерская по сделкам с ценными бумагами и товарами);</w:t>
      </w:r>
    </w:p>
    <w:p w14:paraId="0F48C3C9" w14:textId="61AA17DD" w:rsidR="005A0AFF" w:rsidRPr="005A0AFF" w:rsidRDefault="005A0AFF" w:rsidP="005A0AFF">
      <w:pPr>
        <w:numPr>
          <w:ilvl w:val="0"/>
          <w:numId w:val="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форма собственности, название организации – </w:t>
      </w:r>
      <w:r w:rsidR="001C4559" w:rsidRPr="001C4559">
        <w:rPr>
          <w:rFonts w:ascii="Times New Roman" w:eastAsia="Aptos" w:hAnsi="Times New Roman" w:cs="Aptos"/>
          <w:sz w:val="28"/>
          <w:szCs w:val="24"/>
        </w:rPr>
        <w:t>31 — «Совместная федеральная и иностранная собственность»</w:t>
      </w:r>
      <w:r w:rsidR="001C4559">
        <w:rPr>
          <w:rFonts w:ascii="Times New Roman" w:eastAsia="Aptos" w:hAnsi="Times New Roman" w:cs="Aptos"/>
          <w:sz w:val="28"/>
          <w:szCs w:val="24"/>
        </w:rPr>
        <w:t xml:space="preserve">, </w:t>
      </w:r>
      <w:r w:rsidRPr="005A0AFF">
        <w:rPr>
          <w:rFonts w:ascii="Times New Roman" w:eastAsia="Aptos" w:hAnsi="Times New Roman" w:cs="Aptos"/>
          <w:sz w:val="28"/>
          <w:szCs w:val="24"/>
        </w:rPr>
        <w:t>ПАО Московская Биржа;</w:t>
      </w:r>
    </w:p>
    <w:p w14:paraId="758BAEE3" w14:textId="77777777" w:rsidR="005A0AFF" w:rsidRPr="005A0AFF" w:rsidRDefault="005A0AFF" w:rsidP="005A0AFF">
      <w:pPr>
        <w:numPr>
          <w:ilvl w:val="0"/>
          <w:numId w:val="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миссия - Мы трансформируем финансовый рынок для роста благосостояния каждого;</w:t>
      </w:r>
    </w:p>
    <w:p w14:paraId="0AC13580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</w:p>
    <w:p w14:paraId="312E2CDE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Организационно-управленческая структура;</w:t>
      </w:r>
    </w:p>
    <w:p w14:paraId="182B11AD" w14:textId="43AF4964" w:rsidR="005A0AFF" w:rsidRDefault="001C4559" w:rsidP="005A0AFF">
      <w:pPr>
        <w:keepNext/>
        <w:tabs>
          <w:tab w:val="left" w:pos="993"/>
        </w:tabs>
        <w:suppressAutoHyphens/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369F65EC" wp14:editId="1C15CFC6">
            <wp:extent cx="5769610" cy="2337943"/>
            <wp:effectExtent l="0" t="0" r="2540" b="5715"/>
            <wp:docPr id="2459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5434" cy="23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116C" w14:textId="671F4F9D" w:rsidR="005A0AFF" w:rsidRPr="005A0AFF" w:rsidRDefault="005A0AFF" w:rsidP="005A0AFF">
      <w:pPr>
        <w:pStyle w:val="a7"/>
      </w:pPr>
      <w:r w:rsidRPr="005A0AFF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ОСУ ПАО Московская биржа</w:t>
      </w:r>
    </w:p>
    <w:p w14:paraId="59B52EBB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16CE9540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Функциональная структура;</w:t>
      </w:r>
    </w:p>
    <w:p w14:paraId="389C5F7A" w14:textId="342476C8" w:rsidR="005A0AFF" w:rsidRDefault="00FB22C8" w:rsidP="005A0AFF">
      <w:pPr>
        <w:keepNext/>
        <w:tabs>
          <w:tab w:val="left" w:pos="993"/>
        </w:tabs>
        <w:suppressAutoHyphens/>
        <w:spacing w:line="360" w:lineRule="auto"/>
        <w:contextualSpacing/>
        <w:jc w:val="center"/>
      </w:pPr>
      <w:r w:rsidRPr="00FB22C8">
        <w:lastRenderedPageBreak/>
        <w:drawing>
          <wp:inline distT="0" distB="0" distL="0" distR="0" wp14:anchorId="75EDA148" wp14:editId="678CE0C6">
            <wp:extent cx="5939790" cy="1503045"/>
            <wp:effectExtent l="0" t="0" r="3810" b="1905"/>
            <wp:docPr id="163011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8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7F83" w14:textId="4772DE33" w:rsidR="005A0AFF" w:rsidRPr="005A0AFF" w:rsidRDefault="005A0AFF" w:rsidP="005A0AFF">
      <w:pPr>
        <w:pStyle w:val="a7"/>
      </w:pPr>
      <w:r w:rsidRPr="005A0AFF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5A0AFF">
        <w:t>. Функциональная структура</w:t>
      </w:r>
    </w:p>
    <w:p w14:paraId="5054A70C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Структура финансовых потоков – основные технико-экономические показатели;</w:t>
      </w:r>
    </w:p>
    <w:p w14:paraId="5A995BC3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Финансовые потоки отдела срочного рынка:</w:t>
      </w:r>
    </w:p>
    <w:p w14:paraId="486230F7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1. Комиссия с оборота сделок</w:t>
      </w:r>
    </w:p>
    <w:p w14:paraId="79FD477F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2. Плата за доступ к торгам и рыночным данным</w:t>
      </w:r>
    </w:p>
    <w:p w14:paraId="04ACD631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3. Плата за листинг производственных инструментов</w:t>
      </w:r>
    </w:p>
    <w:p w14:paraId="75A1BD6F" w14:textId="77777777" w:rsid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Основные технико-экономические показатели</w:t>
      </w:r>
    </w:p>
    <w:p w14:paraId="7390EC14" w14:textId="21EE0B69" w:rsidR="00B478E7" w:rsidRDefault="00B478E7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B478E7">
        <w:rPr>
          <w:rFonts w:ascii="Times New Roman" w:eastAsia="Aptos" w:hAnsi="Times New Roman" w:cs="Aptos"/>
          <w:sz w:val="28"/>
          <w:szCs w:val="24"/>
        </w:rPr>
        <w:t>Ключевые финансовые показатели (млн рублей)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478E7" w:rsidRPr="00795D83" w14:paraId="1B53E366" w14:textId="77777777" w:rsidTr="00EC3714">
        <w:tc>
          <w:tcPr>
            <w:tcW w:w="2336" w:type="dxa"/>
            <w:shd w:val="clear" w:color="auto" w:fill="BFBFBF" w:themeFill="background1" w:themeFillShade="BF"/>
          </w:tcPr>
          <w:p w14:paraId="5A5190F7" w14:textId="366689A9" w:rsidR="00B478E7" w:rsidRPr="00EC3714" w:rsidRDefault="00B478E7" w:rsidP="005A0AFF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063334EB" w14:textId="4D3D6220" w:rsidR="00B478E7" w:rsidRPr="00EC3714" w:rsidRDefault="00B478E7" w:rsidP="005A0AFF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7581BF09" w14:textId="5C896405" w:rsidR="00B478E7" w:rsidRPr="00EC3714" w:rsidRDefault="00B478E7" w:rsidP="005A0AFF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0D8AA7CC" w14:textId="27A8FA7E" w:rsidR="00B478E7" w:rsidRPr="00EC3714" w:rsidRDefault="00B478E7" w:rsidP="005A0AFF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Прирост (%)</w:t>
            </w:r>
          </w:p>
        </w:tc>
      </w:tr>
      <w:tr w:rsidR="00795D83" w:rsidRPr="00795D83" w14:paraId="12AC423C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7C4792EC" w14:textId="3DB3905E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Операционные доходы</w:t>
            </w:r>
          </w:p>
        </w:tc>
        <w:tc>
          <w:tcPr>
            <w:tcW w:w="2336" w:type="dxa"/>
          </w:tcPr>
          <w:p w14:paraId="60DC63E4" w14:textId="2CB635CC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104 661,0</w:t>
            </w:r>
          </w:p>
        </w:tc>
        <w:tc>
          <w:tcPr>
            <w:tcW w:w="2336" w:type="dxa"/>
          </w:tcPr>
          <w:p w14:paraId="01F0FAEC" w14:textId="653AB02B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145 093,0</w:t>
            </w:r>
          </w:p>
        </w:tc>
        <w:tc>
          <w:tcPr>
            <w:tcW w:w="2336" w:type="dxa"/>
          </w:tcPr>
          <w:p w14:paraId="14D6E217" w14:textId="17855264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38,6</w:t>
            </w:r>
          </w:p>
        </w:tc>
      </w:tr>
      <w:tr w:rsidR="00795D83" w:rsidRPr="00795D83" w14:paraId="1D241C7C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7575B2EA" w14:textId="70B687F6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Комиссионные доходы</w:t>
            </w:r>
          </w:p>
        </w:tc>
        <w:tc>
          <w:tcPr>
            <w:tcW w:w="2336" w:type="dxa"/>
          </w:tcPr>
          <w:p w14:paraId="3F5DA0E9" w14:textId="258AED11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52 242,1</w:t>
            </w:r>
          </w:p>
        </w:tc>
        <w:tc>
          <w:tcPr>
            <w:tcW w:w="2336" w:type="dxa"/>
          </w:tcPr>
          <w:p w14:paraId="05F2E5B0" w14:textId="5DB57306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62 983,4</w:t>
            </w:r>
          </w:p>
        </w:tc>
        <w:tc>
          <w:tcPr>
            <w:tcW w:w="2336" w:type="dxa"/>
          </w:tcPr>
          <w:p w14:paraId="526238A6" w14:textId="150AA2D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20,6</w:t>
            </w:r>
          </w:p>
        </w:tc>
      </w:tr>
      <w:tr w:rsidR="00795D83" w:rsidRPr="00795D83" w14:paraId="1659FE5A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0D659545" w14:textId="54150C8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Чистый процентный и прочий финансовый доход</w:t>
            </w:r>
          </w:p>
        </w:tc>
        <w:tc>
          <w:tcPr>
            <w:tcW w:w="2336" w:type="dxa"/>
          </w:tcPr>
          <w:p w14:paraId="0D1C31D7" w14:textId="468DB63C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52 206,1</w:t>
            </w:r>
          </w:p>
        </w:tc>
        <w:tc>
          <w:tcPr>
            <w:tcW w:w="2336" w:type="dxa"/>
          </w:tcPr>
          <w:p w14:paraId="0DB0BA4F" w14:textId="459501ED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81 918,3</w:t>
            </w:r>
          </w:p>
        </w:tc>
        <w:tc>
          <w:tcPr>
            <w:tcW w:w="2336" w:type="dxa"/>
          </w:tcPr>
          <w:p w14:paraId="4FE81AD3" w14:textId="0077AAAE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56,9</w:t>
            </w:r>
          </w:p>
        </w:tc>
      </w:tr>
      <w:tr w:rsidR="00795D83" w:rsidRPr="00795D83" w14:paraId="684DD5DC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157F732D" w14:textId="09DB96ED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Прочие операционные доходы</w:t>
            </w:r>
          </w:p>
        </w:tc>
        <w:tc>
          <w:tcPr>
            <w:tcW w:w="2336" w:type="dxa"/>
          </w:tcPr>
          <w:p w14:paraId="55724CD4" w14:textId="4839C10A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212,8</w:t>
            </w:r>
          </w:p>
        </w:tc>
        <w:tc>
          <w:tcPr>
            <w:tcW w:w="2336" w:type="dxa"/>
          </w:tcPr>
          <w:p w14:paraId="1CFA45CC" w14:textId="6AAF71C9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191,3</w:t>
            </w:r>
          </w:p>
        </w:tc>
        <w:tc>
          <w:tcPr>
            <w:tcW w:w="2336" w:type="dxa"/>
          </w:tcPr>
          <w:p w14:paraId="48546259" w14:textId="67AD29BF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-10,1</w:t>
            </w:r>
          </w:p>
        </w:tc>
      </w:tr>
      <w:tr w:rsidR="00795D83" w:rsidRPr="00795D83" w14:paraId="42113525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0D12377C" w14:textId="79277CA5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Операционные расходы (кроме прочих операц. расходов и резерва)</w:t>
            </w:r>
          </w:p>
        </w:tc>
        <w:tc>
          <w:tcPr>
            <w:tcW w:w="2336" w:type="dxa"/>
          </w:tcPr>
          <w:p w14:paraId="0EE74C5E" w14:textId="7AE5B43C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-28 662,6</w:t>
            </w:r>
          </w:p>
        </w:tc>
        <w:tc>
          <w:tcPr>
            <w:tcW w:w="2336" w:type="dxa"/>
          </w:tcPr>
          <w:p w14:paraId="5A696E17" w14:textId="59404A05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-46 251,2</w:t>
            </w:r>
          </w:p>
        </w:tc>
        <w:tc>
          <w:tcPr>
            <w:tcW w:w="2336" w:type="dxa"/>
          </w:tcPr>
          <w:p w14:paraId="19B14E30" w14:textId="1264952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61,4</w:t>
            </w:r>
          </w:p>
        </w:tc>
      </w:tr>
      <w:tr w:rsidR="00795D83" w:rsidRPr="00795D83" w14:paraId="68BE0758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0B32ABBB" w14:textId="5D2CB0FB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Операционная прибыль</w:t>
            </w:r>
          </w:p>
        </w:tc>
        <w:tc>
          <w:tcPr>
            <w:tcW w:w="2336" w:type="dxa"/>
          </w:tcPr>
          <w:p w14:paraId="31F2D02B" w14:textId="168E6A3F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75 998,4</w:t>
            </w:r>
          </w:p>
        </w:tc>
        <w:tc>
          <w:tcPr>
            <w:tcW w:w="2336" w:type="dxa"/>
          </w:tcPr>
          <w:p w14:paraId="4B28D40B" w14:textId="708EBD4A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98 841,8</w:t>
            </w:r>
          </w:p>
        </w:tc>
        <w:tc>
          <w:tcPr>
            <w:tcW w:w="2336" w:type="dxa"/>
          </w:tcPr>
          <w:p w14:paraId="785B7C57" w14:textId="2F00A7E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30,1</w:t>
            </w:r>
          </w:p>
        </w:tc>
      </w:tr>
      <w:tr w:rsidR="00795D83" w:rsidRPr="00795D83" w14:paraId="0CA831DD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3A0B8698" w14:textId="2B8DA8E1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EBITDA</w:t>
            </w:r>
          </w:p>
        </w:tc>
        <w:tc>
          <w:tcPr>
            <w:tcW w:w="2336" w:type="dxa"/>
          </w:tcPr>
          <w:p w14:paraId="67373881" w14:textId="74947F0D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82 231,2</w:t>
            </w:r>
          </w:p>
        </w:tc>
        <w:tc>
          <w:tcPr>
            <w:tcW w:w="2336" w:type="dxa"/>
          </w:tcPr>
          <w:p w14:paraId="4C7F8B0C" w14:textId="7FDB0237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103 201,7</w:t>
            </w:r>
          </w:p>
        </w:tc>
        <w:tc>
          <w:tcPr>
            <w:tcW w:w="2336" w:type="dxa"/>
          </w:tcPr>
          <w:p w14:paraId="54063190" w14:textId="0FF0F8C9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</w:tr>
      <w:tr w:rsidR="00795D83" w:rsidRPr="00795D83" w14:paraId="62308928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7E792B22" w14:textId="7B0AA7C8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Рентабельность по EBITDA, %</w:t>
            </w:r>
          </w:p>
        </w:tc>
        <w:tc>
          <w:tcPr>
            <w:tcW w:w="2336" w:type="dxa"/>
          </w:tcPr>
          <w:p w14:paraId="0978B8FB" w14:textId="62D3A535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78,6</w:t>
            </w:r>
          </w:p>
        </w:tc>
        <w:tc>
          <w:tcPr>
            <w:tcW w:w="2336" w:type="dxa"/>
          </w:tcPr>
          <w:p w14:paraId="775D31F3" w14:textId="6C75BE57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71,1</w:t>
            </w:r>
          </w:p>
        </w:tc>
        <w:tc>
          <w:tcPr>
            <w:tcW w:w="2336" w:type="dxa"/>
          </w:tcPr>
          <w:p w14:paraId="4D521D08" w14:textId="7C13F28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-9,5</w:t>
            </w:r>
          </w:p>
        </w:tc>
      </w:tr>
      <w:tr w:rsidR="00795D83" w:rsidRPr="00795D83" w14:paraId="6498D9AC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345E7B2B" w14:textId="56E39850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Чистая прибыль</w:t>
            </w:r>
          </w:p>
        </w:tc>
        <w:tc>
          <w:tcPr>
            <w:tcW w:w="2336" w:type="dxa"/>
          </w:tcPr>
          <w:p w14:paraId="27A7F238" w14:textId="7457266D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60 769,5</w:t>
            </w:r>
          </w:p>
        </w:tc>
        <w:tc>
          <w:tcPr>
            <w:tcW w:w="2336" w:type="dxa"/>
          </w:tcPr>
          <w:p w14:paraId="710420C3" w14:textId="4E6A1CFB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79 247,6</w:t>
            </w:r>
          </w:p>
        </w:tc>
        <w:tc>
          <w:tcPr>
            <w:tcW w:w="2336" w:type="dxa"/>
          </w:tcPr>
          <w:p w14:paraId="4669D18D" w14:textId="57E6ACE9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30,4</w:t>
            </w:r>
          </w:p>
        </w:tc>
      </w:tr>
      <w:tr w:rsidR="00795D83" w:rsidRPr="00795D83" w14:paraId="239EED5D" w14:textId="77777777" w:rsidTr="00EC3714">
        <w:tc>
          <w:tcPr>
            <w:tcW w:w="2336" w:type="dxa"/>
            <w:shd w:val="clear" w:color="auto" w:fill="F2F2F2" w:themeFill="background1" w:themeFillShade="F2"/>
          </w:tcPr>
          <w:p w14:paraId="4667C936" w14:textId="2304BF1C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Базовая прибыль на акцию</w:t>
            </w:r>
          </w:p>
        </w:tc>
        <w:tc>
          <w:tcPr>
            <w:tcW w:w="2336" w:type="dxa"/>
          </w:tcPr>
          <w:p w14:paraId="169EE839" w14:textId="0824631A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26,9</w:t>
            </w:r>
          </w:p>
        </w:tc>
        <w:tc>
          <w:tcPr>
            <w:tcW w:w="2336" w:type="dxa"/>
          </w:tcPr>
          <w:p w14:paraId="693F90BF" w14:textId="76FA8C52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35,0</w:t>
            </w:r>
          </w:p>
        </w:tc>
        <w:tc>
          <w:tcPr>
            <w:tcW w:w="2336" w:type="dxa"/>
          </w:tcPr>
          <w:p w14:paraId="46A0D883" w14:textId="04E6289E" w:rsidR="00795D83" w:rsidRPr="00795D83" w:rsidRDefault="00795D83" w:rsidP="00795D83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D83">
              <w:rPr>
                <w:rFonts w:ascii="Times New Roman" w:hAnsi="Times New Roman" w:cs="Times New Roman"/>
                <w:sz w:val="24"/>
                <w:szCs w:val="24"/>
              </w:rPr>
              <w:t>30,2</w:t>
            </w:r>
          </w:p>
        </w:tc>
      </w:tr>
    </w:tbl>
    <w:p w14:paraId="61319670" w14:textId="63CBB2BA" w:rsidR="00B478E7" w:rsidRDefault="00EC3714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EC3714">
        <w:rPr>
          <w:rFonts w:ascii="Times New Roman" w:eastAsia="Aptos" w:hAnsi="Times New Roman" w:cs="Aptos"/>
          <w:sz w:val="28"/>
          <w:szCs w:val="24"/>
        </w:rPr>
        <w:t>Состав комиссионного дохода (млн руб.)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C3714" w:rsidRPr="00EC3714" w14:paraId="5FF0A8B9" w14:textId="77777777" w:rsidTr="00EC3714">
        <w:tc>
          <w:tcPr>
            <w:tcW w:w="2336" w:type="dxa"/>
            <w:shd w:val="clear" w:color="auto" w:fill="BFBFBF" w:themeFill="background1" w:themeFillShade="BF"/>
          </w:tcPr>
          <w:p w14:paraId="34BC1911" w14:textId="2C672EF1" w:rsidR="00EC3714" w:rsidRPr="00EC3714" w:rsidRDefault="00EC3714" w:rsidP="00EC3714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2F1A716D" w14:textId="0D80AAB2" w:rsidR="00EC3714" w:rsidRPr="00EC3714" w:rsidRDefault="00EC3714" w:rsidP="00EC3714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247E2AAE" w14:textId="1C212BA9" w:rsidR="00EC3714" w:rsidRPr="00EC3714" w:rsidRDefault="00EC3714" w:rsidP="00EC3714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14:paraId="17382503" w14:textId="3F94A053" w:rsidR="00EC3714" w:rsidRPr="00EC3714" w:rsidRDefault="00EC3714" w:rsidP="00EC3714">
            <w:pPr>
              <w:tabs>
                <w:tab w:val="left" w:pos="993"/>
              </w:tabs>
              <w:suppressAutoHyphens/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Прирост (%)</w:t>
            </w:r>
          </w:p>
        </w:tc>
      </w:tr>
      <w:tr w:rsidR="00EC3714" w:rsidRPr="00EC3714" w14:paraId="726A6AB1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2FFBBB33" w14:textId="77777777" w:rsidR="00EC3714" w:rsidRPr="00EC3714" w:rsidRDefault="00EC3714" w:rsidP="00EC3714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Денежный рынок</w:t>
            </w:r>
          </w:p>
        </w:tc>
        <w:tc>
          <w:tcPr>
            <w:tcW w:w="2336" w:type="dxa"/>
            <w:hideMark/>
          </w:tcPr>
          <w:p w14:paraId="67494E6B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11 962,1</w:t>
            </w:r>
          </w:p>
        </w:tc>
        <w:tc>
          <w:tcPr>
            <w:tcW w:w="2336" w:type="dxa"/>
            <w:hideMark/>
          </w:tcPr>
          <w:p w14:paraId="0252563C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16 201,6</w:t>
            </w:r>
          </w:p>
        </w:tc>
        <w:tc>
          <w:tcPr>
            <w:tcW w:w="2336" w:type="dxa"/>
            <w:hideMark/>
          </w:tcPr>
          <w:p w14:paraId="2BC2FCD6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35,4</w:t>
            </w:r>
          </w:p>
        </w:tc>
      </w:tr>
      <w:tr w:rsidR="00EC3714" w:rsidRPr="00EC3714" w14:paraId="55C4226A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778C0E0B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Расчетно-депозитарные услуги</w:t>
            </w:r>
          </w:p>
        </w:tc>
        <w:tc>
          <w:tcPr>
            <w:tcW w:w="2336" w:type="dxa"/>
            <w:hideMark/>
          </w:tcPr>
          <w:p w14:paraId="5303C50A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9 721,2</w:t>
            </w:r>
          </w:p>
        </w:tc>
        <w:tc>
          <w:tcPr>
            <w:tcW w:w="2336" w:type="dxa"/>
            <w:hideMark/>
          </w:tcPr>
          <w:p w14:paraId="52AAF303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10 151,6</w:t>
            </w:r>
          </w:p>
        </w:tc>
        <w:tc>
          <w:tcPr>
            <w:tcW w:w="2336" w:type="dxa"/>
            <w:hideMark/>
          </w:tcPr>
          <w:p w14:paraId="0339A6E4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4,4</w:t>
            </w:r>
          </w:p>
        </w:tc>
      </w:tr>
      <w:tr w:rsidR="00EC3714" w:rsidRPr="00EC3714" w14:paraId="5F4FEFD0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60690F14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Рынок акций</w:t>
            </w:r>
          </w:p>
        </w:tc>
        <w:tc>
          <w:tcPr>
            <w:tcW w:w="2336" w:type="dxa"/>
            <w:hideMark/>
          </w:tcPr>
          <w:p w14:paraId="3974698D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6 964,6</w:t>
            </w:r>
          </w:p>
        </w:tc>
        <w:tc>
          <w:tcPr>
            <w:tcW w:w="2336" w:type="dxa"/>
            <w:hideMark/>
          </w:tcPr>
          <w:p w14:paraId="420226A8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10 076,6</w:t>
            </w:r>
          </w:p>
        </w:tc>
        <w:tc>
          <w:tcPr>
            <w:tcW w:w="2336" w:type="dxa"/>
            <w:hideMark/>
          </w:tcPr>
          <w:p w14:paraId="6791CC1A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44,7</w:t>
            </w:r>
          </w:p>
        </w:tc>
      </w:tr>
      <w:tr w:rsidR="00EC3714" w:rsidRPr="00EC3714" w14:paraId="51652FF3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18AFEDC2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Срочный рынок</w:t>
            </w:r>
          </w:p>
        </w:tc>
        <w:tc>
          <w:tcPr>
            <w:tcW w:w="2336" w:type="dxa"/>
            <w:hideMark/>
          </w:tcPr>
          <w:p w14:paraId="3040F43C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6 703,7</w:t>
            </w:r>
          </w:p>
        </w:tc>
        <w:tc>
          <w:tcPr>
            <w:tcW w:w="2336" w:type="dxa"/>
            <w:hideMark/>
          </w:tcPr>
          <w:p w14:paraId="46E66395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8 946,4</w:t>
            </w:r>
          </w:p>
        </w:tc>
        <w:tc>
          <w:tcPr>
            <w:tcW w:w="2336" w:type="dxa"/>
            <w:hideMark/>
          </w:tcPr>
          <w:p w14:paraId="0F873767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33,5</w:t>
            </w:r>
          </w:p>
        </w:tc>
      </w:tr>
      <w:tr w:rsidR="00EC3714" w:rsidRPr="00EC3714" w14:paraId="18DAAA56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31ED6CB2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ИТ-услуги, листинг и прочий комиссионный доход</w:t>
            </w:r>
          </w:p>
        </w:tc>
        <w:tc>
          <w:tcPr>
            <w:tcW w:w="2336" w:type="dxa"/>
            <w:hideMark/>
          </w:tcPr>
          <w:p w14:paraId="7C6FC652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4 343,0</w:t>
            </w:r>
          </w:p>
        </w:tc>
        <w:tc>
          <w:tcPr>
            <w:tcW w:w="2336" w:type="dxa"/>
            <w:hideMark/>
          </w:tcPr>
          <w:p w14:paraId="671839F0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4 634,9</w:t>
            </w:r>
          </w:p>
        </w:tc>
        <w:tc>
          <w:tcPr>
            <w:tcW w:w="2336" w:type="dxa"/>
            <w:hideMark/>
          </w:tcPr>
          <w:p w14:paraId="277399A9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6,7</w:t>
            </w:r>
          </w:p>
        </w:tc>
      </w:tr>
      <w:tr w:rsidR="00EC3714" w:rsidRPr="00EC3714" w14:paraId="0FE07766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17C552BA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Рынок облигаций</w:t>
            </w:r>
          </w:p>
        </w:tc>
        <w:tc>
          <w:tcPr>
            <w:tcW w:w="2336" w:type="dxa"/>
            <w:hideMark/>
          </w:tcPr>
          <w:p w14:paraId="080366DE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3 357,5</w:t>
            </w:r>
          </w:p>
        </w:tc>
        <w:tc>
          <w:tcPr>
            <w:tcW w:w="2336" w:type="dxa"/>
            <w:hideMark/>
          </w:tcPr>
          <w:p w14:paraId="058DF618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4 174,0</w:t>
            </w:r>
          </w:p>
        </w:tc>
        <w:tc>
          <w:tcPr>
            <w:tcW w:w="2336" w:type="dxa"/>
            <w:hideMark/>
          </w:tcPr>
          <w:p w14:paraId="3226A6F9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EC3714" w:rsidRPr="00EC3714" w14:paraId="1360007D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31514ED6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Финансовый маркетплейс</w:t>
            </w:r>
          </w:p>
        </w:tc>
        <w:tc>
          <w:tcPr>
            <w:tcW w:w="2336" w:type="dxa"/>
            <w:hideMark/>
          </w:tcPr>
          <w:p w14:paraId="174A25DC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1 806,2</w:t>
            </w:r>
          </w:p>
        </w:tc>
        <w:tc>
          <w:tcPr>
            <w:tcW w:w="2336" w:type="dxa"/>
            <w:hideMark/>
          </w:tcPr>
          <w:p w14:paraId="129B32A8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3 179,2</w:t>
            </w:r>
          </w:p>
        </w:tc>
        <w:tc>
          <w:tcPr>
            <w:tcW w:w="2336" w:type="dxa"/>
            <w:hideMark/>
          </w:tcPr>
          <w:p w14:paraId="66F30051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76,0</w:t>
            </w:r>
          </w:p>
        </w:tc>
      </w:tr>
      <w:tr w:rsidR="00EC3714" w:rsidRPr="00EC3714" w14:paraId="5C9C99EF" w14:textId="77777777" w:rsidTr="00EC3714">
        <w:tc>
          <w:tcPr>
            <w:tcW w:w="2336" w:type="dxa"/>
            <w:shd w:val="clear" w:color="auto" w:fill="F2F2F2" w:themeFill="background1" w:themeFillShade="F2"/>
            <w:hideMark/>
          </w:tcPr>
          <w:p w14:paraId="64FF85D0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Прочие рынки</w:t>
            </w:r>
          </w:p>
        </w:tc>
        <w:tc>
          <w:tcPr>
            <w:tcW w:w="2336" w:type="dxa"/>
            <w:hideMark/>
          </w:tcPr>
          <w:p w14:paraId="39BD6490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7 463,7</w:t>
            </w:r>
          </w:p>
        </w:tc>
        <w:tc>
          <w:tcPr>
            <w:tcW w:w="2336" w:type="dxa"/>
            <w:hideMark/>
          </w:tcPr>
          <w:p w14:paraId="31C7C6A6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5 619,1</w:t>
            </w:r>
          </w:p>
        </w:tc>
        <w:tc>
          <w:tcPr>
            <w:tcW w:w="2336" w:type="dxa"/>
            <w:hideMark/>
          </w:tcPr>
          <w:p w14:paraId="581C9C14" w14:textId="77777777" w:rsidR="00EC3714" w:rsidRPr="00EC3714" w:rsidRDefault="00EC3714" w:rsidP="00EC3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714">
              <w:rPr>
                <w:rFonts w:ascii="Times New Roman" w:hAnsi="Times New Roman" w:cs="Times New Roman"/>
                <w:sz w:val="24"/>
                <w:szCs w:val="24"/>
              </w:rPr>
              <w:t>-24,7</w:t>
            </w:r>
          </w:p>
        </w:tc>
      </w:tr>
    </w:tbl>
    <w:p w14:paraId="20928A95" w14:textId="4E39528D" w:rsidR="00EC3714" w:rsidRDefault="00EC3714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>
        <w:rPr>
          <w:rFonts w:ascii="Times New Roman" w:eastAsia="Aptos" w:hAnsi="Times New Roman" w:cs="Aptos"/>
          <w:sz w:val="28"/>
          <w:szCs w:val="24"/>
        </w:rPr>
        <w:t>Объемы с</w:t>
      </w:r>
      <w:r w:rsidRPr="00EC3714">
        <w:rPr>
          <w:rFonts w:ascii="Times New Roman" w:eastAsia="Aptos" w:hAnsi="Times New Roman" w:cs="Aptos"/>
          <w:sz w:val="28"/>
          <w:szCs w:val="24"/>
        </w:rPr>
        <w:t>рочн</w:t>
      </w:r>
      <w:r>
        <w:rPr>
          <w:rFonts w:ascii="Times New Roman" w:eastAsia="Aptos" w:hAnsi="Times New Roman" w:cs="Aptos"/>
          <w:sz w:val="28"/>
          <w:szCs w:val="24"/>
        </w:rPr>
        <w:t xml:space="preserve">ого </w:t>
      </w:r>
      <w:r w:rsidRPr="00EC3714">
        <w:rPr>
          <w:rFonts w:ascii="Times New Roman" w:eastAsia="Aptos" w:hAnsi="Times New Roman" w:cs="Aptos"/>
          <w:sz w:val="28"/>
          <w:szCs w:val="24"/>
        </w:rPr>
        <w:t>рын</w:t>
      </w:r>
      <w:r>
        <w:rPr>
          <w:rFonts w:ascii="Times New Roman" w:eastAsia="Aptos" w:hAnsi="Times New Roman" w:cs="Aptos"/>
          <w:sz w:val="28"/>
          <w:szCs w:val="24"/>
        </w:rPr>
        <w:t>ка</w:t>
      </w:r>
      <w:r w:rsidRPr="00EC3714">
        <w:rPr>
          <w:rFonts w:ascii="Times New Roman" w:eastAsia="Aptos" w:hAnsi="Times New Roman" w:cs="Aptos"/>
          <w:sz w:val="28"/>
          <w:szCs w:val="24"/>
        </w:rPr>
        <w:t xml:space="preserve"> (млрд рублей)</w:t>
      </w:r>
    </w:p>
    <w:tbl>
      <w:tblPr>
        <w:tblStyle w:val="2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C3714" w:rsidRPr="00EC3714" w14:paraId="59EE20ED" w14:textId="77777777" w:rsidTr="00EC371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99FAD74" w14:textId="77777777" w:rsidR="00EC3714" w:rsidRPr="00EC3714" w:rsidRDefault="00EC3714" w:rsidP="00EC3714">
            <w:pPr>
              <w:tabs>
                <w:tab w:val="left" w:pos="993"/>
              </w:tabs>
              <w:suppressAutoHyphens/>
              <w:spacing w:after="255" w:line="360" w:lineRule="auto"/>
              <w:jc w:val="both"/>
              <w:rPr>
                <w:rFonts w:ascii="Times New Roman" w:eastAsia="Aptos" w:hAnsi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DCE0ACA" w14:textId="77777777" w:rsidR="00EC3714" w:rsidRPr="00EC3714" w:rsidRDefault="00EC3714" w:rsidP="00EC3714">
            <w:pPr>
              <w:tabs>
                <w:tab w:val="left" w:pos="993"/>
              </w:tabs>
              <w:suppressAutoHyphens/>
              <w:spacing w:after="255" w:line="360" w:lineRule="auto"/>
              <w:jc w:val="both"/>
              <w:rPr>
                <w:rFonts w:ascii="Times New Roman" w:eastAsia="Aptos" w:hAnsi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/>
                <w:b/>
                <w:bCs/>
                <w:sz w:val="24"/>
                <w:szCs w:val="24"/>
              </w:rPr>
              <w:t>2023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480C472" w14:textId="77777777" w:rsidR="00EC3714" w:rsidRPr="00EC3714" w:rsidRDefault="00EC3714" w:rsidP="00EC3714">
            <w:pPr>
              <w:tabs>
                <w:tab w:val="left" w:pos="993"/>
              </w:tabs>
              <w:suppressAutoHyphens/>
              <w:spacing w:after="255" w:line="360" w:lineRule="auto"/>
              <w:jc w:val="both"/>
              <w:rPr>
                <w:rFonts w:ascii="Times New Roman" w:eastAsia="Aptos" w:hAnsi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/>
                <w:b/>
                <w:bCs/>
                <w:sz w:val="24"/>
                <w:szCs w:val="24"/>
              </w:rPr>
              <w:t>2024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AFD13D1" w14:textId="77777777" w:rsidR="00EC3714" w:rsidRPr="00EC3714" w:rsidRDefault="00EC3714" w:rsidP="00EC3714">
            <w:pPr>
              <w:tabs>
                <w:tab w:val="left" w:pos="993"/>
              </w:tabs>
              <w:suppressAutoHyphens/>
              <w:spacing w:after="255" w:line="360" w:lineRule="auto"/>
              <w:jc w:val="both"/>
              <w:rPr>
                <w:rFonts w:ascii="Times New Roman" w:eastAsia="Aptos" w:hAnsi="Times New Roman"/>
                <w:b/>
                <w:bCs/>
                <w:sz w:val="24"/>
                <w:szCs w:val="24"/>
              </w:rPr>
            </w:pPr>
            <w:r w:rsidRPr="00EC3714">
              <w:rPr>
                <w:rFonts w:ascii="Times New Roman" w:eastAsia="Aptos" w:hAnsi="Times New Roman"/>
                <w:b/>
                <w:bCs/>
                <w:sz w:val="24"/>
                <w:szCs w:val="24"/>
              </w:rPr>
              <w:t>Прирост (%)</w:t>
            </w:r>
          </w:p>
        </w:tc>
      </w:tr>
      <w:tr w:rsidR="00EC3714" w:rsidRPr="00EC3714" w14:paraId="6D4589A5" w14:textId="77777777" w:rsidTr="00EC371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72026F" w14:textId="7F4ECEC2" w:rsidR="00EC3714" w:rsidRPr="00EC3714" w:rsidRDefault="00EC3714" w:rsidP="00EC3714">
            <w:pPr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Объемы торгов на срочном рынке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2A19" w14:textId="0B6D7FD8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80 741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EFC1" w14:textId="3AFA6349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99 895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D7D87" w14:textId="01ABEC20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23,7</w:t>
            </w:r>
          </w:p>
        </w:tc>
      </w:tr>
      <w:tr w:rsidR="00EC3714" w:rsidRPr="00EC3714" w14:paraId="6AC2CFBE" w14:textId="77777777" w:rsidTr="00EC371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BE6479" w14:textId="5C1C137F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Фьючерсы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2E3A" w14:textId="6AEE489A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77 856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50B9" w14:textId="67259500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96 624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8108" w14:textId="3FD86186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24,1</w:t>
            </w:r>
          </w:p>
        </w:tc>
      </w:tr>
      <w:tr w:rsidR="00EC3714" w:rsidRPr="00EC3714" w14:paraId="13ABEE4C" w14:textId="77777777" w:rsidTr="00EC3714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A8A2EF" w14:textId="19F7B2F7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Опционы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8EC8" w14:textId="6D32FFEC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2 885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54DF8" w14:textId="4DCC89B6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3 271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0F97" w14:textId="3A0A48F6" w:rsidR="00EC3714" w:rsidRPr="00EC3714" w:rsidRDefault="00EC3714" w:rsidP="00EC3714">
            <w:pPr>
              <w:rPr>
                <w:rFonts w:ascii="Times New Roman" w:hAnsi="Times New Roman"/>
                <w:sz w:val="24"/>
                <w:szCs w:val="24"/>
              </w:rPr>
            </w:pPr>
            <w:r w:rsidRPr="00EC3714">
              <w:rPr>
                <w:rFonts w:ascii="Times New Roman" w:hAnsi="Times New Roman"/>
                <w:sz w:val="24"/>
                <w:szCs w:val="24"/>
              </w:rPr>
              <w:t>13,4</w:t>
            </w:r>
          </w:p>
        </w:tc>
      </w:tr>
    </w:tbl>
    <w:p w14:paraId="6CC48204" w14:textId="77777777" w:rsidR="00EC3714" w:rsidRPr="00B478E7" w:rsidRDefault="00EC3714" w:rsidP="00EC3714">
      <w:pPr>
        <w:tabs>
          <w:tab w:val="left" w:pos="993"/>
        </w:tabs>
        <w:suppressAutoHyphens/>
        <w:spacing w:before="240"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0EDA2A45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Выбор, описание и оценка эффективности бизнес-процесса: </w:t>
      </w:r>
    </w:p>
    <w:p w14:paraId="6294408D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Составить перечень бизнес-процессов, осуществляемых в рамках описываемого вида деятельности; </w:t>
      </w:r>
    </w:p>
    <w:p w14:paraId="6C7D56DC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Организация торговли на фондовом рынке</w:t>
      </w:r>
    </w:p>
    <w:p w14:paraId="1F7A1682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- Организация торговли на срочном рынке, дополнительный – </w:t>
      </w:r>
      <w:r w:rsidRPr="005A0AFF">
        <w:rPr>
          <w:rFonts w:ascii="Times New Roman" w:eastAsia="Aptos" w:hAnsi="Times New Roman" w:cs="Aptos"/>
          <w:sz w:val="28"/>
          <w:szCs w:val="24"/>
          <w:u w:val="single"/>
        </w:rPr>
        <w:t>«Учет корпоративных действий по базовым активам фьючерсных контрактов»</w:t>
      </w:r>
    </w:p>
    <w:p w14:paraId="29BE31F3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Клиринговая и отчетная деятельность</w:t>
      </w:r>
    </w:p>
    <w:p w14:paraId="008EFE04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Депозитарная деятельность</w:t>
      </w:r>
    </w:p>
    <w:p w14:paraId="08B37E8D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Листинг и допуск ценных бумаг к торгам</w:t>
      </w:r>
    </w:p>
    <w:p w14:paraId="690AA94F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Для каждого бизнес-процесса определить степень автоматизации – не автоматизирован, частично автоматизирован, автоматизирован;</w:t>
      </w:r>
    </w:p>
    <w:p w14:paraId="590E28FB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Организация торговли на фондовом рынке (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Автоматизирован</w:t>
      </w:r>
      <w:r w:rsidRPr="005A0AFF">
        <w:rPr>
          <w:rFonts w:ascii="Times New Roman" w:eastAsia="Aptos" w:hAnsi="Times New Roman" w:cs="Aptos"/>
          <w:sz w:val="28"/>
          <w:szCs w:val="24"/>
        </w:rPr>
        <w:t>)</w:t>
      </w:r>
    </w:p>
    <w:p w14:paraId="0F470F49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- Организация торговли на срочном рынке, дополнительный – </w:t>
      </w:r>
      <w:r w:rsidRPr="005A0AFF">
        <w:rPr>
          <w:rFonts w:ascii="Times New Roman" w:eastAsia="Aptos" w:hAnsi="Times New Roman" w:cs="Aptos"/>
          <w:sz w:val="28"/>
          <w:szCs w:val="24"/>
          <w:u w:val="single"/>
        </w:rPr>
        <w:t>«Учет корпоративных действий по базовым активам фьючерсных контрактов» (</w:t>
      </w:r>
      <w:r w:rsidRPr="005A0AFF">
        <w:rPr>
          <w:rFonts w:ascii="Times New Roman" w:eastAsia="Aptos" w:hAnsi="Times New Roman" w:cs="Aptos"/>
          <w:b/>
          <w:bCs/>
          <w:sz w:val="28"/>
          <w:szCs w:val="24"/>
          <w:u w:val="single"/>
        </w:rPr>
        <w:t>Частично автоматизирован</w:t>
      </w:r>
      <w:r w:rsidRPr="005A0AFF">
        <w:rPr>
          <w:rFonts w:ascii="Times New Roman" w:eastAsia="Aptos" w:hAnsi="Times New Roman" w:cs="Aptos"/>
          <w:sz w:val="28"/>
          <w:szCs w:val="24"/>
          <w:u w:val="single"/>
        </w:rPr>
        <w:t>)</w:t>
      </w:r>
    </w:p>
    <w:p w14:paraId="34221ECA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Клиринговая и отчетная деятельность (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Автоматизирован</w:t>
      </w:r>
      <w:r w:rsidRPr="005A0AFF">
        <w:rPr>
          <w:rFonts w:ascii="Times New Roman" w:eastAsia="Aptos" w:hAnsi="Times New Roman" w:cs="Aptos"/>
          <w:sz w:val="28"/>
          <w:szCs w:val="24"/>
        </w:rPr>
        <w:t>)</w:t>
      </w:r>
    </w:p>
    <w:p w14:paraId="1C03F8DC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Депозитарная деятельность (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Автоматизирован</w:t>
      </w:r>
      <w:r w:rsidRPr="005A0AFF">
        <w:rPr>
          <w:rFonts w:ascii="Times New Roman" w:eastAsia="Aptos" w:hAnsi="Times New Roman" w:cs="Aptos"/>
          <w:sz w:val="28"/>
          <w:szCs w:val="24"/>
        </w:rPr>
        <w:t>)</w:t>
      </w:r>
    </w:p>
    <w:p w14:paraId="5F6EE2B7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- Листинг и допуск ценных бумаг к торгам (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Частично автоматизирован </w:t>
      </w:r>
      <w:r w:rsidRPr="005A0AFF">
        <w:rPr>
          <w:rFonts w:ascii="Times New Roman" w:eastAsia="Aptos" w:hAnsi="Times New Roman" w:cs="Aptos"/>
          <w:sz w:val="28"/>
          <w:szCs w:val="24"/>
        </w:rPr>
        <w:t>)</w:t>
      </w:r>
    </w:p>
    <w:p w14:paraId="3BFC7BAB" w14:textId="77777777" w:rsidR="005A0AFF" w:rsidRPr="005A0AFF" w:rsidRDefault="005A0AFF" w:rsidP="005A0AFF">
      <w:pPr>
        <w:numPr>
          <w:ilvl w:val="0"/>
          <w:numId w:val="7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Выбрать среди неавтоматизированных или частично автоматизированных один бизнес-процесс для автоматизации и составить его детальное описание, а затем построить детальные диаграммы в нотации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  <w:lang w:val="en-US"/>
        </w:rPr>
        <w:t>IDEF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0 или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  <w:lang w:val="en-US"/>
        </w:rPr>
        <w:t>BPMN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; </w:t>
      </w:r>
    </w:p>
    <w:p w14:paraId="45B40FD4" w14:textId="77777777" w:rsidR="005A0AFF" w:rsidRDefault="005A0AFF" w:rsidP="005A0AFF">
      <w:pPr>
        <w:keepNext/>
        <w:tabs>
          <w:tab w:val="left" w:pos="993"/>
        </w:tabs>
        <w:suppressAutoHyphens/>
        <w:spacing w:line="360" w:lineRule="auto"/>
        <w:contextualSpacing/>
        <w:jc w:val="center"/>
      </w:pPr>
      <w:r w:rsidRPr="005A0AFF">
        <w:rPr>
          <w:rFonts w:ascii="Times New Roman" w:eastAsia="Aptos" w:hAnsi="Times New Roman" w:cs="Aptos"/>
          <w:noProof/>
          <w:sz w:val="28"/>
          <w:szCs w:val="24"/>
        </w:rPr>
        <w:drawing>
          <wp:inline distT="0" distB="0" distL="0" distR="0" wp14:anchorId="25CF9174" wp14:editId="5DBD5E6F">
            <wp:extent cx="5755514" cy="3078480"/>
            <wp:effectExtent l="0" t="0" r="0" b="7620"/>
            <wp:docPr id="46572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650" cy="30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2C41" w14:textId="4EC220AC" w:rsidR="005A0AFF" w:rsidRPr="005A0AFF" w:rsidRDefault="005A0AFF" w:rsidP="005A0AFF">
      <w:pPr>
        <w:pStyle w:val="a7"/>
        <w:rPr>
          <w:rFonts w:eastAsia="Aptos" w:cs="Aptos"/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 Диаграмма </w:t>
      </w:r>
      <w:r>
        <w:rPr>
          <w:lang w:val="en-US"/>
        </w:rPr>
        <w:t>IDEF</w:t>
      </w:r>
      <w:r w:rsidRPr="005A0AFF">
        <w:t>0</w:t>
      </w:r>
      <w:r>
        <w:t xml:space="preserve"> для бизнес-процесса «</w:t>
      </w:r>
      <w:r w:rsidRPr="005A0AFF">
        <w:t>Учет корпоративных действий по базовым активам фьючерсных контрактов</w:t>
      </w:r>
      <w:r>
        <w:t>»</w:t>
      </w:r>
    </w:p>
    <w:p w14:paraId="73ABB159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1CBF8737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7AB30166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Выполнить оценку эффективности выбранного для автоматизации бизнес-процесса.</w:t>
      </w:r>
    </w:p>
    <w:p w14:paraId="749D6EE1" w14:textId="7179A09B" w:rsidR="00F86E62" w:rsidRPr="00F86E62" w:rsidRDefault="00F86E62" w:rsidP="00F86E62">
      <w:pPr>
        <w:pStyle w:val="a3"/>
        <w:numPr>
          <w:ilvl w:val="3"/>
          <w:numId w:val="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F86E62">
        <w:rPr>
          <w:rFonts w:ascii="Times New Roman" w:eastAsia="Aptos" w:hAnsi="Times New Roman" w:cs="Aptos"/>
          <w:sz w:val="28"/>
          <w:szCs w:val="24"/>
          <w:u w:val="single"/>
        </w:rPr>
        <w:t>Показатели «до → после» (оценочно)</w:t>
      </w:r>
    </w:p>
    <w:p w14:paraId="56B3998F" w14:textId="59FFAC76" w:rsidR="00F86E62" w:rsidRPr="00F86E62" w:rsidRDefault="00F86E62" w:rsidP="00F86E62">
      <w:pPr>
        <w:numPr>
          <w:ilvl w:val="0"/>
          <w:numId w:val="13"/>
        </w:num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Время на одно событие: 35 мин → 10 мин (</w:t>
      </w:r>
      <w:r>
        <w:rPr>
          <w:rFonts w:ascii="Times New Roman" w:eastAsia="Aptos" w:hAnsi="Times New Roman" w:cs="Aptos"/>
          <w:sz w:val="28"/>
          <w:szCs w:val="24"/>
        </w:rPr>
        <w:t>-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25 мин, </w:t>
      </w:r>
      <w:r>
        <w:rPr>
          <w:rFonts w:ascii="Times New Roman" w:eastAsia="Aptos" w:hAnsi="Times New Roman" w:cs="Aptos"/>
          <w:sz w:val="28"/>
          <w:szCs w:val="24"/>
        </w:rPr>
        <w:t>-</w:t>
      </w:r>
      <w:r w:rsidRPr="00F86E62">
        <w:rPr>
          <w:rFonts w:ascii="Times New Roman" w:eastAsia="Aptos" w:hAnsi="Times New Roman" w:cs="Aptos"/>
          <w:sz w:val="28"/>
          <w:szCs w:val="24"/>
        </w:rPr>
        <w:t>71%).</w:t>
      </w:r>
    </w:p>
    <w:p w14:paraId="4316EB79" w14:textId="74E5C8DB" w:rsidR="00F86E62" w:rsidRPr="00F86E62" w:rsidRDefault="00F86E62" w:rsidP="00F86E62">
      <w:pPr>
        <w:numPr>
          <w:ilvl w:val="0"/>
          <w:numId w:val="13"/>
        </w:num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 xml:space="preserve">Доля событий, проходящих без ручного пересчёта: 40% → </w:t>
      </w:r>
      <w:r w:rsidRPr="00F86E62">
        <w:rPr>
          <w:rFonts w:ascii="Times New Roman" w:eastAsia="Aptos" w:hAnsi="Times New Roman" w:cs="Aptos"/>
          <w:sz w:val="28"/>
          <w:szCs w:val="24"/>
        </w:rPr>
        <w:t>&gt;</w:t>
      </w:r>
      <w:r w:rsidRPr="00F86E62">
        <w:rPr>
          <w:rFonts w:ascii="Times New Roman" w:eastAsia="Aptos" w:hAnsi="Times New Roman" w:cs="Aptos"/>
          <w:sz w:val="28"/>
          <w:szCs w:val="24"/>
        </w:rPr>
        <w:t>90</w:t>
      </w:r>
      <w:r w:rsidRPr="00F86E62">
        <w:rPr>
          <w:rFonts w:ascii="Times New Roman" w:eastAsia="Aptos" w:hAnsi="Times New Roman" w:cs="Aptos"/>
          <w:sz w:val="28"/>
          <w:szCs w:val="24"/>
        </w:rPr>
        <w:t>%</w:t>
      </w:r>
      <w:r w:rsidRPr="00F86E62">
        <w:rPr>
          <w:rFonts w:ascii="Times New Roman" w:eastAsia="Aptos" w:hAnsi="Times New Roman" w:cs="Aptos"/>
          <w:sz w:val="28"/>
          <w:szCs w:val="24"/>
        </w:rPr>
        <w:t>.</w:t>
      </w:r>
    </w:p>
    <w:p w14:paraId="615469B4" w14:textId="2F280FA8" w:rsidR="00F86E62" w:rsidRPr="00F86E62" w:rsidRDefault="00F86E62" w:rsidP="00F86E62">
      <w:pPr>
        <w:numPr>
          <w:ilvl w:val="0"/>
          <w:numId w:val="13"/>
        </w:num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Ошибк</w:t>
      </w:r>
      <w:r>
        <w:rPr>
          <w:rFonts w:ascii="Times New Roman" w:eastAsia="Aptos" w:hAnsi="Times New Roman" w:cs="Aptos"/>
          <w:sz w:val="28"/>
          <w:szCs w:val="24"/>
        </w:rPr>
        <w:t>и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: </w:t>
      </w:r>
      <w:r w:rsidRPr="00F86E62">
        <w:rPr>
          <w:rFonts w:ascii="Times New Roman" w:eastAsia="Aptos" w:hAnsi="Times New Roman" w:cs="Aptos"/>
          <w:sz w:val="28"/>
          <w:szCs w:val="24"/>
        </w:rPr>
        <w:t>4/кв. → 1/кв. (</w:t>
      </w:r>
      <w:r w:rsidRPr="00F86E62">
        <w:rPr>
          <w:rFonts w:ascii="Times New Roman" w:eastAsia="Aptos" w:hAnsi="Times New Roman" w:cs="Aptos"/>
          <w:sz w:val="28"/>
          <w:szCs w:val="24"/>
        </w:rPr>
        <w:t>-</w:t>
      </w:r>
      <w:r w:rsidRPr="00F86E62">
        <w:rPr>
          <w:rFonts w:ascii="Times New Roman" w:eastAsia="Aptos" w:hAnsi="Times New Roman" w:cs="Aptos"/>
          <w:sz w:val="28"/>
          <w:szCs w:val="24"/>
        </w:rPr>
        <w:t>12 в год).</w:t>
      </w:r>
    </w:p>
    <w:p w14:paraId="7E681C0B" w14:textId="4624A656" w:rsidR="00F86E62" w:rsidRPr="00F86E62" w:rsidRDefault="00F86E62" w:rsidP="00F86E62">
      <w:pPr>
        <w:numPr>
          <w:ilvl w:val="0"/>
          <w:numId w:val="13"/>
        </w:num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Задержка распространения: 3</w:t>
      </w:r>
      <w:r>
        <w:rPr>
          <w:rFonts w:ascii="Times New Roman" w:eastAsia="Aptos" w:hAnsi="Times New Roman" w:cs="Aptos"/>
          <w:sz w:val="28"/>
          <w:szCs w:val="24"/>
        </w:rPr>
        <w:t>-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5 мин → </w:t>
      </w:r>
      <w:r>
        <w:rPr>
          <w:rFonts w:ascii="Times New Roman" w:eastAsia="Aptos" w:hAnsi="Times New Roman" w:cs="Aptos"/>
          <w:sz w:val="28"/>
          <w:szCs w:val="24"/>
          <w:lang w:val="en-US"/>
        </w:rPr>
        <w:t>&lt;</w:t>
      </w:r>
      <w:r w:rsidRPr="00F86E62">
        <w:rPr>
          <w:rFonts w:ascii="Times New Roman" w:eastAsia="Aptos" w:hAnsi="Times New Roman" w:cs="Aptos"/>
          <w:sz w:val="28"/>
          <w:szCs w:val="24"/>
        </w:rPr>
        <w:t>60 сек.</w:t>
      </w:r>
    </w:p>
    <w:p w14:paraId="7B08C349" w14:textId="429221DE" w:rsidR="00F86E62" w:rsidRPr="00F86E62" w:rsidRDefault="00F86E62" w:rsidP="00F86E62">
      <w:pPr>
        <w:numPr>
          <w:ilvl w:val="0"/>
          <w:numId w:val="13"/>
        </w:num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Массовый пересчёт серий (вечернее окно): 25 мин → 10 мин.</w:t>
      </w:r>
    </w:p>
    <w:p w14:paraId="40499DA4" w14:textId="61698A1A" w:rsidR="005A0AFF" w:rsidRPr="00F86E62" w:rsidRDefault="00F86E62" w:rsidP="00F86E62">
      <w:pPr>
        <w:pStyle w:val="a3"/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F86E62">
        <w:rPr>
          <w:rFonts w:ascii="Times New Roman" w:eastAsia="Aptos" w:hAnsi="Times New Roman" w:cs="Aptos"/>
          <w:sz w:val="28"/>
          <w:szCs w:val="24"/>
          <w:u w:val="single"/>
        </w:rPr>
        <w:t>Прямой экономический эффект</w:t>
      </w:r>
    </w:p>
    <w:p w14:paraId="41C7364B" w14:textId="37FAF4CB" w:rsidR="00F86E62" w:rsidRPr="00F86E62" w:rsidRDefault="00F86E62" w:rsidP="00F86E62">
      <w:pPr>
        <w:pStyle w:val="a3"/>
        <w:numPr>
          <w:ilvl w:val="0"/>
          <w:numId w:val="15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Экономия трудозатрат: 450</w:t>
      </w:r>
      <w:r>
        <w:rPr>
          <w:rFonts w:ascii="Times New Roman" w:eastAsia="Aptos" w:hAnsi="Times New Roman" w:cs="Aptos"/>
          <w:sz w:val="28"/>
          <w:szCs w:val="24"/>
        </w:rPr>
        <w:t xml:space="preserve"> событий/год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 </w:t>
      </w:r>
      <w:r w:rsidR="00C81C74">
        <w:rPr>
          <w:rFonts w:ascii="Times New Roman" w:eastAsia="Aptos" w:hAnsi="Times New Roman" w:cs="Aptos"/>
          <w:sz w:val="28"/>
          <w:szCs w:val="24"/>
        </w:rPr>
        <w:t>*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 25 мин</w:t>
      </w:r>
      <w:r>
        <w:rPr>
          <w:rFonts w:ascii="Times New Roman" w:eastAsia="Aptos" w:hAnsi="Times New Roman" w:cs="Aptos"/>
          <w:sz w:val="28"/>
          <w:szCs w:val="24"/>
        </w:rPr>
        <w:t>/событие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 = 187,5 ч/год→ 225 000 </w:t>
      </w:r>
      <w:r w:rsidR="00C81C74">
        <w:rPr>
          <w:rFonts w:ascii="Times New Roman" w:eastAsia="Aptos" w:hAnsi="Times New Roman" w:cs="Aptos"/>
          <w:sz w:val="28"/>
          <w:szCs w:val="24"/>
        </w:rPr>
        <w:t>руб.</w:t>
      </w:r>
      <w:r w:rsidRPr="00F86E62">
        <w:rPr>
          <w:rFonts w:ascii="Times New Roman" w:eastAsia="Aptos" w:hAnsi="Times New Roman" w:cs="Aptos"/>
          <w:sz w:val="28"/>
          <w:szCs w:val="24"/>
        </w:rPr>
        <w:t>/год.</w:t>
      </w:r>
    </w:p>
    <w:p w14:paraId="2ED212CC" w14:textId="35BA8C10" w:rsidR="00F86E62" w:rsidRPr="00F86E62" w:rsidRDefault="00F86E62" w:rsidP="00F86E62">
      <w:pPr>
        <w:pStyle w:val="a3"/>
        <w:numPr>
          <w:ilvl w:val="0"/>
          <w:numId w:val="15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>Снижение затрат на инциденты:</w:t>
      </w:r>
      <w:r w:rsidR="00C81C74">
        <w:rPr>
          <w:rFonts w:ascii="Times New Roman" w:eastAsia="Aptos" w:hAnsi="Times New Roman" w:cs="Aptos"/>
          <w:sz w:val="28"/>
          <w:szCs w:val="24"/>
        </w:rPr>
        <w:t xml:space="preserve"> </w:t>
      </w:r>
      <w:r w:rsidRPr="00F86E62">
        <w:rPr>
          <w:rFonts w:ascii="Times New Roman" w:eastAsia="Aptos" w:hAnsi="Times New Roman" w:cs="Aptos"/>
          <w:sz w:val="28"/>
          <w:szCs w:val="24"/>
        </w:rPr>
        <w:t>=</w:t>
      </w:r>
      <w:r w:rsidR="00C81C74">
        <w:rPr>
          <w:rFonts w:ascii="Times New Roman" w:eastAsia="Aptos" w:hAnsi="Times New Roman" w:cs="Aptos"/>
          <w:sz w:val="28"/>
          <w:szCs w:val="24"/>
        </w:rPr>
        <w:t xml:space="preserve"> </w:t>
      </w:r>
      <w:r w:rsidRPr="00F86E62">
        <w:rPr>
          <w:rFonts w:ascii="Times New Roman" w:eastAsia="Aptos" w:hAnsi="Times New Roman" w:cs="Aptos"/>
          <w:sz w:val="28"/>
          <w:szCs w:val="24"/>
        </w:rPr>
        <w:t xml:space="preserve">3 инцидента/кв. = 12/год→ 1 800 000 </w:t>
      </w:r>
      <w:r w:rsidR="00C81C74">
        <w:rPr>
          <w:rFonts w:ascii="Times New Roman" w:eastAsia="Aptos" w:hAnsi="Times New Roman" w:cs="Aptos"/>
          <w:sz w:val="28"/>
          <w:szCs w:val="24"/>
        </w:rPr>
        <w:t>руб.</w:t>
      </w:r>
      <w:r w:rsidRPr="00F86E62">
        <w:rPr>
          <w:rFonts w:ascii="Times New Roman" w:eastAsia="Aptos" w:hAnsi="Times New Roman" w:cs="Aptos"/>
          <w:sz w:val="28"/>
          <w:szCs w:val="24"/>
        </w:rPr>
        <w:t>/год.</w:t>
      </w:r>
    </w:p>
    <w:p w14:paraId="227F0E97" w14:textId="24218A12" w:rsidR="00F86E62" w:rsidRPr="00F86E62" w:rsidRDefault="00F86E62" w:rsidP="00C81C74">
      <w:pPr>
        <w:pStyle w:val="a3"/>
        <w:numPr>
          <w:ilvl w:val="0"/>
          <w:numId w:val="15"/>
        </w:numPr>
        <w:tabs>
          <w:tab w:val="left" w:pos="993"/>
        </w:tabs>
        <w:suppressAutoHyphens/>
        <w:spacing w:after="0" w:line="360" w:lineRule="auto"/>
        <w:ind w:left="0" w:firstLine="709"/>
        <w:jc w:val="both"/>
        <w:rPr>
          <w:rFonts w:ascii="Times New Roman" w:eastAsia="Aptos" w:hAnsi="Times New Roman" w:cs="Aptos"/>
          <w:sz w:val="28"/>
          <w:szCs w:val="24"/>
        </w:rPr>
      </w:pPr>
      <w:r w:rsidRPr="00F86E62">
        <w:rPr>
          <w:rFonts w:ascii="Times New Roman" w:eastAsia="Aptos" w:hAnsi="Times New Roman" w:cs="Aptos"/>
          <w:sz w:val="28"/>
          <w:szCs w:val="24"/>
        </w:rPr>
        <w:t xml:space="preserve">Эффект от своевременной публикации (сужение спредов/избежание отмен): условно 100 000 </w:t>
      </w:r>
      <w:r w:rsidR="00C81C74">
        <w:rPr>
          <w:rFonts w:ascii="Times New Roman" w:eastAsia="Aptos" w:hAnsi="Times New Roman" w:cs="Aptos"/>
          <w:sz w:val="28"/>
          <w:szCs w:val="24"/>
        </w:rPr>
        <w:t>руб.</w:t>
      </w:r>
      <w:r w:rsidRPr="00F86E62">
        <w:rPr>
          <w:rFonts w:ascii="Times New Roman" w:eastAsia="Aptos" w:hAnsi="Times New Roman" w:cs="Aptos"/>
          <w:sz w:val="28"/>
          <w:szCs w:val="24"/>
        </w:rPr>
        <w:t>/год.</w:t>
      </w:r>
    </w:p>
    <w:p w14:paraId="7786DA5B" w14:textId="77777777" w:rsidR="00C81C74" w:rsidRPr="00C81C74" w:rsidRDefault="00C81C74" w:rsidP="00C81C74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C81C74">
        <w:rPr>
          <w:rFonts w:ascii="Times New Roman" w:eastAsia="Aptos" w:hAnsi="Times New Roman" w:cs="Aptos"/>
          <w:b/>
          <w:bCs/>
          <w:sz w:val="28"/>
          <w:szCs w:val="24"/>
        </w:rPr>
        <w:t>Качественные эффекты (ключевые)</w:t>
      </w:r>
    </w:p>
    <w:p w14:paraId="72D25F3A" w14:textId="4705C32E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>Единые правила и калькуляции для всех классов активов</w:t>
      </w:r>
      <w:r>
        <w:rPr>
          <w:rFonts w:ascii="Times New Roman" w:eastAsia="Aptos" w:hAnsi="Times New Roman" w:cs="Aptos"/>
          <w:sz w:val="28"/>
          <w:szCs w:val="24"/>
        </w:rPr>
        <w:t>, что приводит к</w:t>
      </w:r>
      <w:r w:rsidRPr="00C81C74">
        <w:rPr>
          <w:rFonts w:ascii="Times New Roman" w:eastAsia="Aptos" w:hAnsi="Times New Roman" w:cs="Aptos"/>
          <w:sz w:val="28"/>
          <w:szCs w:val="24"/>
        </w:rPr>
        <w:t xml:space="preserve"> меньше</w:t>
      </w:r>
      <w:r>
        <w:rPr>
          <w:rFonts w:ascii="Times New Roman" w:eastAsia="Aptos" w:hAnsi="Times New Roman" w:cs="Aptos"/>
          <w:sz w:val="28"/>
          <w:szCs w:val="24"/>
        </w:rPr>
        <w:t>му</w:t>
      </w:r>
      <w:r w:rsidRPr="00C81C74">
        <w:rPr>
          <w:rFonts w:ascii="Times New Roman" w:eastAsia="Aptos" w:hAnsi="Times New Roman" w:cs="Aptos"/>
          <w:sz w:val="28"/>
          <w:szCs w:val="24"/>
        </w:rPr>
        <w:t xml:space="preserve"> расхождени</w:t>
      </w:r>
      <w:r>
        <w:rPr>
          <w:rFonts w:ascii="Times New Roman" w:eastAsia="Aptos" w:hAnsi="Times New Roman" w:cs="Aptos"/>
          <w:sz w:val="28"/>
          <w:szCs w:val="24"/>
        </w:rPr>
        <w:t>ю</w:t>
      </w:r>
      <w:r w:rsidRPr="00C81C74">
        <w:rPr>
          <w:rFonts w:ascii="Times New Roman" w:eastAsia="Aptos" w:hAnsi="Times New Roman" w:cs="Aptos"/>
          <w:sz w:val="28"/>
          <w:szCs w:val="24"/>
        </w:rPr>
        <w:t xml:space="preserve"> между отделами.</w:t>
      </w:r>
    </w:p>
    <w:p w14:paraId="0B9C2238" w14:textId="77777777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>Снижение регуляторных рисков и «человеческого фактора».</w:t>
      </w:r>
    </w:p>
    <w:p w14:paraId="540755ED" w14:textId="431DA92E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 xml:space="preserve">Предсказуемые окна публикаций </w:t>
      </w:r>
      <w:r>
        <w:rPr>
          <w:rFonts w:ascii="Times New Roman" w:eastAsia="Aptos" w:hAnsi="Times New Roman" w:cs="Aptos"/>
          <w:sz w:val="28"/>
          <w:szCs w:val="24"/>
        </w:rPr>
        <w:t>по</w:t>
      </w:r>
      <w:r w:rsidRPr="00C81C74">
        <w:rPr>
          <w:rFonts w:ascii="Times New Roman" w:eastAsia="Aptos" w:hAnsi="Times New Roman" w:cs="Aptos"/>
          <w:sz w:val="28"/>
          <w:szCs w:val="24"/>
        </w:rPr>
        <w:t>выш</w:t>
      </w:r>
      <w:r>
        <w:rPr>
          <w:rFonts w:ascii="Times New Roman" w:eastAsia="Aptos" w:hAnsi="Times New Roman" w:cs="Aptos"/>
          <w:sz w:val="28"/>
          <w:szCs w:val="24"/>
        </w:rPr>
        <w:t>а</w:t>
      </w:r>
      <w:r w:rsidRPr="00C81C74">
        <w:rPr>
          <w:rFonts w:ascii="Times New Roman" w:eastAsia="Aptos" w:hAnsi="Times New Roman" w:cs="Aptos"/>
          <w:sz w:val="28"/>
          <w:szCs w:val="24"/>
        </w:rPr>
        <w:t>е</w:t>
      </w:r>
      <w:r>
        <w:rPr>
          <w:rFonts w:ascii="Times New Roman" w:eastAsia="Aptos" w:hAnsi="Times New Roman" w:cs="Aptos"/>
          <w:sz w:val="28"/>
          <w:szCs w:val="24"/>
        </w:rPr>
        <w:t>т</w:t>
      </w:r>
      <w:r w:rsidRPr="00C81C74">
        <w:rPr>
          <w:rFonts w:ascii="Times New Roman" w:eastAsia="Aptos" w:hAnsi="Times New Roman" w:cs="Aptos"/>
          <w:sz w:val="28"/>
          <w:szCs w:val="24"/>
        </w:rPr>
        <w:t xml:space="preserve"> удовлетворённость участников и маркет-мейкеров.</w:t>
      </w:r>
    </w:p>
    <w:p w14:paraId="627947E0" w14:textId="36E69598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>Сокращение времени онбординга новых сотрудников за счёт стандартизированных шагов.</w:t>
      </w:r>
    </w:p>
    <w:p w14:paraId="61C74426" w14:textId="77777777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>Готовность к внешним аудитам: воспроизводимость расчётов «как на дату».</w:t>
      </w:r>
    </w:p>
    <w:p w14:paraId="348E5599" w14:textId="77777777" w:rsidR="00C81C74" w:rsidRPr="00C81C74" w:rsidRDefault="00C81C74" w:rsidP="00C81C74">
      <w:pPr>
        <w:numPr>
          <w:ilvl w:val="0"/>
          <w:numId w:val="16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C81C74">
        <w:rPr>
          <w:rFonts w:ascii="Times New Roman" w:eastAsia="Aptos" w:hAnsi="Times New Roman" w:cs="Aptos"/>
          <w:sz w:val="28"/>
          <w:szCs w:val="24"/>
        </w:rPr>
        <w:t>Освобождение времени экспертов для продуктовых задач (новые серии, методология).</w:t>
      </w:r>
    </w:p>
    <w:p w14:paraId="19845B0D" w14:textId="77777777" w:rsidR="00F86E62" w:rsidRDefault="00F86E62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0D8AA21D" w14:textId="77777777" w:rsidR="00C81C74" w:rsidRPr="005A0AFF" w:rsidRDefault="00C81C74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63317285" w14:textId="77777777" w:rsidR="005A0AFF" w:rsidRPr="005A0AFF" w:rsidRDefault="005A0AFF" w:rsidP="005A0AFF">
      <w:pPr>
        <w:numPr>
          <w:ilvl w:val="0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Оценить и описать техническую и программную архитектуру организации.</w:t>
      </w:r>
    </w:p>
    <w:p w14:paraId="7B033F44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Разработать:</w:t>
      </w:r>
    </w:p>
    <w:p w14:paraId="469F0392" w14:textId="77777777" w:rsidR="005A0AFF" w:rsidRPr="005A0AFF" w:rsidRDefault="005A0AFF" w:rsidP="005A0AFF">
      <w:pPr>
        <w:numPr>
          <w:ilvl w:val="1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5A0AFF">
        <w:rPr>
          <w:rFonts w:ascii="Times New Roman" w:eastAsia="Aptos" w:hAnsi="Times New Roman" w:cs="Aptos"/>
          <w:sz w:val="28"/>
          <w:szCs w:val="24"/>
          <w:u w:val="single"/>
        </w:rPr>
        <w:t xml:space="preserve">Технические требования к серверу БД: </w:t>
      </w:r>
    </w:p>
    <w:p w14:paraId="5D58D938" w14:textId="77777777" w:rsidR="005A0AFF" w:rsidRPr="005A0AFF" w:rsidRDefault="005A0AFF" w:rsidP="005A0AFF">
      <w:pPr>
        <w:numPr>
          <w:ilvl w:val="2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аппаратная конфигурация: </w:t>
      </w:r>
    </w:p>
    <w:p w14:paraId="349229BD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марка и модель ЦП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Intel Xeon Gold 6348 (28 ядер, 2.6 GHz) 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, </w:t>
      </w:r>
    </w:p>
    <w:p w14:paraId="6657FCD1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марки, модели и объем оперативной памяти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256 GB DDR4 ECC Registered RAM, минимум 512 ГБ для кластера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, </w:t>
      </w:r>
    </w:p>
    <w:p w14:paraId="588AD0DD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марки, модели и объемы накопителей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 Enterprise-class SSD (NVMe), система и СУБД: 2 x 960 GB SSD в RAID 1, база данных и журналы транзакций: 4 x 3.84 TB SSD в RAID 10 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, </w:t>
      </w:r>
    </w:p>
    <w:p w14:paraId="607BA08D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марки и модели сетевых адаптеров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2 x 10 Gbps SFP+ сетевых адаптера (например, Intel X710)</w:t>
      </w:r>
      <w:r w:rsidRPr="005A0AFF">
        <w:rPr>
          <w:rFonts w:ascii="Times New Roman" w:eastAsia="Aptos" w:hAnsi="Times New Roman" w:cs="Aptos"/>
          <w:sz w:val="28"/>
          <w:szCs w:val="24"/>
        </w:rPr>
        <w:t>,</w:t>
      </w:r>
    </w:p>
    <w:p w14:paraId="01CB1B24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характеристики силовой подсистемы – марки и модели встроенных БП, марки и модели ИБП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Встроенные БП:</w:t>
      </w:r>
      <w:r w:rsidRPr="005A0AFF">
        <w:rPr>
          <w:rFonts w:ascii="Times New Roman" w:eastAsia="Aptos" w:hAnsi="Times New Roman" w:cs="Aptos"/>
          <w:sz w:val="28"/>
          <w:szCs w:val="24"/>
        </w:rPr>
        <w:t> 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2 x 1600W Hot-Plug Power Supply Unit, ИБП: Статические ИБП (Online Double Conversion)</w:t>
      </w:r>
      <w:r w:rsidRPr="005A0AFF">
        <w:rPr>
          <w:rFonts w:ascii="Times New Roman" w:eastAsia="Aptos" w:hAnsi="Times New Roman" w:cs="Aptos"/>
          <w:sz w:val="28"/>
          <w:szCs w:val="24"/>
        </w:rPr>
        <w:t>;</w:t>
      </w:r>
    </w:p>
    <w:p w14:paraId="67DCE65A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207E0655" w14:textId="77777777" w:rsidR="005A0AFF" w:rsidRPr="005A0AFF" w:rsidRDefault="005A0AFF" w:rsidP="005A0AFF">
      <w:pPr>
        <w:numPr>
          <w:ilvl w:val="2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программная конфигурация: </w:t>
      </w:r>
    </w:p>
    <w:p w14:paraId="1DC5AA1F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производитель, название, версия, модель лицензирования серверной ОС с обоснованием выбора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ООО "РусБИТех-Астра", Астра Линукс SE (Сервер Особый), версия 1.7 (на базе RHEL 8);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 </w:t>
      </w:r>
    </w:p>
    <w:p w14:paraId="431C266D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служебное программное обеспечение: </w:t>
      </w:r>
    </w:p>
    <w:p w14:paraId="29FB0229" w14:textId="77777777" w:rsidR="005A0AFF" w:rsidRPr="005A0AFF" w:rsidRDefault="005A0AFF" w:rsidP="005A0AFF">
      <w:pPr>
        <w:numPr>
          <w:ilvl w:val="4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производитель, название, версия, модель лицензирования антивируса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Kaspersky, Kaspersky Security Center, версия 14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,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модель лицензирования: на сервер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; </w:t>
      </w:r>
    </w:p>
    <w:p w14:paraId="1D8E9B37" w14:textId="77777777" w:rsidR="005A0AFF" w:rsidRPr="005A0AFF" w:rsidRDefault="005A0AFF" w:rsidP="005A0AFF">
      <w:pPr>
        <w:numPr>
          <w:ilvl w:val="4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производитель, название, версия, модель лицензирования системы резервного копирования и восстановления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Veeam, Veeam Backup &amp; Replication, версия 12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,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модель лиценцирования:</w:t>
      </w:r>
      <w:r w:rsidRPr="005A0AFF">
        <w:rPr>
          <w:rFonts w:ascii="Times New Roman" w:eastAsia="Aptos" w:hAnsi="Times New Roman" w:cs="Aptos"/>
          <w:sz w:val="28"/>
          <w:szCs w:val="24"/>
        </w:rPr>
        <w:t> 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на сервер сокет</w:t>
      </w:r>
      <w:r w:rsidRPr="005A0AFF">
        <w:rPr>
          <w:rFonts w:ascii="Times New Roman" w:eastAsia="Aptos" w:hAnsi="Times New Roman" w:cs="Aptos"/>
          <w:sz w:val="28"/>
          <w:szCs w:val="24"/>
        </w:rPr>
        <w:t xml:space="preserve">; </w:t>
      </w:r>
    </w:p>
    <w:p w14:paraId="02E548ED" w14:textId="77777777" w:rsidR="005A0AFF" w:rsidRPr="005A0AFF" w:rsidRDefault="005A0AFF" w:rsidP="005A0AFF">
      <w:pPr>
        <w:numPr>
          <w:ilvl w:val="4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производитель, название, версия, модель лицензирования брандмауэра (сетевого экрана)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 xml:space="preserve">штатный nftables (преемник iptables) в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составе Астра Линукс. Управление через утилиты firewalld или прямое редактирование правил</w:t>
      </w:r>
      <w:r w:rsidRPr="005A0AFF">
        <w:rPr>
          <w:rFonts w:ascii="Times New Roman" w:eastAsia="Aptos" w:hAnsi="Times New Roman" w:cs="Aptos"/>
          <w:sz w:val="28"/>
          <w:szCs w:val="24"/>
        </w:rPr>
        <w:t>;</w:t>
      </w:r>
    </w:p>
    <w:p w14:paraId="312B6B90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выбрать и обосновать выбор СУБД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ООО "Постгрес Профессиональный", Postgres Pro Enterprise, версия 14 (или актуальная)</w:t>
      </w:r>
      <w:r w:rsidRPr="005A0AFF">
        <w:rPr>
          <w:rFonts w:ascii="Times New Roman" w:eastAsia="Aptos" w:hAnsi="Times New Roman" w:cs="Aptos"/>
          <w:sz w:val="28"/>
          <w:szCs w:val="24"/>
        </w:rPr>
        <w:t>.</w:t>
      </w:r>
    </w:p>
    <w:p w14:paraId="69CA4762" w14:textId="77777777" w:rsidR="005A0AFF" w:rsidRPr="005A0AFF" w:rsidRDefault="005A0AFF" w:rsidP="005A0AFF">
      <w:pPr>
        <w:numPr>
          <w:ilvl w:val="0"/>
          <w:numId w:val="10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Соответствие законодательству: Включена в Реестр отечественного ПО, что критически важно для выполнения требований по импортозамещению.</w:t>
      </w:r>
    </w:p>
    <w:p w14:paraId="102163CE" w14:textId="77777777" w:rsidR="005A0AFF" w:rsidRPr="005A0AFF" w:rsidRDefault="005A0AFF" w:rsidP="005A0AFF">
      <w:pPr>
        <w:numPr>
          <w:ilvl w:val="0"/>
          <w:numId w:val="10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Производительность и надежность: Содержит множество патчей и оптимизаций поверх стандартного PostgreSQL, повышающих производительность (например, улучшенный планировщик запросов, JIT-компиляция), что необходимо для обработки данных в реальном времени.</w:t>
      </w:r>
    </w:p>
    <w:p w14:paraId="6BFE8A35" w14:textId="77777777" w:rsidR="005A0AFF" w:rsidRPr="005A0AFF" w:rsidRDefault="005A0AFF" w:rsidP="005A0AFF">
      <w:pPr>
        <w:numPr>
          <w:ilvl w:val="0"/>
          <w:numId w:val="10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Высокая доступность: Поддерживает все механизмы репликации PostgreSQL (потоковая, логическая), а также совместима с системами управления кластерами (Patroni), что позволяет построить отказоустойчивую схему, аналогичную Always On.</w:t>
      </w:r>
    </w:p>
    <w:p w14:paraId="1F09122F" w14:textId="77777777" w:rsidR="005A0AFF" w:rsidRPr="005A0AFF" w:rsidRDefault="005A0AFF" w:rsidP="005A0AFF">
      <w:pPr>
        <w:numPr>
          <w:ilvl w:val="0"/>
          <w:numId w:val="10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Техническая поддержка: Наличие российской технической поддержки от разработчика.</w:t>
      </w:r>
    </w:p>
    <w:p w14:paraId="3A0B6386" w14:textId="77777777" w:rsidR="005A0AFF" w:rsidRPr="005A0AFF" w:rsidRDefault="005A0AFF" w:rsidP="005A0AFF">
      <w:pPr>
        <w:numPr>
          <w:ilvl w:val="3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 xml:space="preserve">производитель, название, версия, модель лицензирования инструментов администрирования серверов БД - </w:t>
      </w:r>
      <w:r w:rsidRPr="005A0AFF">
        <w:rPr>
          <w:rFonts w:ascii="Times New Roman" w:eastAsia="Aptos" w:hAnsi="Times New Roman" w:cs="Aptos"/>
          <w:b/>
          <w:bCs/>
          <w:sz w:val="28"/>
          <w:szCs w:val="24"/>
        </w:rPr>
        <w:t>Комьюнити, pgAdmin 4, актуальная версия. Бесплатно</w:t>
      </w:r>
      <w:r w:rsidRPr="005A0AFF">
        <w:rPr>
          <w:rFonts w:ascii="Times New Roman" w:eastAsia="Aptos" w:hAnsi="Times New Roman" w:cs="Aptos"/>
          <w:sz w:val="28"/>
          <w:szCs w:val="24"/>
        </w:rPr>
        <w:t>.</w:t>
      </w:r>
    </w:p>
    <w:p w14:paraId="61F5EC56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32788539" w14:textId="77777777" w:rsidR="005A0AFF" w:rsidRPr="005A0AFF" w:rsidRDefault="005A0AFF" w:rsidP="005A0AFF">
      <w:pPr>
        <w:numPr>
          <w:ilvl w:val="2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В соответствии с отраслевыми стандартами определить и описать схему резервирования аппаратных и программных ресурсов.</w:t>
      </w:r>
    </w:p>
    <w:p w14:paraId="549B9759" w14:textId="77777777" w:rsidR="005A0AFF" w:rsidRP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Аппаратные ресурсы:</w:t>
      </w:r>
    </w:p>
    <w:p w14:paraId="700A21A6" w14:textId="77777777" w:rsidR="005A0AFF" w:rsidRPr="005A0AFF" w:rsidRDefault="005A0AFF" w:rsidP="005A0AFF">
      <w:pPr>
        <w:numPr>
          <w:ilvl w:val="0"/>
          <w:numId w:val="11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Кластеризация: Двухнодный кластер.</w:t>
      </w:r>
    </w:p>
    <w:p w14:paraId="4FB9C1DC" w14:textId="77777777" w:rsidR="005A0AFF" w:rsidRPr="005A0AFF" w:rsidRDefault="005A0AFF" w:rsidP="005A0AFF">
      <w:pPr>
        <w:numPr>
          <w:ilvl w:val="0"/>
          <w:numId w:val="11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Сеть: Teaming сетевых адаптеров.</w:t>
      </w:r>
    </w:p>
    <w:p w14:paraId="244EE5C6" w14:textId="77777777" w:rsidR="005A0AFF" w:rsidRPr="005A0AFF" w:rsidRDefault="005A0AFF" w:rsidP="005A0AFF">
      <w:pPr>
        <w:numPr>
          <w:ilvl w:val="0"/>
          <w:numId w:val="11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Питание: Два БП + ИБП.</w:t>
      </w:r>
    </w:p>
    <w:p w14:paraId="01D19009" w14:textId="77777777" w:rsidR="005A0AFF" w:rsidRPr="005A0AFF" w:rsidRDefault="005A0AFF" w:rsidP="005A0AFF">
      <w:pPr>
        <w:numPr>
          <w:ilvl w:val="0"/>
          <w:numId w:val="11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Диски: RAID 1 и RAID 10.</w:t>
      </w:r>
    </w:p>
    <w:p w14:paraId="5F8F5819" w14:textId="77777777" w:rsidR="005A0AFF" w:rsidRPr="005A0AFF" w:rsidRDefault="005A0AFF" w:rsidP="005A0AFF">
      <w:pPr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Программные ресурсы</w:t>
      </w:r>
    </w:p>
    <w:p w14:paraId="1933A515" w14:textId="77777777" w:rsidR="005A0AFF" w:rsidRPr="005A0AFF" w:rsidRDefault="005A0AFF" w:rsidP="005A0AFF">
      <w:pPr>
        <w:numPr>
          <w:ilvl w:val="0"/>
          <w:numId w:val="12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lastRenderedPageBreak/>
        <w:t>СУБД: Развертывание в конфигурации "Ведущий-Ведомый" с использованием менеджера кластеров Patroni для автоматического переключения при сбое. Это</w:t>
      </w:r>
      <w:r w:rsidRPr="005A0AFF">
        <w:rPr>
          <w:rFonts w:ascii="Times New Roman" w:eastAsia="Aptos" w:hAnsi="Times New Roman" w:cs="Aptos"/>
          <w:sz w:val="28"/>
          <w:szCs w:val="24"/>
          <w:lang w:val="en-US"/>
        </w:rPr>
        <w:t xml:space="preserve"> </w:t>
      </w:r>
      <w:r w:rsidRPr="005A0AFF">
        <w:rPr>
          <w:rFonts w:ascii="Times New Roman" w:eastAsia="Aptos" w:hAnsi="Times New Roman" w:cs="Aptos"/>
          <w:sz w:val="28"/>
          <w:szCs w:val="24"/>
        </w:rPr>
        <w:t>прямой</w:t>
      </w:r>
      <w:r w:rsidRPr="005A0AFF">
        <w:rPr>
          <w:rFonts w:ascii="Times New Roman" w:eastAsia="Aptos" w:hAnsi="Times New Roman" w:cs="Aptos"/>
          <w:sz w:val="28"/>
          <w:szCs w:val="24"/>
          <w:lang w:val="en-US"/>
        </w:rPr>
        <w:t xml:space="preserve"> </w:t>
      </w:r>
      <w:r w:rsidRPr="005A0AFF">
        <w:rPr>
          <w:rFonts w:ascii="Times New Roman" w:eastAsia="Aptos" w:hAnsi="Times New Roman" w:cs="Aptos"/>
          <w:sz w:val="28"/>
          <w:szCs w:val="24"/>
        </w:rPr>
        <w:t>аналог</w:t>
      </w:r>
      <w:r w:rsidRPr="005A0AFF">
        <w:rPr>
          <w:rFonts w:ascii="Times New Roman" w:eastAsia="Aptos" w:hAnsi="Times New Roman" w:cs="Aptos"/>
          <w:sz w:val="28"/>
          <w:szCs w:val="24"/>
          <w:lang w:val="en-US"/>
        </w:rPr>
        <w:t xml:space="preserve"> Always On Availability Groups </w:t>
      </w:r>
      <w:r w:rsidRPr="005A0AFF">
        <w:rPr>
          <w:rFonts w:ascii="Times New Roman" w:eastAsia="Aptos" w:hAnsi="Times New Roman" w:cs="Aptos"/>
          <w:sz w:val="28"/>
          <w:szCs w:val="24"/>
        </w:rPr>
        <w:t>в</w:t>
      </w:r>
      <w:r w:rsidRPr="005A0AFF">
        <w:rPr>
          <w:rFonts w:ascii="Times New Roman" w:eastAsia="Aptos" w:hAnsi="Times New Roman" w:cs="Aptos"/>
          <w:sz w:val="28"/>
          <w:szCs w:val="24"/>
          <w:lang w:val="en-US"/>
        </w:rPr>
        <w:t xml:space="preserve"> </w:t>
      </w:r>
      <w:r w:rsidRPr="005A0AFF">
        <w:rPr>
          <w:rFonts w:ascii="Times New Roman" w:eastAsia="Aptos" w:hAnsi="Times New Roman" w:cs="Aptos"/>
          <w:sz w:val="28"/>
          <w:szCs w:val="24"/>
        </w:rPr>
        <w:t>экосистеме</w:t>
      </w:r>
      <w:r w:rsidRPr="005A0AFF">
        <w:rPr>
          <w:rFonts w:ascii="Times New Roman" w:eastAsia="Aptos" w:hAnsi="Times New Roman" w:cs="Aptos"/>
          <w:sz w:val="28"/>
          <w:szCs w:val="24"/>
          <w:lang w:val="en-US"/>
        </w:rPr>
        <w:t xml:space="preserve"> PostgreSQL. </w:t>
      </w:r>
      <w:r w:rsidRPr="005A0AFF">
        <w:rPr>
          <w:rFonts w:ascii="Times New Roman" w:eastAsia="Aptos" w:hAnsi="Times New Roman" w:cs="Aptos"/>
          <w:sz w:val="28"/>
          <w:szCs w:val="24"/>
        </w:rPr>
        <w:t>Одна нода — ведущая, вторая —ведомая, "горячий" резерв.</w:t>
      </w:r>
    </w:p>
    <w:p w14:paraId="6D50D39E" w14:textId="77777777" w:rsidR="005A0AFF" w:rsidRPr="005A0AFF" w:rsidRDefault="005A0AFF" w:rsidP="005A0AFF">
      <w:pPr>
        <w:numPr>
          <w:ilvl w:val="0"/>
          <w:numId w:val="12"/>
        </w:numPr>
        <w:tabs>
          <w:tab w:val="num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5A0AFF">
        <w:rPr>
          <w:rFonts w:ascii="Times New Roman" w:eastAsia="Aptos" w:hAnsi="Times New Roman" w:cs="Aptos"/>
          <w:sz w:val="28"/>
          <w:szCs w:val="24"/>
        </w:rPr>
        <w:t>Резервное копирование: Ежедневное полное резервное копирование с помощью pg_basebackup и непрерывное архивирование Журнала Предзаписи (WAL) для возможности восстановления на любую моментную точку во. Копии хранятся на отдельном хранилище.</w:t>
      </w:r>
    </w:p>
    <w:p w14:paraId="50D34F0E" w14:textId="77777777" w:rsidR="005A0AFF" w:rsidRPr="005A0AFF" w:rsidRDefault="005A0AFF" w:rsidP="005A0AFF">
      <w:pPr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11C5EFC1" w14:textId="77777777" w:rsidR="005A0AFF" w:rsidRPr="005A0AFF" w:rsidRDefault="005A0AFF" w:rsidP="005A0AFF">
      <w:pPr>
        <w:numPr>
          <w:ilvl w:val="1"/>
          <w:numId w:val="5"/>
        </w:numPr>
        <w:tabs>
          <w:tab w:val="left" w:pos="993"/>
        </w:tabs>
        <w:suppressAutoHyphens/>
        <w:spacing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  <w:u w:val="single"/>
        </w:rPr>
      </w:pPr>
      <w:r w:rsidRPr="005A0AFF">
        <w:rPr>
          <w:rFonts w:ascii="Times New Roman" w:eastAsia="Aptos" w:hAnsi="Times New Roman" w:cs="Aptos"/>
          <w:sz w:val="28"/>
          <w:szCs w:val="24"/>
          <w:u w:val="single"/>
        </w:rPr>
        <w:t>Выполнить оценку затрат на развертывание и обслуживание серверов БД.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3298"/>
        <w:gridCol w:w="2596"/>
        <w:gridCol w:w="3450"/>
      </w:tblGrid>
      <w:tr w:rsidR="005A0AFF" w:rsidRPr="005A0AFF" w14:paraId="25A1E281" w14:textId="77777777" w:rsidTr="005A0AFF">
        <w:tc>
          <w:tcPr>
            <w:tcW w:w="1765" w:type="pct"/>
            <w:vAlign w:val="center"/>
          </w:tcPr>
          <w:p w14:paraId="718B6D7E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b/>
                <w:bCs/>
                <w:color w:val="0F1115"/>
                <w:sz w:val="24"/>
                <w:szCs w:val="24"/>
              </w:rPr>
              <w:t>Статья затрат</w:t>
            </w:r>
          </w:p>
        </w:tc>
        <w:tc>
          <w:tcPr>
            <w:tcW w:w="1389" w:type="pct"/>
            <w:vAlign w:val="center"/>
          </w:tcPr>
          <w:p w14:paraId="0CF46553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b/>
                <w:bCs/>
                <w:color w:val="0F1115"/>
                <w:sz w:val="24"/>
                <w:szCs w:val="24"/>
              </w:rPr>
              <w:t>Стоимость (руб.), ориентировочно</w:t>
            </w:r>
          </w:p>
        </w:tc>
        <w:tc>
          <w:tcPr>
            <w:tcW w:w="1846" w:type="pct"/>
            <w:vAlign w:val="center"/>
          </w:tcPr>
          <w:p w14:paraId="16DFE005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b/>
                <w:bCs/>
                <w:color w:val="0F1115"/>
                <w:sz w:val="24"/>
                <w:szCs w:val="24"/>
              </w:rPr>
              <w:t>Периодичность</w:t>
            </w:r>
          </w:p>
        </w:tc>
      </w:tr>
      <w:tr w:rsidR="005A0AFF" w:rsidRPr="005A0AFF" w14:paraId="68ACC990" w14:textId="77777777" w:rsidTr="005A0AFF">
        <w:tc>
          <w:tcPr>
            <w:tcW w:w="5000" w:type="pct"/>
            <w:gridSpan w:val="3"/>
            <w:vAlign w:val="center"/>
          </w:tcPr>
          <w:p w14:paraId="4E7B3BAA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left="-58"/>
              <w:contextualSpacing/>
              <w:jc w:val="center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 xml:space="preserve">КАПИТАЛЬНЫЕ РАСХОДЫ </w:t>
            </w:r>
          </w:p>
        </w:tc>
      </w:tr>
      <w:tr w:rsidR="005A0AFF" w:rsidRPr="005A0AFF" w14:paraId="77B8F9EC" w14:textId="77777777" w:rsidTr="005A0AFF">
        <w:tc>
          <w:tcPr>
            <w:tcW w:w="1765" w:type="pct"/>
            <w:vAlign w:val="center"/>
          </w:tcPr>
          <w:p w14:paraId="47BD8D3A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Аппаратное обеспечение (2 ноды + СХД)</w:t>
            </w:r>
          </w:p>
        </w:tc>
        <w:tc>
          <w:tcPr>
            <w:tcW w:w="1389" w:type="pct"/>
            <w:vAlign w:val="center"/>
          </w:tcPr>
          <w:p w14:paraId="4DDFC3D5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4 500 000 - 6 000 000</w:t>
            </w:r>
          </w:p>
        </w:tc>
        <w:tc>
          <w:tcPr>
            <w:tcW w:w="1846" w:type="pct"/>
            <w:vAlign w:val="center"/>
          </w:tcPr>
          <w:p w14:paraId="1C68B373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Единовременно</w:t>
            </w:r>
          </w:p>
        </w:tc>
      </w:tr>
      <w:tr w:rsidR="005A0AFF" w:rsidRPr="005A0AFF" w14:paraId="7D1923E2" w14:textId="77777777" w:rsidTr="005A0AFF">
        <w:tc>
          <w:tcPr>
            <w:tcW w:w="1765" w:type="pct"/>
            <w:vAlign w:val="center"/>
          </w:tcPr>
          <w:p w14:paraId="0E58C6F4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Лицензии Астра Линукс SE (2 сервера)</w:t>
            </w:r>
          </w:p>
        </w:tc>
        <w:tc>
          <w:tcPr>
            <w:tcW w:w="1389" w:type="pct"/>
            <w:vAlign w:val="center"/>
          </w:tcPr>
          <w:p w14:paraId="7ED5279F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300 000 - 500 000</w:t>
            </w:r>
          </w:p>
        </w:tc>
        <w:tc>
          <w:tcPr>
            <w:tcW w:w="1846" w:type="pct"/>
            <w:vAlign w:val="center"/>
          </w:tcPr>
          <w:p w14:paraId="525E0CAD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Единовременно (бессрочная)</w:t>
            </w:r>
          </w:p>
        </w:tc>
      </w:tr>
      <w:tr w:rsidR="005A0AFF" w:rsidRPr="005A0AFF" w14:paraId="5368BA12" w14:textId="77777777" w:rsidTr="005A0AFF">
        <w:tc>
          <w:tcPr>
            <w:tcW w:w="1765" w:type="pct"/>
            <w:vAlign w:val="center"/>
          </w:tcPr>
          <w:p w14:paraId="4882898A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  <w:lang w:val="en-US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Лицензии</w:t>
            </w: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  <w:lang w:val="en-US"/>
              </w:rPr>
              <w:t xml:space="preserve"> Postgres Pro Enterprise (2 </w:t>
            </w: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сервера</w:t>
            </w: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  <w:lang w:val="en-US"/>
              </w:rPr>
              <w:t>)</w:t>
            </w:r>
          </w:p>
        </w:tc>
        <w:tc>
          <w:tcPr>
            <w:tcW w:w="1389" w:type="pct"/>
            <w:vAlign w:val="center"/>
          </w:tcPr>
          <w:p w14:paraId="52E35776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1 200 000 - 2 000 000</w:t>
            </w:r>
          </w:p>
        </w:tc>
        <w:tc>
          <w:tcPr>
            <w:tcW w:w="1846" w:type="pct"/>
            <w:vAlign w:val="center"/>
          </w:tcPr>
          <w:p w14:paraId="769F2C05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Единовременно (на год)</w:t>
            </w:r>
          </w:p>
        </w:tc>
      </w:tr>
      <w:tr w:rsidR="005A0AFF" w:rsidRPr="005A0AFF" w14:paraId="2E924264" w14:textId="77777777" w:rsidTr="005A0AFF">
        <w:tc>
          <w:tcPr>
            <w:tcW w:w="1765" w:type="pct"/>
            <w:vAlign w:val="center"/>
          </w:tcPr>
          <w:p w14:paraId="73B720EC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 xml:space="preserve">ИТОГО </w:t>
            </w:r>
          </w:p>
        </w:tc>
        <w:tc>
          <w:tcPr>
            <w:tcW w:w="1389" w:type="pct"/>
            <w:vAlign w:val="center"/>
          </w:tcPr>
          <w:p w14:paraId="5376FC83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6 000 000 - 8 500 000</w:t>
            </w:r>
          </w:p>
        </w:tc>
        <w:tc>
          <w:tcPr>
            <w:tcW w:w="1846" w:type="pct"/>
            <w:vAlign w:val="center"/>
          </w:tcPr>
          <w:p w14:paraId="16C21452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</w:p>
        </w:tc>
      </w:tr>
      <w:tr w:rsidR="005A0AFF" w:rsidRPr="005A0AFF" w14:paraId="5CB5339F" w14:textId="77777777" w:rsidTr="005A0AFF">
        <w:tc>
          <w:tcPr>
            <w:tcW w:w="5000" w:type="pct"/>
            <w:gridSpan w:val="3"/>
            <w:vAlign w:val="center"/>
          </w:tcPr>
          <w:p w14:paraId="3C09BD70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left="-58"/>
              <w:contextualSpacing/>
              <w:jc w:val="center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 xml:space="preserve">ОПЕРАЦИОННЫЕ РАСХОДЫ </w:t>
            </w:r>
          </w:p>
        </w:tc>
      </w:tr>
      <w:tr w:rsidR="005A0AFF" w:rsidRPr="005A0AFF" w14:paraId="5BADEA34" w14:textId="77777777" w:rsidTr="005A0AFF">
        <w:tc>
          <w:tcPr>
            <w:tcW w:w="1765" w:type="pct"/>
            <w:vAlign w:val="center"/>
          </w:tcPr>
          <w:p w14:paraId="2E8A54F9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Техническая поддержка Hardware (15-20% от стоимости)</w:t>
            </w:r>
          </w:p>
        </w:tc>
        <w:tc>
          <w:tcPr>
            <w:tcW w:w="1389" w:type="pct"/>
            <w:vAlign w:val="center"/>
          </w:tcPr>
          <w:p w14:paraId="0BEA91C0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800 000 - 1 200 000</w:t>
            </w:r>
          </w:p>
        </w:tc>
        <w:tc>
          <w:tcPr>
            <w:tcW w:w="1846" w:type="pct"/>
            <w:vAlign w:val="center"/>
          </w:tcPr>
          <w:p w14:paraId="40E63C8E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Ежегодно</w:t>
            </w:r>
          </w:p>
        </w:tc>
      </w:tr>
      <w:tr w:rsidR="005A0AFF" w:rsidRPr="005A0AFF" w14:paraId="72F5D2E4" w14:textId="77777777" w:rsidTr="005A0AFF">
        <w:tc>
          <w:tcPr>
            <w:tcW w:w="1765" w:type="pct"/>
            <w:vAlign w:val="center"/>
          </w:tcPr>
          <w:p w14:paraId="39FEA5D5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Техническая поддержка ПО (Астра + Postgres Pro)</w:t>
            </w:r>
          </w:p>
        </w:tc>
        <w:tc>
          <w:tcPr>
            <w:tcW w:w="1389" w:type="pct"/>
            <w:vAlign w:val="center"/>
          </w:tcPr>
          <w:p w14:paraId="792CA727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300 000 - 500 000</w:t>
            </w:r>
          </w:p>
        </w:tc>
        <w:tc>
          <w:tcPr>
            <w:tcW w:w="1846" w:type="pct"/>
            <w:vAlign w:val="center"/>
          </w:tcPr>
          <w:p w14:paraId="41158E03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Ежегодно</w:t>
            </w:r>
          </w:p>
        </w:tc>
      </w:tr>
      <w:tr w:rsidR="005A0AFF" w:rsidRPr="005A0AFF" w14:paraId="03AC4C0B" w14:textId="77777777" w:rsidTr="005A0AFF">
        <w:tc>
          <w:tcPr>
            <w:tcW w:w="1765" w:type="pct"/>
            <w:vAlign w:val="center"/>
          </w:tcPr>
          <w:p w14:paraId="5BA871CF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Заработная плата администратора БД/Linux</w:t>
            </w:r>
          </w:p>
        </w:tc>
        <w:tc>
          <w:tcPr>
            <w:tcW w:w="1389" w:type="pct"/>
            <w:vAlign w:val="center"/>
          </w:tcPr>
          <w:p w14:paraId="6822EB23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1 800 000 - 2 400 000</w:t>
            </w:r>
          </w:p>
        </w:tc>
        <w:tc>
          <w:tcPr>
            <w:tcW w:w="1846" w:type="pct"/>
            <w:vAlign w:val="center"/>
          </w:tcPr>
          <w:p w14:paraId="1EA38EDC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Ежегодно</w:t>
            </w:r>
          </w:p>
        </w:tc>
      </w:tr>
      <w:tr w:rsidR="005A0AFF" w:rsidRPr="005A0AFF" w14:paraId="0B3D335F" w14:textId="77777777" w:rsidTr="005A0AFF">
        <w:tc>
          <w:tcPr>
            <w:tcW w:w="1765" w:type="pct"/>
            <w:vAlign w:val="center"/>
          </w:tcPr>
          <w:p w14:paraId="03EDE55E" w14:textId="77777777" w:rsidR="005A0AFF" w:rsidRPr="005A0AFF" w:rsidRDefault="005A0AFF" w:rsidP="005A0AFF">
            <w:pPr>
              <w:tabs>
                <w:tab w:val="left" w:pos="468"/>
                <w:tab w:val="left" w:pos="993"/>
              </w:tabs>
              <w:spacing w:line="360" w:lineRule="auto"/>
              <w:ind w:firstLine="34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 xml:space="preserve">ИТОГО </w:t>
            </w:r>
          </w:p>
        </w:tc>
        <w:tc>
          <w:tcPr>
            <w:tcW w:w="1389" w:type="pct"/>
            <w:vAlign w:val="center"/>
          </w:tcPr>
          <w:p w14:paraId="5884F06F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2 900 000 - 4 100 000</w:t>
            </w:r>
          </w:p>
        </w:tc>
        <w:tc>
          <w:tcPr>
            <w:tcW w:w="1846" w:type="pct"/>
            <w:vAlign w:val="center"/>
          </w:tcPr>
          <w:p w14:paraId="7F08AF62" w14:textId="77777777" w:rsidR="005A0AFF" w:rsidRPr="005A0AFF" w:rsidRDefault="005A0AFF" w:rsidP="005A0AFF">
            <w:pPr>
              <w:tabs>
                <w:tab w:val="left" w:pos="993"/>
              </w:tabs>
              <w:spacing w:line="360" w:lineRule="auto"/>
              <w:ind w:left="-58"/>
              <w:contextualSpacing/>
              <w:jc w:val="both"/>
              <w:rPr>
                <w:rFonts w:ascii="Times New Roman" w:eastAsia="Aptos" w:hAnsi="Times New Roman" w:cs="Times New Roman"/>
                <w:sz w:val="24"/>
                <w:szCs w:val="24"/>
                <w:u w:val="single"/>
              </w:rPr>
            </w:pPr>
            <w:r w:rsidRPr="005A0AFF">
              <w:rPr>
                <w:rFonts w:ascii="Times New Roman" w:eastAsia="Aptos" w:hAnsi="Times New Roman" w:cs="Times New Roman"/>
                <w:color w:val="0F1115"/>
                <w:sz w:val="24"/>
                <w:szCs w:val="24"/>
              </w:rPr>
              <w:t>Ежегодно</w:t>
            </w:r>
          </w:p>
        </w:tc>
      </w:tr>
    </w:tbl>
    <w:p w14:paraId="592E90FB" w14:textId="77777777" w:rsidR="0032438A" w:rsidRPr="00C97C88" w:rsidRDefault="0032438A" w:rsidP="00DC3F8E">
      <w:pPr>
        <w:pStyle w:val="a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contextualSpacing/>
        <w:jc w:val="both"/>
        <w:rPr>
          <w:color w:val="0D0D0D" w:themeColor="text1" w:themeTint="F2"/>
          <w:sz w:val="32"/>
          <w:szCs w:val="32"/>
        </w:rPr>
      </w:pPr>
    </w:p>
    <w:sectPr w:rsidR="0032438A" w:rsidRPr="00C97C88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8" w15:restartNumberingAfterBreak="0">
    <w:nsid w:val="3F7946CF"/>
    <w:multiLevelType w:val="hybridMultilevel"/>
    <w:tmpl w:val="9136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0" w15:restartNumberingAfterBreak="0">
    <w:nsid w:val="42F901E1"/>
    <w:multiLevelType w:val="hybridMultilevel"/>
    <w:tmpl w:val="84D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D4AA7"/>
    <w:multiLevelType w:val="multilevel"/>
    <w:tmpl w:val="4C6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4" w15:restartNumberingAfterBreak="0">
    <w:nsid w:val="5B396FB7"/>
    <w:multiLevelType w:val="multilevel"/>
    <w:tmpl w:val="6DD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 w16cid:durableId="598754074">
    <w:abstractNumId w:val="11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6"/>
  </w:num>
  <w:num w:numId="6" w16cid:durableId="115100820">
    <w:abstractNumId w:val="7"/>
  </w:num>
  <w:num w:numId="7" w16cid:durableId="490609331">
    <w:abstractNumId w:val="15"/>
  </w:num>
  <w:num w:numId="8" w16cid:durableId="745151242">
    <w:abstractNumId w:val="1"/>
  </w:num>
  <w:num w:numId="9" w16cid:durableId="1053892915">
    <w:abstractNumId w:val="13"/>
  </w:num>
  <w:num w:numId="10" w16cid:durableId="1129199864">
    <w:abstractNumId w:val="9"/>
  </w:num>
  <w:num w:numId="11" w16cid:durableId="174610172">
    <w:abstractNumId w:val="4"/>
  </w:num>
  <w:num w:numId="12" w16cid:durableId="1598096023">
    <w:abstractNumId w:val="5"/>
  </w:num>
  <w:num w:numId="13" w16cid:durableId="1328359420">
    <w:abstractNumId w:val="14"/>
  </w:num>
  <w:num w:numId="14" w16cid:durableId="25302572">
    <w:abstractNumId w:val="10"/>
  </w:num>
  <w:num w:numId="15" w16cid:durableId="227694926">
    <w:abstractNumId w:val="8"/>
  </w:num>
  <w:num w:numId="16" w16cid:durableId="1495655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7F04"/>
    <w:rsid w:val="001C4559"/>
    <w:rsid w:val="00257EA1"/>
    <w:rsid w:val="0028567E"/>
    <w:rsid w:val="002D4BD3"/>
    <w:rsid w:val="0032438A"/>
    <w:rsid w:val="00340AB3"/>
    <w:rsid w:val="00354B0B"/>
    <w:rsid w:val="00363ADD"/>
    <w:rsid w:val="00365AC9"/>
    <w:rsid w:val="00425D0C"/>
    <w:rsid w:val="004C26E8"/>
    <w:rsid w:val="00565EE6"/>
    <w:rsid w:val="00590930"/>
    <w:rsid w:val="005A0AFF"/>
    <w:rsid w:val="00795D83"/>
    <w:rsid w:val="00834232"/>
    <w:rsid w:val="00853867"/>
    <w:rsid w:val="0085576F"/>
    <w:rsid w:val="00886489"/>
    <w:rsid w:val="00932378"/>
    <w:rsid w:val="009B2A8E"/>
    <w:rsid w:val="00A07A0C"/>
    <w:rsid w:val="00A16D02"/>
    <w:rsid w:val="00A5042E"/>
    <w:rsid w:val="00AD5A62"/>
    <w:rsid w:val="00B478E7"/>
    <w:rsid w:val="00B755AB"/>
    <w:rsid w:val="00BF6B60"/>
    <w:rsid w:val="00C81C74"/>
    <w:rsid w:val="00C97C88"/>
    <w:rsid w:val="00CE6DF8"/>
    <w:rsid w:val="00DC3C2D"/>
    <w:rsid w:val="00DC3F8E"/>
    <w:rsid w:val="00E37900"/>
    <w:rsid w:val="00EC3714"/>
    <w:rsid w:val="00F33076"/>
    <w:rsid w:val="00F57D58"/>
    <w:rsid w:val="00F86E62"/>
    <w:rsid w:val="00FA68DD"/>
    <w:rsid w:val="00F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table" w:customStyle="1" w:styleId="2">
    <w:name w:val="Сетка таблицы2"/>
    <w:basedOn w:val="a1"/>
    <w:next w:val="a5"/>
    <w:uiPriority w:val="39"/>
    <w:rsid w:val="00EC3714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9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7</cp:revision>
  <dcterms:created xsi:type="dcterms:W3CDTF">2025-09-13T16:41:00Z</dcterms:created>
  <dcterms:modified xsi:type="dcterms:W3CDTF">2025-10-12T21:00:00Z</dcterms:modified>
</cp:coreProperties>
</file>