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59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053B01F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F6B6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13225DD5" w:rsidR="00886489" w:rsidRPr="00F33076" w:rsidRDefault="00A07A0C" w:rsidP="00A07A0C">
            <w:pPr>
              <w:pStyle w:val="a3"/>
              <w:ind w:left="0" w:firstLine="851"/>
              <w:jc w:val="both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A07A0C">
              <w:rPr>
                <w:rFonts w:ascii="Times New Roman" w:eastAsia="PMingLiU" w:hAnsi="Times New Roman" w:cs="Times New Roman"/>
                <w:sz w:val="28"/>
                <w:szCs w:val="24"/>
              </w:rPr>
              <w:t>Разработка технических требований к серверу баз данных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6411471" w:rsidR="00886489" w:rsidRPr="00A07A0C" w:rsidRDefault="00A07A0C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Управление и автоматизация баз данных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5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62BD97B" w:rsidR="00886489" w:rsidRPr="00BF6B60" w:rsidRDefault="00A07A0C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Цой В.В.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0EBA74D9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lastRenderedPageBreak/>
        <w:t>Лабораторная работа №1 «Разработка технических требований к серверу баз данных»</w:t>
      </w:r>
    </w:p>
    <w:p w14:paraId="22216EF8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Из списка предлагаемых видов деятельности – см. Приложение 1 – выбрать один вид деятельности и описать его в соответствии со следующей структурой:</w:t>
      </w:r>
    </w:p>
    <w:p w14:paraId="77AAD42A" w14:textId="77777777" w:rsidR="005A0AFF" w:rsidRPr="005A0AFF" w:rsidRDefault="005A0AFF" w:rsidP="005A0AFF">
      <w:pPr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Краткая характеристика вида деятельности: </w:t>
      </w:r>
    </w:p>
    <w:p w14:paraId="6F9A58AC" w14:textId="77777777" w:rsidR="005A0AFF" w:rsidRPr="005A0AFF" w:rsidRDefault="005A0AFF" w:rsidP="005A0AFF">
      <w:pPr>
        <w:numPr>
          <w:ilvl w:val="0"/>
          <w:numId w:val="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классификация по ОКВЭД - 66.11 (Управление финансовыми рынками), 66.12 (Деятельность брокерская по сделкам с ценными бумагами и товарами);</w:t>
      </w:r>
    </w:p>
    <w:p w14:paraId="0F48C3C9" w14:textId="77777777" w:rsidR="005A0AFF" w:rsidRPr="005A0AFF" w:rsidRDefault="005A0AFF" w:rsidP="005A0AFF">
      <w:pPr>
        <w:numPr>
          <w:ilvl w:val="0"/>
          <w:numId w:val="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форма собственности, название организации – ПАО Московская Биржа;</w:t>
      </w:r>
    </w:p>
    <w:p w14:paraId="758BAEE3" w14:textId="77777777" w:rsidR="005A0AFF" w:rsidRPr="005A0AFF" w:rsidRDefault="005A0AFF" w:rsidP="005A0AFF">
      <w:pPr>
        <w:numPr>
          <w:ilvl w:val="0"/>
          <w:numId w:val="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миссия - Мы трансформируем финансовый рынок для роста благосостояния каждого;</w:t>
      </w:r>
    </w:p>
    <w:p w14:paraId="0AC13580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</w:p>
    <w:p w14:paraId="312E2CDE" w14:textId="77777777" w:rsidR="005A0AFF" w:rsidRPr="005A0AFF" w:rsidRDefault="005A0AFF" w:rsidP="005A0AFF">
      <w:pPr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Организационно-управленческая структура;</w:t>
      </w:r>
    </w:p>
    <w:p w14:paraId="182B11AD" w14:textId="77777777" w:rsidR="005A0AFF" w:rsidRDefault="005A0AFF" w:rsidP="005A0AFF">
      <w:pPr>
        <w:keepNext/>
        <w:tabs>
          <w:tab w:val="left" w:pos="993"/>
        </w:tabs>
        <w:suppressAutoHyphens/>
        <w:spacing w:line="360" w:lineRule="auto"/>
        <w:contextualSpacing/>
        <w:jc w:val="center"/>
      </w:pPr>
      <w:r w:rsidRPr="005A0AFF">
        <w:rPr>
          <w:rFonts w:ascii="Times New Roman" w:eastAsia="Aptos" w:hAnsi="Times New Roman" w:cs="Aptos"/>
          <w:sz w:val="28"/>
          <w:szCs w:val="24"/>
        </w:rPr>
        <w:drawing>
          <wp:inline distT="0" distB="0" distL="0" distR="0" wp14:anchorId="044BC104" wp14:editId="71B5517D">
            <wp:extent cx="6090525" cy="3718560"/>
            <wp:effectExtent l="0" t="0" r="5715" b="0"/>
            <wp:docPr id="37273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1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032" cy="37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16C" w14:textId="671F4F9D" w:rsidR="005A0AFF" w:rsidRPr="005A0AFF" w:rsidRDefault="005A0AFF" w:rsidP="005A0AFF">
      <w:pPr>
        <w:pStyle w:val="a7"/>
      </w:pPr>
      <w:r w:rsidRPr="005A0AFF"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ОСУ ПАО Московская биржа</w:t>
      </w:r>
    </w:p>
    <w:p w14:paraId="59B52EBB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16CE9540" w14:textId="77777777" w:rsidR="005A0AFF" w:rsidRPr="005A0AFF" w:rsidRDefault="005A0AFF" w:rsidP="005A0AFF">
      <w:pPr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lastRenderedPageBreak/>
        <w:t>Функциональная структура;</w:t>
      </w:r>
    </w:p>
    <w:p w14:paraId="389C5F7A" w14:textId="77777777" w:rsidR="005A0AFF" w:rsidRDefault="005A0AFF" w:rsidP="005A0AFF">
      <w:pPr>
        <w:keepNext/>
        <w:tabs>
          <w:tab w:val="left" w:pos="993"/>
        </w:tabs>
        <w:suppressAutoHyphens/>
        <w:spacing w:line="360" w:lineRule="auto"/>
        <w:contextualSpacing/>
        <w:jc w:val="center"/>
      </w:pPr>
      <w:r w:rsidRPr="005A0AFF">
        <w:rPr>
          <w:rFonts w:ascii="Times New Roman" w:eastAsia="Aptos" w:hAnsi="Times New Roman" w:cs="Aptos"/>
          <w:sz w:val="28"/>
          <w:szCs w:val="24"/>
        </w:rPr>
        <w:drawing>
          <wp:inline distT="0" distB="0" distL="0" distR="0" wp14:anchorId="31D7BD11" wp14:editId="436B9EB1">
            <wp:extent cx="6111875" cy="2572407"/>
            <wp:effectExtent l="0" t="0" r="3175" b="0"/>
            <wp:docPr id="15481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8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5" cy="25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7F83" w14:textId="4772DE33" w:rsidR="005A0AFF" w:rsidRPr="005A0AFF" w:rsidRDefault="005A0AFF" w:rsidP="005A0AFF">
      <w:pPr>
        <w:pStyle w:val="a7"/>
      </w:pPr>
      <w:r w:rsidRPr="005A0AFF"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5A0AFF">
        <w:t>. Функциональная структура</w:t>
      </w:r>
    </w:p>
    <w:p w14:paraId="5B686E19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Из-за того, что отделы имеют идентичную структуру и должности приведена лишь одного отдела</w:t>
      </w:r>
    </w:p>
    <w:p w14:paraId="5054A70C" w14:textId="77777777" w:rsidR="005A0AFF" w:rsidRPr="005A0AFF" w:rsidRDefault="005A0AFF" w:rsidP="005A0AFF">
      <w:pPr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Структура финансовых потоков – основные технико-экономические показатели;</w:t>
      </w:r>
    </w:p>
    <w:p w14:paraId="5A995BC3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Финансовые потоки отдела срочного рынка:</w:t>
      </w:r>
    </w:p>
    <w:p w14:paraId="486230F7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1. Комиссия с оборота сделок</w:t>
      </w:r>
    </w:p>
    <w:p w14:paraId="79FD477F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2. Плата за доступ к торгам и рыночным данным</w:t>
      </w:r>
    </w:p>
    <w:p w14:paraId="04ACD631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3. Плата за листинг производственных инструментов</w:t>
      </w:r>
    </w:p>
    <w:p w14:paraId="75A1BD6F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Основные технико-экономические показатели</w:t>
      </w:r>
    </w:p>
    <w:p w14:paraId="58ED4EE6" w14:textId="77777777" w:rsidR="005A0AFF" w:rsidRPr="005A0AFF" w:rsidRDefault="005A0AFF" w:rsidP="005A0AFF">
      <w:pPr>
        <w:numPr>
          <w:ilvl w:val="0"/>
          <w:numId w:val="8"/>
        </w:numPr>
        <w:tabs>
          <w:tab w:val="clear" w:pos="0"/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Операционная эффективность:</w:t>
      </w:r>
    </w:p>
    <w:p w14:paraId="22F8A5E6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Совокупный оборот торгов</w:t>
      </w:r>
    </w:p>
    <w:p w14:paraId="380121F3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Объем на срочном рынке</w:t>
      </w:r>
    </w:p>
    <w:p w14:paraId="1E80465D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Количество заключенных сделок</w:t>
      </w:r>
    </w:p>
    <w:p w14:paraId="3A182485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Количество активных клиентов</w:t>
      </w:r>
    </w:p>
    <w:p w14:paraId="4B3DC7C6" w14:textId="77777777" w:rsidR="005A0AFF" w:rsidRPr="005A0AFF" w:rsidRDefault="005A0AFF" w:rsidP="005A0AFF">
      <w:pPr>
        <w:numPr>
          <w:ilvl w:val="0"/>
          <w:numId w:val="9"/>
        </w:numPr>
        <w:tabs>
          <w:tab w:val="clear" w:pos="0"/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Финансовые результаты</w:t>
      </w:r>
    </w:p>
    <w:p w14:paraId="1C25DF62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Чистая прибыль</w:t>
      </w:r>
    </w:p>
    <w:p w14:paraId="73F76E04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Выручка (общая и по сегментам)</w:t>
      </w:r>
    </w:p>
    <w:p w14:paraId="7644913A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Рентабельность по чистой прибыли</w:t>
      </w:r>
    </w:p>
    <w:p w14:paraId="3F844EFD" w14:textId="77777777" w:rsidR="005A0AFF" w:rsidRPr="005A0AFF" w:rsidRDefault="005A0AFF" w:rsidP="005A0AFF">
      <w:pPr>
        <w:numPr>
          <w:ilvl w:val="0"/>
          <w:numId w:val="9"/>
        </w:numPr>
        <w:tabs>
          <w:tab w:val="clear" w:pos="0"/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Показатели срочного рынка</w:t>
      </w:r>
    </w:p>
    <w:p w14:paraId="51D70F8F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lastRenderedPageBreak/>
        <w:t>Среднедневной оборот (ADTV)</w:t>
      </w:r>
    </w:p>
    <w:p w14:paraId="427CBE03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Открытый интерес по фьючерсам и опционам</w:t>
      </w:r>
    </w:p>
    <w:p w14:paraId="4692437E" w14:textId="77777777" w:rsidR="005A0AFF" w:rsidRPr="005A0AFF" w:rsidRDefault="005A0AFF" w:rsidP="005A0AFF">
      <w:pPr>
        <w:numPr>
          <w:ilvl w:val="1"/>
          <w:numId w:val="9"/>
        </w:numPr>
        <w:tabs>
          <w:tab w:val="num" w:pos="993"/>
          <w:tab w:val="left" w:pos="1560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Количество уникальных активных контрактов</w:t>
      </w:r>
    </w:p>
    <w:p w14:paraId="743420C5" w14:textId="77777777" w:rsidR="005A0AFF" w:rsidRPr="005A0AFF" w:rsidRDefault="005A0AFF" w:rsidP="005A0AFF">
      <w:pPr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0EDA2A45" w14:textId="77777777" w:rsidR="005A0AFF" w:rsidRPr="005A0AFF" w:rsidRDefault="005A0AFF" w:rsidP="005A0AFF">
      <w:pPr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Выбор, описание и оценка эффективности бизнес-процесса: </w:t>
      </w:r>
    </w:p>
    <w:p w14:paraId="6294408D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Составить перечень бизнес-процессов, осуществляемых в рамках описываемого вида деятельности; </w:t>
      </w:r>
    </w:p>
    <w:p w14:paraId="6C7D56DC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Организация торговли на фондовом рынке</w:t>
      </w:r>
    </w:p>
    <w:p w14:paraId="1F7A1682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  <w:u w:val="single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- Организация торговли на срочном рынке, дополнительный – </w:t>
      </w:r>
      <w:r w:rsidRPr="005A0AFF">
        <w:rPr>
          <w:rFonts w:ascii="Times New Roman" w:eastAsia="Aptos" w:hAnsi="Times New Roman" w:cs="Aptos"/>
          <w:sz w:val="28"/>
          <w:szCs w:val="24"/>
          <w:u w:val="single"/>
        </w:rPr>
        <w:t>«Учет корпоративных действий по базовым активам фьючерсных контрактов»</w:t>
      </w:r>
    </w:p>
    <w:p w14:paraId="29BE31F3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Клиринговая и отчетная деятельность</w:t>
      </w:r>
    </w:p>
    <w:p w14:paraId="008EFE04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Депозитарная деятельность</w:t>
      </w:r>
    </w:p>
    <w:p w14:paraId="08B37E8D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Листинг и допуск ценных бумаг к торгам</w:t>
      </w:r>
    </w:p>
    <w:p w14:paraId="690AA94F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Для каждого бизнес-процесса определить степень автоматизации – не автоматизирован, частично автоматизирован, автоматизирован;</w:t>
      </w:r>
    </w:p>
    <w:p w14:paraId="590E28FB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Организация торговли на фондовом рынке (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Автоматизирован</w:t>
      </w:r>
      <w:r w:rsidRPr="005A0AFF">
        <w:rPr>
          <w:rFonts w:ascii="Times New Roman" w:eastAsia="Aptos" w:hAnsi="Times New Roman" w:cs="Aptos"/>
          <w:sz w:val="28"/>
          <w:szCs w:val="24"/>
        </w:rPr>
        <w:t>)</w:t>
      </w:r>
    </w:p>
    <w:p w14:paraId="0F470F49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  <w:u w:val="single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- Организация торговли на срочном рынке, дополнительный – </w:t>
      </w:r>
      <w:r w:rsidRPr="005A0AFF">
        <w:rPr>
          <w:rFonts w:ascii="Times New Roman" w:eastAsia="Aptos" w:hAnsi="Times New Roman" w:cs="Aptos"/>
          <w:sz w:val="28"/>
          <w:szCs w:val="24"/>
          <w:u w:val="single"/>
        </w:rPr>
        <w:t>«Учет корпоративных действий по базовым активам фьючерсных контрактов» (</w:t>
      </w:r>
      <w:r w:rsidRPr="005A0AFF">
        <w:rPr>
          <w:rFonts w:ascii="Times New Roman" w:eastAsia="Aptos" w:hAnsi="Times New Roman" w:cs="Aptos"/>
          <w:b/>
          <w:bCs/>
          <w:sz w:val="28"/>
          <w:szCs w:val="24"/>
          <w:u w:val="single"/>
        </w:rPr>
        <w:t>Частично автоматизирован</w:t>
      </w:r>
      <w:r w:rsidRPr="005A0AFF">
        <w:rPr>
          <w:rFonts w:ascii="Times New Roman" w:eastAsia="Aptos" w:hAnsi="Times New Roman" w:cs="Aptos"/>
          <w:sz w:val="28"/>
          <w:szCs w:val="24"/>
          <w:u w:val="single"/>
        </w:rPr>
        <w:t>)</w:t>
      </w:r>
    </w:p>
    <w:p w14:paraId="34221ECA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Клиринговая и отчетная деятельность (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Автоматизирован</w:t>
      </w:r>
      <w:r w:rsidRPr="005A0AFF">
        <w:rPr>
          <w:rFonts w:ascii="Times New Roman" w:eastAsia="Aptos" w:hAnsi="Times New Roman" w:cs="Aptos"/>
          <w:sz w:val="28"/>
          <w:szCs w:val="24"/>
        </w:rPr>
        <w:t>)</w:t>
      </w:r>
    </w:p>
    <w:p w14:paraId="1C03F8DC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Депозитарная деятельность (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Автоматизирован</w:t>
      </w:r>
      <w:r w:rsidRPr="005A0AFF">
        <w:rPr>
          <w:rFonts w:ascii="Times New Roman" w:eastAsia="Aptos" w:hAnsi="Times New Roman" w:cs="Aptos"/>
          <w:sz w:val="28"/>
          <w:szCs w:val="24"/>
        </w:rPr>
        <w:t>)</w:t>
      </w:r>
    </w:p>
    <w:p w14:paraId="5F6EE2B7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- Листинг и допуск ценных бумаг к торгам (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Частично автоматизирован </w:t>
      </w:r>
      <w:r w:rsidRPr="005A0AFF">
        <w:rPr>
          <w:rFonts w:ascii="Times New Roman" w:eastAsia="Aptos" w:hAnsi="Times New Roman" w:cs="Aptos"/>
          <w:sz w:val="28"/>
          <w:szCs w:val="24"/>
        </w:rPr>
        <w:t>)</w:t>
      </w:r>
    </w:p>
    <w:p w14:paraId="3BFC7BAB" w14:textId="77777777" w:rsidR="005A0AFF" w:rsidRPr="005A0AFF" w:rsidRDefault="005A0AFF" w:rsidP="005A0AFF">
      <w:pPr>
        <w:numPr>
          <w:ilvl w:val="0"/>
          <w:numId w:val="7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Выбрать среди неавтоматизированных или частично автоматизированных один бизнес-процесс для автоматизации и составить его детальное описание, а затем построить детальные диаграммы в нотации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  <w:lang w:val="en-US"/>
        </w:rPr>
        <w:t>IDEF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0 или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  <w:lang w:val="en-US"/>
        </w:rPr>
        <w:t>BPMN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; </w:t>
      </w:r>
    </w:p>
    <w:p w14:paraId="45B40FD4" w14:textId="77777777" w:rsidR="005A0AFF" w:rsidRDefault="005A0AFF" w:rsidP="005A0AFF">
      <w:pPr>
        <w:keepNext/>
        <w:tabs>
          <w:tab w:val="left" w:pos="993"/>
        </w:tabs>
        <w:suppressAutoHyphens/>
        <w:spacing w:line="360" w:lineRule="auto"/>
        <w:contextualSpacing/>
        <w:jc w:val="center"/>
      </w:pPr>
      <w:r w:rsidRPr="005A0AFF">
        <w:rPr>
          <w:rFonts w:ascii="Times New Roman" w:eastAsia="Aptos" w:hAnsi="Times New Roman" w:cs="Aptos"/>
          <w:sz w:val="28"/>
          <w:szCs w:val="24"/>
        </w:rPr>
        <w:lastRenderedPageBreak/>
        <w:drawing>
          <wp:inline distT="0" distB="0" distL="0" distR="0" wp14:anchorId="25CF9174" wp14:editId="5DBD5E6F">
            <wp:extent cx="5755514" cy="3078480"/>
            <wp:effectExtent l="0" t="0" r="0" b="7620"/>
            <wp:docPr id="46572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0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650" cy="30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C41" w14:textId="4EC220AC" w:rsidR="005A0AFF" w:rsidRPr="005A0AFF" w:rsidRDefault="005A0AFF" w:rsidP="005A0AFF">
      <w:pPr>
        <w:pStyle w:val="a7"/>
        <w:rPr>
          <w:rFonts w:eastAsia="Aptos" w:cs="Aptos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Диаграмма </w:t>
      </w:r>
      <w:r>
        <w:rPr>
          <w:lang w:val="en-US"/>
        </w:rPr>
        <w:t>IDEF</w:t>
      </w:r>
      <w:r w:rsidRPr="005A0AFF">
        <w:t>0</w:t>
      </w:r>
      <w:r>
        <w:t xml:space="preserve"> для бизнес-процесса «</w:t>
      </w:r>
      <w:r w:rsidRPr="005A0AFF">
        <w:t>Учет корпоративных действий по базовым активам фьючерсных контрактов</w:t>
      </w:r>
      <w:r>
        <w:t>»</w:t>
      </w:r>
    </w:p>
    <w:p w14:paraId="73ABB159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1CBF8737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7AB30166" w14:textId="77777777" w:rsidR="005A0AFF" w:rsidRPr="005A0AFF" w:rsidRDefault="005A0AFF" w:rsidP="005A0AFF">
      <w:pPr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Выполнить оценку эффективности выбранного для автоматизации бизнес-процесса.</w:t>
      </w:r>
    </w:p>
    <w:p w14:paraId="40499DA4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63317285" w14:textId="77777777" w:rsidR="005A0AFF" w:rsidRPr="005A0AFF" w:rsidRDefault="005A0AFF" w:rsidP="005A0AFF">
      <w:pPr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Оценить и описать техническую и программную архитектуру организации.</w:t>
      </w:r>
    </w:p>
    <w:p w14:paraId="7B033F44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Разработать:</w:t>
      </w:r>
    </w:p>
    <w:p w14:paraId="469F0392" w14:textId="77777777" w:rsidR="005A0AFF" w:rsidRPr="005A0AFF" w:rsidRDefault="005A0AFF" w:rsidP="005A0AFF">
      <w:pPr>
        <w:numPr>
          <w:ilvl w:val="1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  <w:u w:val="single"/>
        </w:rPr>
      </w:pPr>
      <w:r w:rsidRPr="005A0AFF">
        <w:rPr>
          <w:rFonts w:ascii="Times New Roman" w:eastAsia="Aptos" w:hAnsi="Times New Roman" w:cs="Aptos"/>
          <w:sz w:val="28"/>
          <w:szCs w:val="24"/>
          <w:u w:val="single"/>
        </w:rPr>
        <w:t xml:space="preserve">Технические требования к серверу БД: </w:t>
      </w:r>
    </w:p>
    <w:p w14:paraId="5D58D938" w14:textId="77777777" w:rsidR="005A0AFF" w:rsidRPr="005A0AFF" w:rsidRDefault="005A0AFF" w:rsidP="005A0AFF">
      <w:pPr>
        <w:numPr>
          <w:ilvl w:val="2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аппаратная конфигурация: </w:t>
      </w:r>
    </w:p>
    <w:p w14:paraId="349229BD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марка и модель ЦП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Intel Xeon Gold 6348 (28 ядер, 2.6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GHz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) 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, </w:t>
      </w:r>
    </w:p>
    <w:p w14:paraId="6657FCD1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марки, модели и объем оперативной памяти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256 GB DDR4 ECC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Registered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RAM, минимум 512 ГБ для кластера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, </w:t>
      </w:r>
    </w:p>
    <w:p w14:paraId="588AD0DD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марки, модели и объемы накопителей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 Enterprise-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class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SSD (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NVMe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), система и СУБД: 2 x 960 GB SSD в RAID 1, база данных и журналы транзакций: 4 x 3.84 TB SSD в RAID 10 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, </w:t>
      </w:r>
    </w:p>
    <w:p w14:paraId="607BA08D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марки и модели сетевых адаптеров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2 x 10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Gbps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SFP+ сетевых адаптера (например, Intel X710)</w:t>
      </w:r>
      <w:r w:rsidRPr="005A0AFF">
        <w:rPr>
          <w:rFonts w:ascii="Times New Roman" w:eastAsia="Aptos" w:hAnsi="Times New Roman" w:cs="Aptos"/>
          <w:sz w:val="28"/>
          <w:szCs w:val="24"/>
        </w:rPr>
        <w:t>,</w:t>
      </w:r>
    </w:p>
    <w:p w14:paraId="01CB1B24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lastRenderedPageBreak/>
        <w:t xml:space="preserve">характеристики силовой подсистемы – марки и модели встроенных БП, марки и модели ИБП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Встроенные БП:</w:t>
      </w:r>
      <w:r w:rsidRPr="005A0AFF">
        <w:rPr>
          <w:rFonts w:ascii="Times New Roman" w:eastAsia="Aptos" w:hAnsi="Times New Roman" w:cs="Aptos"/>
          <w:sz w:val="28"/>
          <w:szCs w:val="24"/>
        </w:rPr>
        <w:t> 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2 x 1600W Hot-Plug Power Supply Unit, ИБП: Статические ИБП (Online Double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Conversion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)</w:t>
      </w:r>
      <w:r w:rsidRPr="005A0AFF">
        <w:rPr>
          <w:rFonts w:ascii="Times New Roman" w:eastAsia="Aptos" w:hAnsi="Times New Roman" w:cs="Aptos"/>
          <w:sz w:val="28"/>
          <w:szCs w:val="24"/>
        </w:rPr>
        <w:t>;</w:t>
      </w:r>
    </w:p>
    <w:p w14:paraId="67DCE65A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207E0655" w14:textId="77777777" w:rsidR="005A0AFF" w:rsidRPr="005A0AFF" w:rsidRDefault="005A0AFF" w:rsidP="005A0AFF">
      <w:pPr>
        <w:numPr>
          <w:ilvl w:val="2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программная конфигурация: </w:t>
      </w:r>
    </w:p>
    <w:p w14:paraId="1DC5AA1F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производитель, название, версия, модель лицензирования серверной ОС с обоснованием выбора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ООО "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РусБИТех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-Астра", Астра Линукс SE (Сервер Особый), версия 1.7 (на базе RHEL 8);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 </w:t>
      </w:r>
    </w:p>
    <w:p w14:paraId="431C266D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служебное программное обеспечение: </w:t>
      </w:r>
    </w:p>
    <w:p w14:paraId="29FB0229" w14:textId="77777777" w:rsidR="005A0AFF" w:rsidRPr="005A0AFF" w:rsidRDefault="005A0AFF" w:rsidP="005A0AFF">
      <w:pPr>
        <w:numPr>
          <w:ilvl w:val="4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производитель, название, версия, модель лицензирования антивируса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Kaspersky, Kaspersky Security Center, версия 14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,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модель лицензирования: на сервер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; </w:t>
      </w:r>
    </w:p>
    <w:p w14:paraId="1D8E9B37" w14:textId="77777777" w:rsidR="005A0AFF" w:rsidRPr="005A0AFF" w:rsidRDefault="005A0AFF" w:rsidP="005A0AFF">
      <w:pPr>
        <w:numPr>
          <w:ilvl w:val="4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производитель, название, версия, модель лицензирования системы резервного копирования и восстановления -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Veeam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,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Veeam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Backup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&amp;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Replication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, версия 12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,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модель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лиценцирования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:</w:t>
      </w:r>
      <w:r w:rsidRPr="005A0AFF">
        <w:rPr>
          <w:rFonts w:ascii="Times New Roman" w:eastAsia="Aptos" w:hAnsi="Times New Roman" w:cs="Aptos"/>
          <w:sz w:val="28"/>
          <w:szCs w:val="24"/>
        </w:rPr>
        <w:t> 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на сервер сокет</w:t>
      </w:r>
      <w:r w:rsidRPr="005A0AFF">
        <w:rPr>
          <w:rFonts w:ascii="Times New Roman" w:eastAsia="Aptos" w:hAnsi="Times New Roman" w:cs="Aptos"/>
          <w:sz w:val="28"/>
          <w:szCs w:val="24"/>
        </w:rPr>
        <w:t xml:space="preserve">; </w:t>
      </w:r>
    </w:p>
    <w:p w14:paraId="02E548ED" w14:textId="77777777" w:rsidR="005A0AFF" w:rsidRPr="005A0AFF" w:rsidRDefault="005A0AFF" w:rsidP="005A0AFF">
      <w:pPr>
        <w:numPr>
          <w:ilvl w:val="4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производитель, название, версия, модель лицензирования брандмауэра (сетевого экрана)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штатный 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nftables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 (преемник 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iptables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) в составе Астра Линукс. Управление через утилиты 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firewalld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 или прямое редактирование правил</w:t>
      </w:r>
      <w:r w:rsidRPr="005A0AFF">
        <w:rPr>
          <w:rFonts w:ascii="Times New Roman" w:eastAsia="Aptos" w:hAnsi="Times New Roman" w:cs="Aptos"/>
          <w:sz w:val="28"/>
          <w:szCs w:val="24"/>
        </w:rPr>
        <w:t>;</w:t>
      </w:r>
    </w:p>
    <w:p w14:paraId="312B6B90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выбрать и обосновать выбор СУБД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ООО "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Постгрес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Профессиональный",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Postgres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Pro Enterprise, версия 14 (или актуальная)</w:t>
      </w:r>
      <w:r w:rsidRPr="005A0AFF">
        <w:rPr>
          <w:rFonts w:ascii="Times New Roman" w:eastAsia="Aptos" w:hAnsi="Times New Roman" w:cs="Aptos"/>
          <w:sz w:val="28"/>
          <w:szCs w:val="24"/>
        </w:rPr>
        <w:t>.</w:t>
      </w:r>
    </w:p>
    <w:p w14:paraId="69CA4762" w14:textId="77777777" w:rsidR="005A0AFF" w:rsidRPr="005A0AFF" w:rsidRDefault="005A0AFF" w:rsidP="005A0AFF">
      <w:pPr>
        <w:numPr>
          <w:ilvl w:val="0"/>
          <w:numId w:val="10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Соответствие законодательству: Включена в Реестр отечественного ПО, что критически важно для выполнения требований по импортозамещению.</w:t>
      </w:r>
    </w:p>
    <w:p w14:paraId="102163CE" w14:textId="77777777" w:rsidR="005A0AFF" w:rsidRPr="005A0AFF" w:rsidRDefault="005A0AFF" w:rsidP="005A0AFF">
      <w:pPr>
        <w:numPr>
          <w:ilvl w:val="0"/>
          <w:numId w:val="10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Производительность и надежность: Содержит множество патчей и оптимизаций поверх стандартного 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PostgreSQL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>, повышающих производительность (например, улучшенный планировщик запросов, JIT-компиляция), что необходимо для обработки данных в реальном времени.</w:t>
      </w:r>
    </w:p>
    <w:p w14:paraId="6BFE8A35" w14:textId="77777777" w:rsidR="005A0AFF" w:rsidRPr="005A0AFF" w:rsidRDefault="005A0AFF" w:rsidP="005A0AFF">
      <w:pPr>
        <w:numPr>
          <w:ilvl w:val="0"/>
          <w:numId w:val="10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Высокая доступность: Поддерживает все механизмы репликации 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PostgreSQL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 xml:space="preserve"> (потоковая, логическая), а также совместима с системами </w:t>
      </w:r>
      <w:r w:rsidRPr="005A0AFF">
        <w:rPr>
          <w:rFonts w:ascii="Times New Roman" w:eastAsia="Aptos" w:hAnsi="Times New Roman" w:cs="Aptos"/>
          <w:sz w:val="28"/>
          <w:szCs w:val="24"/>
        </w:rPr>
        <w:lastRenderedPageBreak/>
        <w:t>управления кластерами (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Patroni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>), что позволяет построить отказоустойчивую схему, аналогичную Always On.</w:t>
      </w:r>
    </w:p>
    <w:p w14:paraId="1F09122F" w14:textId="77777777" w:rsidR="005A0AFF" w:rsidRPr="005A0AFF" w:rsidRDefault="005A0AFF" w:rsidP="005A0AFF">
      <w:pPr>
        <w:numPr>
          <w:ilvl w:val="0"/>
          <w:numId w:val="10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Техническая поддержка: Наличие российской технической поддержки от разработчика.</w:t>
      </w:r>
    </w:p>
    <w:p w14:paraId="3A0B6386" w14:textId="77777777" w:rsidR="005A0AFF" w:rsidRPr="005A0AFF" w:rsidRDefault="005A0AFF" w:rsidP="005A0AFF">
      <w:pPr>
        <w:numPr>
          <w:ilvl w:val="3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 xml:space="preserve">производитель, название, версия, модель лицензирования инструментов администрирования серверов БД - </w:t>
      </w:r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Комьюнити, </w:t>
      </w:r>
      <w:proofErr w:type="spellStart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>pgAdmin</w:t>
      </w:r>
      <w:proofErr w:type="spellEnd"/>
      <w:r w:rsidRPr="005A0AFF">
        <w:rPr>
          <w:rFonts w:ascii="Times New Roman" w:eastAsia="Aptos" w:hAnsi="Times New Roman" w:cs="Aptos"/>
          <w:b/>
          <w:bCs/>
          <w:sz w:val="28"/>
          <w:szCs w:val="24"/>
        </w:rPr>
        <w:t xml:space="preserve"> 4, актуальная версия. Бесплатно</w:t>
      </w:r>
      <w:r w:rsidRPr="005A0AFF">
        <w:rPr>
          <w:rFonts w:ascii="Times New Roman" w:eastAsia="Aptos" w:hAnsi="Times New Roman" w:cs="Aptos"/>
          <w:sz w:val="28"/>
          <w:szCs w:val="24"/>
        </w:rPr>
        <w:t>.</w:t>
      </w:r>
    </w:p>
    <w:p w14:paraId="61F5EC56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32788539" w14:textId="77777777" w:rsidR="005A0AFF" w:rsidRPr="005A0AFF" w:rsidRDefault="005A0AFF" w:rsidP="005A0AFF">
      <w:pPr>
        <w:numPr>
          <w:ilvl w:val="2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В соответствии с отраслевыми стандартами определить и описать схему резервирования аппаратных и программных ресурсов.</w:t>
      </w:r>
    </w:p>
    <w:p w14:paraId="549B9759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Аппаратные ресурсы:</w:t>
      </w:r>
    </w:p>
    <w:p w14:paraId="700A21A6" w14:textId="77777777" w:rsidR="005A0AFF" w:rsidRPr="005A0AFF" w:rsidRDefault="005A0AFF" w:rsidP="005A0AFF">
      <w:pPr>
        <w:numPr>
          <w:ilvl w:val="0"/>
          <w:numId w:val="11"/>
        </w:numPr>
        <w:tabs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Кластеризация: 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Двухнодный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 xml:space="preserve"> кластер.</w:t>
      </w:r>
    </w:p>
    <w:p w14:paraId="4FB9C1DC" w14:textId="77777777" w:rsidR="005A0AFF" w:rsidRPr="005A0AFF" w:rsidRDefault="005A0AFF" w:rsidP="005A0AFF">
      <w:pPr>
        <w:numPr>
          <w:ilvl w:val="0"/>
          <w:numId w:val="11"/>
        </w:numPr>
        <w:tabs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Сеть: 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Teaming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 xml:space="preserve"> сетевых адаптеров.</w:t>
      </w:r>
    </w:p>
    <w:p w14:paraId="244EE5C6" w14:textId="77777777" w:rsidR="005A0AFF" w:rsidRPr="005A0AFF" w:rsidRDefault="005A0AFF" w:rsidP="005A0AFF">
      <w:pPr>
        <w:numPr>
          <w:ilvl w:val="0"/>
          <w:numId w:val="11"/>
        </w:numPr>
        <w:tabs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Питание: Два БП + ИБП.</w:t>
      </w:r>
    </w:p>
    <w:p w14:paraId="01D19009" w14:textId="77777777" w:rsidR="005A0AFF" w:rsidRPr="005A0AFF" w:rsidRDefault="005A0AFF" w:rsidP="005A0AFF">
      <w:pPr>
        <w:numPr>
          <w:ilvl w:val="0"/>
          <w:numId w:val="11"/>
        </w:numPr>
        <w:tabs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Диски: RAID 1 и RAID 10.</w:t>
      </w:r>
    </w:p>
    <w:p w14:paraId="5F8F5819" w14:textId="77777777" w:rsidR="005A0AFF" w:rsidRPr="005A0AFF" w:rsidRDefault="005A0AFF" w:rsidP="005A0AFF">
      <w:pPr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Программные ресурсы</w:t>
      </w:r>
    </w:p>
    <w:p w14:paraId="1933A515" w14:textId="77777777" w:rsidR="005A0AFF" w:rsidRPr="005A0AFF" w:rsidRDefault="005A0AFF" w:rsidP="005A0AFF">
      <w:pPr>
        <w:numPr>
          <w:ilvl w:val="0"/>
          <w:numId w:val="12"/>
        </w:numPr>
        <w:tabs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СУБД: Развертывание в конфигурации "Ведущий-Ведомый" с использованием менеджера кластеров 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Patroni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> для автоматического переключения при сбое. Это</w:t>
      </w:r>
      <w:r w:rsidRPr="005A0AFF">
        <w:rPr>
          <w:rFonts w:ascii="Times New Roman" w:eastAsia="Aptos" w:hAnsi="Times New Roman" w:cs="Aptos"/>
          <w:sz w:val="28"/>
          <w:szCs w:val="24"/>
          <w:lang w:val="en-US"/>
        </w:rPr>
        <w:t xml:space="preserve"> </w:t>
      </w:r>
      <w:r w:rsidRPr="005A0AFF">
        <w:rPr>
          <w:rFonts w:ascii="Times New Roman" w:eastAsia="Aptos" w:hAnsi="Times New Roman" w:cs="Aptos"/>
          <w:sz w:val="28"/>
          <w:szCs w:val="24"/>
        </w:rPr>
        <w:t>прямой</w:t>
      </w:r>
      <w:r w:rsidRPr="005A0AFF">
        <w:rPr>
          <w:rFonts w:ascii="Times New Roman" w:eastAsia="Aptos" w:hAnsi="Times New Roman" w:cs="Aptos"/>
          <w:sz w:val="28"/>
          <w:szCs w:val="24"/>
          <w:lang w:val="en-US"/>
        </w:rPr>
        <w:t xml:space="preserve"> </w:t>
      </w:r>
      <w:r w:rsidRPr="005A0AFF">
        <w:rPr>
          <w:rFonts w:ascii="Times New Roman" w:eastAsia="Aptos" w:hAnsi="Times New Roman" w:cs="Aptos"/>
          <w:sz w:val="28"/>
          <w:szCs w:val="24"/>
        </w:rPr>
        <w:t>аналог</w:t>
      </w:r>
      <w:r w:rsidRPr="005A0AFF">
        <w:rPr>
          <w:rFonts w:ascii="Times New Roman" w:eastAsia="Aptos" w:hAnsi="Times New Roman" w:cs="Aptos"/>
          <w:sz w:val="28"/>
          <w:szCs w:val="24"/>
          <w:lang w:val="en-US"/>
        </w:rPr>
        <w:t xml:space="preserve"> Always On Availability Groups </w:t>
      </w:r>
      <w:r w:rsidRPr="005A0AFF">
        <w:rPr>
          <w:rFonts w:ascii="Times New Roman" w:eastAsia="Aptos" w:hAnsi="Times New Roman" w:cs="Aptos"/>
          <w:sz w:val="28"/>
          <w:szCs w:val="24"/>
        </w:rPr>
        <w:t>в</w:t>
      </w:r>
      <w:r w:rsidRPr="005A0AFF">
        <w:rPr>
          <w:rFonts w:ascii="Times New Roman" w:eastAsia="Aptos" w:hAnsi="Times New Roman" w:cs="Aptos"/>
          <w:sz w:val="28"/>
          <w:szCs w:val="24"/>
          <w:lang w:val="en-US"/>
        </w:rPr>
        <w:t xml:space="preserve"> </w:t>
      </w:r>
      <w:r w:rsidRPr="005A0AFF">
        <w:rPr>
          <w:rFonts w:ascii="Times New Roman" w:eastAsia="Aptos" w:hAnsi="Times New Roman" w:cs="Aptos"/>
          <w:sz w:val="28"/>
          <w:szCs w:val="24"/>
        </w:rPr>
        <w:t>экосистеме</w:t>
      </w:r>
      <w:r w:rsidRPr="005A0AFF">
        <w:rPr>
          <w:rFonts w:ascii="Times New Roman" w:eastAsia="Aptos" w:hAnsi="Times New Roman" w:cs="Aptos"/>
          <w:sz w:val="28"/>
          <w:szCs w:val="24"/>
          <w:lang w:val="en-US"/>
        </w:rPr>
        <w:t xml:space="preserve"> PostgreSQL. </w:t>
      </w:r>
      <w:r w:rsidRPr="005A0AFF">
        <w:rPr>
          <w:rFonts w:ascii="Times New Roman" w:eastAsia="Aptos" w:hAnsi="Times New Roman" w:cs="Aptos"/>
          <w:sz w:val="28"/>
          <w:szCs w:val="24"/>
        </w:rPr>
        <w:t>Одна нода — ведущая, вторая —ведомая, "горячий" резерв.</w:t>
      </w:r>
    </w:p>
    <w:p w14:paraId="6D50D39E" w14:textId="77777777" w:rsidR="005A0AFF" w:rsidRPr="005A0AFF" w:rsidRDefault="005A0AFF" w:rsidP="005A0AFF">
      <w:pPr>
        <w:numPr>
          <w:ilvl w:val="0"/>
          <w:numId w:val="12"/>
        </w:numPr>
        <w:tabs>
          <w:tab w:val="num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5A0AFF">
        <w:rPr>
          <w:rFonts w:ascii="Times New Roman" w:eastAsia="Aptos" w:hAnsi="Times New Roman" w:cs="Aptos"/>
          <w:sz w:val="28"/>
          <w:szCs w:val="24"/>
        </w:rPr>
        <w:t>Резервное копирование: Ежедневное полное резервное копирование с помощью 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pg_basebackup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 xml:space="preserve"> и непрерывное архивирование Журнала </w:t>
      </w:r>
      <w:proofErr w:type="spellStart"/>
      <w:r w:rsidRPr="005A0AFF">
        <w:rPr>
          <w:rFonts w:ascii="Times New Roman" w:eastAsia="Aptos" w:hAnsi="Times New Roman" w:cs="Aptos"/>
          <w:sz w:val="28"/>
          <w:szCs w:val="24"/>
        </w:rPr>
        <w:t>Предзаписи</w:t>
      </w:r>
      <w:proofErr w:type="spellEnd"/>
      <w:r w:rsidRPr="005A0AFF">
        <w:rPr>
          <w:rFonts w:ascii="Times New Roman" w:eastAsia="Aptos" w:hAnsi="Times New Roman" w:cs="Aptos"/>
          <w:sz w:val="28"/>
          <w:szCs w:val="24"/>
        </w:rPr>
        <w:t xml:space="preserve"> (WAL) для возможности восстановления на любую моментную точку во. Копии хранятся на отдельном хранилище.</w:t>
      </w:r>
    </w:p>
    <w:p w14:paraId="50D34F0E" w14:textId="77777777" w:rsidR="005A0AFF" w:rsidRPr="005A0AFF" w:rsidRDefault="005A0AFF" w:rsidP="005A0AFF">
      <w:pPr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558CB343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11C5EFC1" w14:textId="77777777" w:rsidR="005A0AFF" w:rsidRPr="005A0AFF" w:rsidRDefault="005A0AFF" w:rsidP="005A0AFF">
      <w:pPr>
        <w:numPr>
          <w:ilvl w:val="1"/>
          <w:numId w:val="5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  <w:u w:val="single"/>
        </w:rPr>
      </w:pPr>
      <w:r w:rsidRPr="005A0AFF">
        <w:rPr>
          <w:rFonts w:ascii="Times New Roman" w:eastAsia="Aptos" w:hAnsi="Times New Roman" w:cs="Aptos"/>
          <w:sz w:val="28"/>
          <w:szCs w:val="24"/>
          <w:u w:val="single"/>
        </w:rPr>
        <w:t>Выполнить оценку затрат на развертывание и обслуживание серверов БД.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298"/>
        <w:gridCol w:w="2596"/>
        <w:gridCol w:w="3450"/>
      </w:tblGrid>
      <w:tr w:rsidR="005A0AFF" w:rsidRPr="005A0AFF" w14:paraId="25A1E281" w14:textId="77777777" w:rsidTr="005A0AFF">
        <w:tc>
          <w:tcPr>
            <w:tcW w:w="1765" w:type="pct"/>
            <w:vAlign w:val="center"/>
          </w:tcPr>
          <w:p w14:paraId="718B6D7E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b/>
                <w:bCs/>
                <w:color w:val="0F1115"/>
                <w:sz w:val="24"/>
                <w:szCs w:val="24"/>
              </w:rPr>
              <w:lastRenderedPageBreak/>
              <w:t>Статья затрат</w:t>
            </w:r>
          </w:p>
        </w:tc>
        <w:tc>
          <w:tcPr>
            <w:tcW w:w="1389" w:type="pct"/>
            <w:vAlign w:val="center"/>
          </w:tcPr>
          <w:p w14:paraId="0CF46553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b/>
                <w:bCs/>
                <w:color w:val="0F1115"/>
                <w:sz w:val="24"/>
                <w:szCs w:val="24"/>
              </w:rPr>
              <w:t>Стоимость (руб.), ориентировочно</w:t>
            </w:r>
          </w:p>
        </w:tc>
        <w:tc>
          <w:tcPr>
            <w:tcW w:w="1846" w:type="pct"/>
            <w:vAlign w:val="center"/>
          </w:tcPr>
          <w:p w14:paraId="16DFE005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b/>
                <w:bCs/>
                <w:color w:val="0F1115"/>
                <w:sz w:val="24"/>
                <w:szCs w:val="24"/>
              </w:rPr>
              <w:t>Периодичность</w:t>
            </w:r>
          </w:p>
        </w:tc>
      </w:tr>
      <w:tr w:rsidR="005A0AFF" w:rsidRPr="005A0AFF" w14:paraId="68ACC990" w14:textId="77777777" w:rsidTr="005A0AFF">
        <w:tc>
          <w:tcPr>
            <w:tcW w:w="5000" w:type="pct"/>
            <w:gridSpan w:val="3"/>
            <w:vAlign w:val="center"/>
          </w:tcPr>
          <w:p w14:paraId="4E7B3BAA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left="-58"/>
              <w:contextualSpacing/>
              <w:jc w:val="center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КАПИТАЛЬНЫЕ РАСХОДЫ </w:t>
            </w:r>
          </w:p>
        </w:tc>
      </w:tr>
      <w:tr w:rsidR="005A0AFF" w:rsidRPr="005A0AFF" w14:paraId="77B8F9EC" w14:textId="77777777" w:rsidTr="005A0AFF">
        <w:tc>
          <w:tcPr>
            <w:tcW w:w="1765" w:type="pct"/>
            <w:vAlign w:val="center"/>
          </w:tcPr>
          <w:p w14:paraId="47BD8D3A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Аппаратное обеспечение (2 ноды + СХД)</w:t>
            </w:r>
          </w:p>
        </w:tc>
        <w:tc>
          <w:tcPr>
            <w:tcW w:w="1389" w:type="pct"/>
            <w:vAlign w:val="center"/>
          </w:tcPr>
          <w:p w14:paraId="4DDFC3D5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4 500 000 - 6 000 000</w:t>
            </w:r>
          </w:p>
        </w:tc>
        <w:tc>
          <w:tcPr>
            <w:tcW w:w="1846" w:type="pct"/>
            <w:vAlign w:val="center"/>
          </w:tcPr>
          <w:p w14:paraId="1C68B373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Единовременно</w:t>
            </w:r>
          </w:p>
        </w:tc>
      </w:tr>
      <w:tr w:rsidR="005A0AFF" w:rsidRPr="005A0AFF" w14:paraId="7D1923E2" w14:textId="77777777" w:rsidTr="005A0AFF">
        <w:tc>
          <w:tcPr>
            <w:tcW w:w="1765" w:type="pct"/>
            <w:vAlign w:val="center"/>
          </w:tcPr>
          <w:p w14:paraId="0E58C6F4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Лицензии Астра Линукс SE (2 сервера)</w:t>
            </w:r>
          </w:p>
        </w:tc>
        <w:tc>
          <w:tcPr>
            <w:tcW w:w="1389" w:type="pct"/>
            <w:vAlign w:val="center"/>
          </w:tcPr>
          <w:p w14:paraId="7ED5279F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300 000 - 500 000</w:t>
            </w:r>
          </w:p>
        </w:tc>
        <w:tc>
          <w:tcPr>
            <w:tcW w:w="1846" w:type="pct"/>
            <w:vAlign w:val="center"/>
          </w:tcPr>
          <w:p w14:paraId="525E0CAD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Единовременно (бессрочная)</w:t>
            </w:r>
          </w:p>
        </w:tc>
      </w:tr>
      <w:tr w:rsidR="005A0AFF" w:rsidRPr="005A0AFF" w14:paraId="5368BA12" w14:textId="77777777" w:rsidTr="005A0AFF">
        <w:tc>
          <w:tcPr>
            <w:tcW w:w="1765" w:type="pct"/>
            <w:vAlign w:val="center"/>
          </w:tcPr>
          <w:p w14:paraId="4882898A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  <w:lang w:val="en-US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Лицензии</w:t>
            </w: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  <w:lang w:val="en-US"/>
              </w:rPr>
              <w:t xml:space="preserve"> Postgres Pro Enterprise (2 </w:t>
            </w: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сервера</w:t>
            </w: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  <w:lang w:val="en-US"/>
              </w:rPr>
              <w:t>)</w:t>
            </w:r>
          </w:p>
        </w:tc>
        <w:tc>
          <w:tcPr>
            <w:tcW w:w="1389" w:type="pct"/>
            <w:vAlign w:val="center"/>
          </w:tcPr>
          <w:p w14:paraId="52E35776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1 200 000 - 2 000 000</w:t>
            </w:r>
          </w:p>
        </w:tc>
        <w:tc>
          <w:tcPr>
            <w:tcW w:w="1846" w:type="pct"/>
            <w:vAlign w:val="center"/>
          </w:tcPr>
          <w:p w14:paraId="769F2C05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Единовременно (на год)</w:t>
            </w:r>
          </w:p>
        </w:tc>
      </w:tr>
      <w:tr w:rsidR="005A0AFF" w:rsidRPr="005A0AFF" w14:paraId="2E924264" w14:textId="77777777" w:rsidTr="005A0AFF">
        <w:tc>
          <w:tcPr>
            <w:tcW w:w="1765" w:type="pct"/>
            <w:vAlign w:val="center"/>
          </w:tcPr>
          <w:p w14:paraId="73B720EC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ИТОГО </w:t>
            </w:r>
          </w:p>
        </w:tc>
        <w:tc>
          <w:tcPr>
            <w:tcW w:w="1389" w:type="pct"/>
            <w:vAlign w:val="center"/>
          </w:tcPr>
          <w:p w14:paraId="5376FC83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6 000 000 - 8 500 000</w:t>
            </w:r>
          </w:p>
        </w:tc>
        <w:tc>
          <w:tcPr>
            <w:tcW w:w="1846" w:type="pct"/>
            <w:vAlign w:val="center"/>
          </w:tcPr>
          <w:p w14:paraId="16C21452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</w:p>
        </w:tc>
      </w:tr>
      <w:tr w:rsidR="005A0AFF" w:rsidRPr="005A0AFF" w14:paraId="5CB5339F" w14:textId="77777777" w:rsidTr="005A0AFF">
        <w:tc>
          <w:tcPr>
            <w:tcW w:w="5000" w:type="pct"/>
            <w:gridSpan w:val="3"/>
            <w:vAlign w:val="center"/>
          </w:tcPr>
          <w:p w14:paraId="3C09BD70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left="-58"/>
              <w:contextualSpacing/>
              <w:jc w:val="center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ОПЕРАЦИОННЫЕ РАСХОДЫ </w:t>
            </w:r>
          </w:p>
        </w:tc>
      </w:tr>
      <w:tr w:rsidR="005A0AFF" w:rsidRPr="005A0AFF" w14:paraId="5BADEA34" w14:textId="77777777" w:rsidTr="005A0AFF">
        <w:tc>
          <w:tcPr>
            <w:tcW w:w="1765" w:type="pct"/>
            <w:vAlign w:val="center"/>
          </w:tcPr>
          <w:p w14:paraId="2E8A54F9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Техническая поддержка </w:t>
            </w:r>
            <w:proofErr w:type="spellStart"/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Hardware</w:t>
            </w:r>
            <w:proofErr w:type="spellEnd"/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 (15-20% от стоимости)</w:t>
            </w:r>
          </w:p>
        </w:tc>
        <w:tc>
          <w:tcPr>
            <w:tcW w:w="1389" w:type="pct"/>
            <w:vAlign w:val="center"/>
          </w:tcPr>
          <w:p w14:paraId="0BEA91C0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800 000 - 1 200 000</w:t>
            </w:r>
          </w:p>
        </w:tc>
        <w:tc>
          <w:tcPr>
            <w:tcW w:w="1846" w:type="pct"/>
            <w:vAlign w:val="center"/>
          </w:tcPr>
          <w:p w14:paraId="40E63C8E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Ежегодно</w:t>
            </w:r>
          </w:p>
        </w:tc>
      </w:tr>
      <w:tr w:rsidR="005A0AFF" w:rsidRPr="005A0AFF" w14:paraId="72F5D2E4" w14:textId="77777777" w:rsidTr="005A0AFF">
        <w:tc>
          <w:tcPr>
            <w:tcW w:w="1765" w:type="pct"/>
            <w:vAlign w:val="center"/>
          </w:tcPr>
          <w:p w14:paraId="39FEA5D5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Техническая поддержка ПО (Астра + </w:t>
            </w:r>
            <w:proofErr w:type="spellStart"/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Postgres</w:t>
            </w:r>
            <w:proofErr w:type="spellEnd"/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 Pro)</w:t>
            </w:r>
          </w:p>
        </w:tc>
        <w:tc>
          <w:tcPr>
            <w:tcW w:w="1389" w:type="pct"/>
            <w:vAlign w:val="center"/>
          </w:tcPr>
          <w:p w14:paraId="792CA727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300 000 - 500 000</w:t>
            </w:r>
          </w:p>
        </w:tc>
        <w:tc>
          <w:tcPr>
            <w:tcW w:w="1846" w:type="pct"/>
            <w:vAlign w:val="center"/>
          </w:tcPr>
          <w:p w14:paraId="41158E03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Ежегодно</w:t>
            </w:r>
          </w:p>
        </w:tc>
      </w:tr>
      <w:tr w:rsidR="005A0AFF" w:rsidRPr="005A0AFF" w14:paraId="03AC4C0B" w14:textId="77777777" w:rsidTr="005A0AFF">
        <w:tc>
          <w:tcPr>
            <w:tcW w:w="1765" w:type="pct"/>
            <w:vAlign w:val="center"/>
          </w:tcPr>
          <w:p w14:paraId="5BA871CF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Заработная плата администратора БД/Linux</w:t>
            </w:r>
          </w:p>
        </w:tc>
        <w:tc>
          <w:tcPr>
            <w:tcW w:w="1389" w:type="pct"/>
            <w:vAlign w:val="center"/>
          </w:tcPr>
          <w:p w14:paraId="6822EB23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1 800 000 - 2 400 000</w:t>
            </w:r>
          </w:p>
        </w:tc>
        <w:tc>
          <w:tcPr>
            <w:tcW w:w="1846" w:type="pct"/>
            <w:vAlign w:val="center"/>
          </w:tcPr>
          <w:p w14:paraId="1EA38EDC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Ежегодно</w:t>
            </w:r>
          </w:p>
        </w:tc>
      </w:tr>
      <w:tr w:rsidR="005A0AFF" w:rsidRPr="005A0AFF" w14:paraId="0B3D335F" w14:textId="77777777" w:rsidTr="005A0AFF">
        <w:tc>
          <w:tcPr>
            <w:tcW w:w="1765" w:type="pct"/>
            <w:vAlign w:val="center"/>
          </w:tcPr>
          <w:p w14:paraId="03EDE55E" w14:textId="77777777" w:rsidR="005A0AFF" w:rsidRPr="005A0AFF" w:rsidRDefault="005A0AFF" w:rsidP="005A0AFF">
            <w:pPr>
              <w:tabs>
                <w:tab w:val="left" w:pos="468"/>
                <w:tab w:val="left" w:pos="993"/>
              </w:tabs>
              <w:spacing w:line="360" w:lineRule="auto"/>
              <w:ind w:firstLine="34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 xml:space="preserve">ИТОГО </w:t>
            </w:r>
          </w:p>
        </w:tc>
        <w:tc>
          <w:tcPr>
            <w:tcW w:w="1389" w:type="pct"/>
            <w:vAlign w:val="center"/>
          </w:tcPr>
          <w:p w14:paraId="5884F06F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2 900 000 - 4 100 000</w:t>
            </w:r>
          </w:p>
        </w:tc>
        <w:tc>
          <w:tcPr>
            <w:tcW w:w="1846" w:type="pct"/>
            <w:vAlign w:val="center"/>
          </w:tcPr>
          <w:p w14:paraId="7F08AF62" w14:textId="77777777" w:rsidR="005A0AFF" w:rsidRPr="005A0AFF" w:rsidRDefault="005A0AFF" w:rsidP="005A0AFF">
            <w:pPr>
              <w:tabs>
                <w:tab w:val="left" w:pos="993"/>
              </w:tabs>
              <w:spacing w:line="360" w:lineRule="auto"/>
              <w:ind w:left="-58"/>
              <w:contextualSpacing/>
              <w:jc w:val="both"/>
              <w:rPr>
                <w:rFonts w:ascii="Times New Roman" w:eastAsia="Aptos" w:hAnsi="Times New Roman" w:cs="Times New Roman"/>
                <w:sz w:val="24"/>
                <w:szCs w:val="24"/>
                <w:u w:val="single"/>
              </w:rPr>
            </w:pPr>
            <w:r w:rsidRPr="005A0AFF">
              <w:rPr>
                <w:rFonts w:ascii="Times New Roman" w:eastAsia="Aptos" w:hAnsi="Times New Roman" w:cs="Times New Roman"/>
                <w:color w:val="0F1115"/>
                <w:sz w:val="24"/>
                <w:szCs w:val="24"/>
              </w:rPr>
              <w:t>Ежегодно</w:t>
            </w:r>
          </w:p>
        </w:tc>
      </w:tr>
    </w:tbl>
    <w:p w14:paraId="45E88539" w14:textId="77777777" w:rsidR="005A0AFF" w:rsidRPr="005A0AFF" w:rsidRDefault="005A0AFF" w:rsidP="005A0AFF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  <w:u w:val="single"/>
        </w:rPr>
      </w:pPr>
    </w:p>
    <w:p w14:paraId="592E90FB" w14:textId="77777777" w:rsidR="0032438A" w:rsidRPr="00C97C88" w:rsidRDefault="0032438A" w:rsidP="005A0AFF">
      <w:pPr>
        <w:pStyle w:val="a4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D0D0D" w:themeColor="text1" w:themeTint="F2"/>
          <w:sz w:val="32"/>
          <w:szCs w:val="32"/>
        </w:rPr>
      </w:pPr>
    </w:p>
    <w:sectPr w:rsidR="0032438A" w:rsidRPr="00C97C88" w:rsidSect="005A0AF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522"/>
    <w:multiLevelType w:val="multilevel"/>
    <w:tmpl w:val="F990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C862A03"/>
    <w:multiLevelType w:val="multilevel"/>
    <w:tmpl w:val="115066E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1330848"/>
    <w:multiLevelType w:val="multilevel"/>
    <w:tmpl w:val="AB28BB6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13E27442"/>
    <w:multiLevelType w:val="multilevel"/>
    <w:tmpl w:val="7A1643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CCF34C9"/>
    <w:multiLevelType w:val="multilevel"/>
    <w:tmpl w:val="861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A60FC"/>
    <w:multiLevelType w:val="multilevel"/>
    <w:tmpl w:val="B8A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15A40"/>
    <w:multiLevelType w:val="multilevel"/>
    <w:tmpl w:val="3FA893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AAC17FC"/>
    <w:multiLevelType w:val="multilevel"/>
    <w:tmpl w:val="B8EA5B1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420F0D01"/>
    <w:multiLevelType w:val="multilevel"/>
    <w:tmpl w:val="A162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F1D93"/>
    <w:multiLevelType w:val="multilevel"/>
    <w:tmpl w:val="A162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1" w15:restartNumberingAfterBreak="0">
    <w:nsid w:val="62FD5D8C"/>
    <w:multiLevelType w:val="multilevel"/>
    <w:tmpl w:val="115066E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598754074">
    <w:abstractNumId w:val="9"/>
  </w:num>
  <w:num w:numId="2" w16cid:durableId="2120367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84878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373456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0899529">
    <w:abstractNumId w:val="6"/>
  </w:num>
  <w:num w:numId="6" w16cid:durableId="115100820">
    <w:abstractNumId w:val="7"/>
  </w:num>
  <w:num w:numId="7" w16cid:durableId="490609331">
    <w:abstractNumId w:val="11"/>
  </w:num>
  <w:num w:numId="8" w16cid:durableId="745151242">
    <w:abstractNumId w:val="1"/>
  </w:num>
  <w:num w:numId="9" w16cid:durableId="1053892915">
    <w:abstractNumId w:val="10"/>
  </w:num>
  <w:num w:numId="10" w16cid:durableId="1129199864">
    <w:abstractNumId w:val="8"/>
  </w:num>
  <w:num w:numId="11" w16cid:durableId="174610172">
    <w:abstractNumId w:val="4"/>
  </w:num>
  <w:num w:numId="12" w16cid:durableId="1598096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57EA1"/>
    <w:rsid w:val="0028567E"/>
    <w:rsid w:val="002D4BD3"/>
    <w:rsid w:val="0032438A"/>
    <w:rsid w:val="00340AB3"/>
    <w:rsid w:val="00354B0B"/>
    <w:rsid w:val="00363ADD"/>
    <w:rsid w:val="00365AC9"/>
    <w:rsid w:val="004C26E8"/>
    <w:rsid w:val="00565EE6"/>
    <w:rsid w:val="00590930"/>
    <w:rsid w:val="005A0AFF"/>
    <w:rsid w:val="00834232"/>
    <w:rsid w:val="00853867"/>
    <w:rsid w:val="0085576F"/>
    <w:rsid w:val="00886489"/>
    <w:rsid w:val="00932378"/>
    <w:rsid w:val="00A07A0C"/>
    <w:rsid w:val="00A16D02"/>
    <w:rsid w:val="00A5042E"/>
    <w:rsid w:val="00AD5A62"/>
    <w:rsid w:val="00B755AB"/>
    <w:rsid w:val="00BF6B60"/>
    <w:rsid w:val="00C97C88"/>
    <w:rsid w:val="00CE6DF8"/>
    <w:rsid w:val="00DC3C2D"/>
    <w:rsid w:val="00E37900"/>
    <w:rsid w:val="00F33076"/>
    <w:rsid w:val="00F57D58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  <w:style w:type="table" w:customStyle="1" w:styleId="10">
    <w:name w:val="Сетка таблицы1"/>
    <w:basedOn w:val="a1"/>
    <w:next w:val="a5"/>
    <w:uiPriority w:val="39"/>
    <w:rsid w:val="005A0AFF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A0AFF"/>
    <w:pPr>
      <w:spacing w:after="20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6</cp:revision>
  <dcterms:created xsi:type="dcterms:W3CDTF">2025-09-13T16:41:00Z</dcterms:created>
  <dcterms:modified xsi:type="dcterms:W3CDTF">2025-09-28T19:45:00Z</dcterms:modified>
</cp:coreProperties>
</file>