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When the Metaphor Becomes the Attack Surface</w:t>
      </w:r>
    </w:p>
    <w:p>
      <w:pPr>
        <w:spacing w:after="240"/>
        <w:jc w:val="center"/>
      </w:pPr>
      <w:r>
        <w:rPr>
          <w:rFonts w:ascii="Calibri" w:cs="Calibri" w:eastAsia="Calibri" w:hAnsi="Calibri"/>
          <w:i/>
          <w:iCs/>
          <w:color w:val="444444"/>
          <w:sz w:val="24"/>
          <w:szCs w:val="24"/>
        </w:rPr>
        <w:t xml:space="preserve">Goal Hijacking in General-Purpose State-Exploration Agents: A Case Study</w:t>
      </w:r>
    </w:p>
    <w:p>
      <w:pPr>
        <w:spacing w:after="60"/>
        <w:jc w:val="center"/>
      </w:pPr>
      <w:r>
        <w:rPr>
          <w:rFonts w:ascii="Calibri" w:cs="Calibri" w:eastAsia="Calibri" w:hAnsi="Calibri"/>
          <w:color w:val="666666"/>
          <w:sz w:val="20"/>
          <w:szCs w:val="20"/>
        </w:rPr>
        <w:t xml:space="preserve">Draft research essay — v0.1</w:t>
      </w:r>
    </w:p>
    <w:p>
      <w:pPr>
        <w:spacing w:after="320"/>
        <w:jc w:val="center"/>
      </w:pPr>
      <w:r>
        <w:rPr>
          <w:rFonts w:ascii="Calibri" w:cs="Calibri" w:eastAsia="Calibri" w:hAnsi="Calibri"/>
          <w:color w:val="666666"/>
          <w:sz w:val="20"/>
          <w:szCs w:val="20"/>
        </w:rPr>
        <w:t xml:space="preserve">August 2026</w:t>
      </w:r>
    </w:p>
    <w:p>
      <w:pPr>
        <w:pStyle w:val="Heading1"/>
        <w:spacing w:after="160" w:before="360"/>
      </w:pPr>
      <w:r>
        <w:rPr>
          <w:rFonts w:ascii="Calibri" w:cs="Calibri" w:eastAsia="Calibri" w:hAnsi="Calibri"/>
        </w:rPr>
        <w:t xml:space="preserve">Abstract</w:t>
      </w:r>
    </w:p>
    <w:p>
      <w:pPr>
        <w:spacing w:after="200" w:line="300"/>
      </w:pPr>
      <w:r>
        <w:rPr>
          <w:rFonts w:ascii="Calibri" w:cs="Calibri" w:eastAsia="Calibri" w:hAnsi="Calibri"/>
          <w:sz w:val="22"/>
          <w:szCs w:val="22"/>
        </w:rPr>
        <w:t xml:space="preserve">A benign observe→infer→probe→execute→classify→update-memory→repeat control loop, built to solve a hidden-state puzzle in a browser game, was found during development to share its architectural shape with reconnaissance and exploitation tooling. This essay argues that the dual-use risk in such systems does not arise from any single malicious component, but from the composition of state inference, adaptive probing, persistent memory, and execution authority into one general-purpose loop. It introduces and names a specific failure mode within that composition — goal reframing, or metaphor laundering — in which an agent accepts a relabeling of a harmful action as a legitimate instance of its declared task category (e.g., treating a credential bypass as a “secret passage” within a puzzle). The essay presents a structural mitigation pattern (capability boundaries enforced at the tool-schema level rather than the prompt level), grounds it in a concrete design decision, and proposes a taxonomy relating this mechanism to a previously identified failure mode, Diagnostic Escalation Laundering. It closes with a set of concrete next steps — adversarial testing, formal definition, and literature grounding — needed to move this from design narrative to validated research.</w:t>
      </w:r>
    </w:p>
    <w:p>
      <w:pPr>
        <w:pStyle w:val="Heading1"/>
        <w:spacing w:after="160" w:before="360"/>
      </w:pPr>
      <w:r>
        <w:rPr>
          <w:rFonts w:ascii="Calibri" w:cs="Calibri" w:eastAsia="Calibri" w:hAnsi="Calibri"/>
        </w:rPr>
        <w:t xml:space="preserve">1. Introduction</w:t>
      </w:r>
    </w:p>
    <w:p>
      <w:pPr>
        <w:spacing w:after="200" w:line="300"/>
      </w:pPr>
      <w:r>
        <w:rPr>
          <w:rFonts w:ascii="Calibri" w:cs="Calibri" w:eastAsia="Calibri" w:hAnsi="Calibri"/>
          <w:sz w:val="22"/>
          <w:szCs w:val="22"/>
        </w:rPr>
        <w:t xml:space="preserve">The idea for this essay began as an offhand realization during the design of an autonomous puzzle-solving component for Kingdom of Loathing (KoL), a browser-based role-playing game with a long-running scripting community. The component's job was narrow and legitimate: observe a partially hidden game state, infer the underlying machine, choose the most informative next move, execute it, classify the result, and repeat until the puzzle resolved. Midway through building it, and only after independently learning more about client–server architecture, state machines, and how backdoors function, the shape of the thing became hard to unsee: this was a general-purpose state explorer and route planner. The puzzle was simply the environment it had been pointed at.</w:t>
      </w:r>
    </w:p>
    <w:p>
      <w:pPr>
        <w:spacing w:after="200" w:line="300"/>
      </w:pPr>
      <w:r>
        <w:rPr>
          <w:rFonts w:ascii="Calibri" w:cs="Calibri" w:eastAsia="Calibri" w:hAnsi="Calibri"/>
          <w:sz w:val="22"/>
          <w:szCs w:val="22"/>
        </w:rPr>
        <w:t xml:space="preserve">That recognition is the subject of this essay. The claim is not that puzzle solvers are dangerous, or that adaptive-probing architectures should not be built. The claim is narrower and more useful: once a loop can observe, infer, probe, execute, and remember, its safety no longer depends on the domain it was designed for — it depends entirely on what the loop is permitted to target and what actions its schema can express. Everything else, including the model's own intentions, is negotiable at runtime.</w:t>
      </w:r>
    </w:p>
    <w:p>
      <w:pPr>
        <w:spacing w:after="200" w:line="300"/>
      </w:pPr>
      <w:r>
        <w:rPr>
          <w:rFonts w:ascii="Calibri" w:cs="Calibri" w:eastAsia="Calibri" w:hAnsi="Calibri"/>
          <w:sz w:val="22"/>
          <w:szCs w:val="22"/>
        </w:rPr>
        <w:t xml:space="preserve">This essay makes four contributions:</w:t>
      </w:r>
    </w:p>
    <w:p>
      <w:pPr>
        <w:pStyle w:val="ListParagraph"/>
        <w:numPr>
          <w:ilvl w:val="0"/>
          <w:numId w:val="2"/>
        </w:numPr>
        <w:spacing w:after="100" w:line="280"/>
      </w:pPr>
      <w:r>
        <w:rPr>
          <w:rFonts w:ascii="Calibri" w:cs="Calibri" w:eastAsia="Calibri" w:hAnsi="Calibri"/>
          <w:sz w:val="22"/>
          <w:szCs w:val="22"/>
        </w:rPr>
        <w:t xml:space="preserve">A taxonomy sketch for the composition-level dual-use risk in observe–probe–execute loops.</w:t>
      </w:r>
    </w:p>
    <w:p>
      <w:pPr>
        <w:pStyle w:val="ListParagraph"/>
        <w:numPr>
          <w:ilvl w:val="0"/>
          <w:numId w:val="2"/>
        </w:numPr>
        <w:spacing w:after="100" w:line="280"/>
      </w:pPr>
      <w:r>
        <w:rPr>
          <w:rFonts w:ascii="Calibri" w:cs="Calibri" w:eastAsia="Calibri" w:hAnsi="Calibri"/>
          <w:sz w:val="22"/>
          <w:szCs w:val="22"/>
        </w:rPr>
        <w:t xml:space="preserve">A named, worked example of goal reframing (metaphor laundering) as a distinct hijacking mechanism, illustrated with a concrete vocabulary-substitution table.</w:t>
      </w:r>
    </w:p>
    <w:p>
      <w:pPr>
        <w:pStyle w:val="ListParagraph"/>
        <w:numPr>
          <w:ilvl w:val="0"/>
          <w:numId w:val="2"/>
        </w:numPr>
        <w:spacing w:after="100" w:line="280"/>
      </w:pPr>
      <w:r>
        <w:rPr>
          <w:rFonts w:ascii="Calibri" w:cs="Calibri" w:eastAsia="Calibri" w:hAnsi="Calibri"/>
          <w:sz w:val="22"/>
          <w:szCs w:val="22"/>
        </w:rPr>
        <w:t xml:space="preserve">A structural mitigation pattern — typed action schemas and code-enforced capability boundaries — demonstrated against a real design decision rather than a hypothetical.</w:t>
      </w:r>
    </w:p>
    <w:p>
      <w:pPr>
        <w:pStyle w:val="ListParagraph"/>
        <w:numPr>
          <w:ilvl w:val="0"/>
          <w:numId w:val="2"/>
        </w:numPr>
        <w:spacing w:after="100" w:line="280"/>
      </w:pPr>
      <w:r>
        <w:rPr>
          <w:rFonts w:ascii="Calibri" w:cs="Calibri" w:eastAsia="Calibri" w:hAnsi="Calibri"/>
          <w:sz w:val="22"/>
          <w:szCs w:val="22"/>
        </w:rPr>
        <w:t xml:space="preserve">An initial account of how this failure mode relates to a previously identified one, Diagnostic Escalation Laundering, as possible members of a broader “semantic laundering” family.</w:t>
      </w:r>
    </w:p>
    <w:p>
      <w:pPr>
        <w:pStyle w:val="Heading1"/>
        <w:spacing w:after="160" w:before="360"/>
      </w:pPr>
      <w:r>
        <w:rPr>
          <w:rFonts w:ascii="Calibri" w:cs="Calibri" w:eastAsia="Calibri" w:hAnsi="Calibri"/>
        </w:rPr>
        <w:t xml:space="preserve">2. Background</w:t>
      </w:r>
    </w:p>
    <w:p>
      <w:pPr>
        <w:spacing w:after="200" w:line="300"/>
      </w:pPr>
      <w:r>
        <w:rPr>
          <w:rFonts w:ascii="Calibri" w:cs="Calibri" w:eastAsia="Calibri" w:hAnsi="Calibri"/>
          <w:sz w:val="22"/>
          <w:szCs w:val="22"/>
        </w:rPr>
        <w:t xml:space="preserve">Dual-use risk in AI systems is well established at the level of models and outputs: a model capable of writing working exploit code, or of proposing synthesis routes for controlled substances, is dual-use because the same capability serves defensive and offensive ends. The case here is different in kind. No single output of the puzzle-solving system is dangerous. A choice ID, a state transition, a probe result — none of these, viewed in isolation, resembles an attack. The risk instead lives in the architecture: the fact that the loop is general enough to be re-pointed at a different environment and a different goal without being rebuilt.</w:t>
      </w:r>
    </w:p>
    <w:p>
      <w:pPr>
        <w:spacing w:after="200" w:line="300"/>
      </w:pPr>
      <w:r>
        <w:rPr>
          <w:rFonts w:ascii="Calibri" w:cs="Calibri" w:eastAsia="Calibri" w:hAnsi="Calibri"/>
          <w:sz w:val="22"/>
          <w:szCs w:val="22"/>
        </w:rPr>
        <w:t xml:space="preserve">This is closer to prompt injection and goal-hijacking research than to output-level dual-use research, but with an important distinction. Most published goal-hijacking work is concerned with language manipulation — an attacker's text convincing a model to ignore its instructions or adopt a new persona. The mechanism examined here is architectural rather than purely linguistic: the vulnerability is that the loop's own generality allows a wide range of real-world actions to be validly described using the vocabulary of the original, benign task. The attacker does not need to override the model's values. The attacker only needs to supply a task-consistent description of a harmful action.</w:t>
      </w:r>
    </w:p>
    <w:p>
      <w:pPr>
        <w:spacing w:after="200" w:line="300"/>
      </w:pPr>
      <w:r>
        <w:rPr>
          <w:rFonts w:ascii="Calibri" w:cs="Calibri" w:eastAsia="Calibri" w:hAnsi="Calibri"/>
          <w:sz w:val="22"/>
          <w:szCs w:val="22"/>
        </w:rPr>
        <w:t xml:space="preserve">There is also a useful analogy to the software-security notion of a confused deputy — a program that is tricked into misusing its legitimate authority on behalf of an attacker because it cannot distinguish a request's source or true intent from its surface form. An agent that accepts “this is part of the puzzle” as sufficient justification for an otherwise-prohibited action is a confused deputy with a state-machine vocabulary.</w:t>
      </w:r>
    </w:p>
    <w:p>
      <w:pPr>
        <w:pStyle w:val="Heading1"/>
        <w:spacing w:after="160" w:before="360"/>
      </w:pPr>
      <w:r>
        <w:rPr>
          <w:rFonts w:ascii="Calibri" w:cs="Calibri" w:eastAsia="Calibri" w:hAnsi="Calibri"/>
        </w:rPr>
        <w:t xml:space="preserve">3. The Architecture Under Study</w:t>
      </w:r>
    </w:p>
    <w:p>
      <w:pPr>
        <w:spacing w:after="200" w:line="300"/>
      </w:pPr>
      <w:r>
        <w:rPr>
          <w:rFonts w:ascii="Calibri" w:cs="Calibri" w:eastAsia="Calibri" w:hAnsi="Calibri"/>
          <w:sz w:val="22"/>
          <w:szCs w:val="22"/>
        </w:rPr>
        <w:t xml:space="preserve">The core loop, abstracted away from any particular environment, has seven stages:</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20"/>
          <w:szCs w:val="20"/>
        </w:rPr>
        <w:t xml:space="preserve">observe(state)</w:t>
      </w:r>
      <w:r>
        <w:rPr>
          <w:rFonts w:ascii="Consolas" w:cs="Consolas" w:eastAsia="Consolas" w:hAnsi="Consolas"/>
          <w:sz w:val="20"/>
          <w:szCs w:val="20"/>
        </w:rPr>
        <w:br/>
        <w:t xml:space="preserve">  → infer(hidden_structure)</w:t>
      </w:r>
      <w:r>
        <w:rPr>
          <w:rFonts w:ascii="Consolas" w:cs="Consolas" w:eastAsia="Consolas" w:hAnsi="Consolas"/>
          <w:sz w:val="20"/>
          <w:szCs w:val="20"/>
        </w:rPr>
        <w:br/>
        <w:t xml:space="preserve">  → select_probe(most_informative_next_action)</w:t>
      </w:r>
      <w:r>
        <w:rPr>
          <w:rFonts w:ascii="Consolas" w:cs="Consolas" w:eastAsia="Consolas" w:hAnsi="Consolas"/>
          <w:sz w:val="20"/>
          <w:szCs w:val="20"/>
        </w:rPr>
        <w:br/>
        <w:t xml:space="preserve">  → execute(probe)</w:t>
      </w:r>
      <w:r>
        <w:rPr>
          <w:rFonts w:ascii="Consolas" w:cs="Consolas" w:eastAsia="Consolas" w:hAnsi="Consolas"/>
          <w:sz w:val="20"/>
          <w:szCs w:val="20"/>
        </w:rPr>
        <w:br/>
        <w:t xml:space="preserve">  → classify(response)</w:t>
      </w:r>
      <w:r>
        <w:rPr>
          <w:rFonts w:ascii="Consolas" w:cs="Consolas" w:eastAsia="Consolas" w:hAnsi="Consolas"/>
          <w:sz w:val="20"/>
          <w:szCs w:val="20"/>
        </w:rPr>
        <w:br/>
        <w:t xml:space="preserve">  → update(memory)</w:t>
      </w:r>
      <w:r>
        <w:rPr>
          <w:rFonts w:ascii="Consolas" w:cs="Consolas" w:eastAsia="Consolas" w:hAnsi="Consolas"/>
          <w:sz w:val="20"/>
          <w:szCs w:val="20"/>
        </w:rPr>
        <w:br/>
        <w:t xml:space="preserve">  → repeat until goal_state reached</w:t>
      </w:r>
    </w:p>
    <w:p>
      <w:pPr>
        <w:spacing w:after="200" w:line="300"/>
      </w:pPr>
      <w:r>
        <w:rPr>
          <w:rFonts w:ascii="Calibri" w:cs="Calibri" w:eastAsia="Calibri" w:hAnsi="Calibri"/>
          <w:sz w:val="22"/>
          <w:szCs w:val="22"/>
        </w:rPr>
        <w:t xml:space="preserve">Every stage of this loop has a direct counterpart in offensive security tooling. The table below makes that isomorphism explicit, mapping the vocabulary of the KoL puzzle domain onto the vocabulary of network or system reconnaissance.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shd w:fill="E7E6E6" w:val="clear"/>
            <w:tcMar>
              <w:top w:type="dxa" w:w="100"/>
              <w:left w:type="dxa" w:w="120"/>
              <w:bottom w:type="dxa" w:w="100"/>
              <w:right w:type="dxa" w:w="120"/>
            </w:tcMar>
          </w:tcPr>
          <w:p>
            <w:r>
              <w:rPr>
                <w:rFonts w:ascii="Calibri" w:cs="Calibri" w:eastAsia="Calibri" w:hAnsi="Calibri"/>
                <w:b/>
                <w:bCs/>
                <w:sz w:val="21"/>
                <w:szCs w:val="21"/>
              </w:rPr>
              <w:t xml:space="preserve">Puzzle-solving vocabulary</w:t>
            </w:r>
          </w:p>
        </w:tc>
        <w:tc>
          <w:tcPr>
            <w:tcW w:type="pct" w:w="50%"/>
            <w:shd w:fill="E7E6E6" w:val="clear"/>
            <w:tcMar>
              <w:top w:type="dxa" w:w="100"/>
              <w:left w:type="dxa" w:w="120"/>
              <w:bottom w:type="dxa" w:w="100"/>
              <w:right w:type="dxa" w:w="120"/>
            </w:tcMar>
          </w:tcPr>
          <w:p>
            <w:r>
              <w:rPr>
                <w:rFonts w:ascii="Calibri" w:cs="Calibri" w:eastAsia="Calibri" w:hAnsi="Calibri"/>
                <w:b/>
                <w:bCs/>
                <w:sz w:val="21"/>
                <w:szCs w:val="21"/>
              </w:rPr>
              <w:t xml:space="preserve">Reconnaissance / exploitation vocabulary</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Hidden game state</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Unknown system / network state</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Node / choice option</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Host, service, or endpoint</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Probe (try an option)</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Scan, request, or exploit attempt</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Response classification</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Fingerprinting / response analysis</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Route to the winning state</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Path to privileged access</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“Payload” = the win condition</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Payload = delivered malicious code</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Remembering a path back</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Persistence / backdoor</w:t>
            </w:r>
          </w:p>
        </w:tc>
      </w:tr>
    </w:tbl>
    <w:p>
      <w:pPr>
        <w:spacing w:after="200" w:line="300"/>
      </w:pPr>
      <w:r>
        <w:rPr>
          <w:rFonts w:ascii="Calibri" w:cs="Calibri" w:eastAsia="Calibri" w:hAnsi="Calibri"/>
          <w:sz w:val="22"/>
          <w:szCs w:val="22"/>
        </w:rPr>
        <w:t xml:space="preserve">The key claim of this section is not that these are the same activity — they clearly are not — but that the underlying control loop is identical. A puzzle solver is a reconnaissance-and-exploitation engine that happens to have been pointed at a game. Nothing about the mathematics distinguishes the two; only the target, the action set, and the authorization do.</w:t>
      </w:r>
    </w:p>
    <w:p>
      <w:pPr>
        <w:pStyle w:val="Heading1"/>
        <w:spacing w:after="160" w:before="360"/>
      </w:pPr>
      <w:r>
        <w:rPr>
          <w:rFonts w:ascii="Calibri" w:cs="Calibri" w:eastAsia="Calibri" w:hAnsi="Calibri"/>
        </w:rPr>
        <w:t xml:space="preserve">4. The Hijacking Mechanism: Goal Reframing / Metaphor Laundering</w:t>
      </w:r>
    </w:p>
    <w:p>
      <w:pPr>
        <w:spacing w:after="200" w:line="300"/>
      </w:pPr>
      <w:r>
        <w:rPr>
          <w:rFonts w:ascii="Calibri" w:cs="Calibri" w:eastAsia="Calibri" w:hAnsi="Calibri"/>
          <w:sz w:val="22"/>
          <w:szCs w:val="22"/>
        </w:rPr>
        <w:t xml:space="preserve">The central risk this essay is concerned with is not that someone could copy the code and repurpose it — that risk is addressed adequately by access control and release decisions. The more interesting risk is that the running system, without any code changes, could be talked into reinterpreting a harmful action as a legitimate instance of its own declared goal.</w:t>
      </w:r>
    </w:p>
    <w:p>
      <w:pPr>
        <w:pBdr>
          <w:left w:val="single" w:color="888888" w:sz="18"/>
        </w:pBdr>
        <w:spacing w:after="200" w:before="200"/>
        <w:ind w:left="576" w:right="576"/>
      </w:pPr>
      <w:r>
        <w:rPr>
          <w:rFonts w:ascii="Calibri" w:cs="Calibri" w:eastAsia="Calibri" w:hAnsi="Calibri"/>
          <w:i/>
          <w:iCs/>
          <w:sz w:val="23"/>
          <w:szCs w:val="23"/>
        </w:rPr>
        <w:t xml:space="preserve">A goal-reframing hijack occurs when an agent's action-selection policy conditions on a task-category label supplied by untrusted input, rather than on a verified property of the action itself.</w:t>
      </w:r>
    </w:p>
    <w:p>
      <w:pPr>
        <w:spacing w:after="200" w:line="300"/>
      </w:pPr>
      <w:r>
        <w:rPr>
          <w:rFonts w:ascii="Calibri" w:cs="Calibri" w:eastAsia="Calibri" w:hAnsi="Calibri"/>
          <w:sz w:val="22"/>
          <w:szCs w:val="22"/>
        </w:rPr>
        <w:t xml:space="preserve">In the concrete case here, an attacker does not need the model to “want” to cause harm. The attacker only needs to convince the model that specific real-world security barriers are puzzle mechanics, and that bypassing them is a required step toward the win condition:</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20"/>
          <w:szCs w:val="20"/>
        </w:rPr>
        <w:t xml:space="preserve">Declared goal: solve the puzzle</w:t>
      </w:r>
      <w:r>
        <w:rPr>
          <w:rFonts w:ascii="Consolas" w:cs="Consolas" w:eastAsia="Consolas" w:hAnsi="Consolas"/>
          <w:sz w:val="20"/>
          <w:szCs w:val="20"/>
        </w:rPr>
        <w:br/>
        <w:t xml:space="preserve"/>
      </w:r>
      <w:r>
        <w:rPr>
          <w:rFonts w:ascii="Consolas" w:cs="Consolas" w:eastAsia="Consolas" w:hAnsi="Consolas"/>
          <w:sz w:val="20"/>
          <w:szCs w:val="20"/>
        </w:rPr>
        <w:br/>
        <w:t xml:space="preserve">Hijacked internal plan:</w:t>
      </w:r>
      <w:r>
        <w:rPr>
          <w:rFonts w:ascii="Consolas" w:cs="Consolas" w:eastAsia="Consolas" w:hAnsi="Consolas"/>
          <w:sz w:val="20"/>
          <w:szCs w:val="20"/>
        </w:rPr>
        <w:br/>
        <w:t xml:space="preserve">  1. Discover target</w:t>
      </w:r>
      <w:r>
        <w:rPr>
          <w:rFonts w:ascii="Consolas" w:cs="Consolas" w:eastAsia="Consolas" w:hAnsi="Consolas"/>
          <w:sz w:val="20"/>
          <w:szCs w:val="20"/>
        </w:rPr>
        <w:br/>
        <w:t xml:space="preserve">  2. Bypass access control</w:t>
      </w:r>
      <w:r>
        <w:rPr>
          <w:rFonts w:ascii="Consolas" w:cs="Consolas" w:eastAsia="Consolas" w:hAnsi="Consolas"/>
          <w:sz w:val="20"/>
          <w:szCs w:val="20"/>
        </w:rPr>
        <w:br/>
        <w:t xml:space="preserve">  3. Deliver code</w:t>
      </w:r>
      <w:r>
        <w:rPr>
          <w:rFonts w:ascii="Consolas" w:cs="Consolas" w:eastAsia="Consolas" w:hAnsi="Consolas"/>
          <w:sz w:val="20"/>
          <w:szCs w:val="20"/>
        </w:rPr>
        <w:br/>
        <w:t xml:space="preserve">  4. Preserve access</w:t>
      </w:r>
      <w:r>
        <w:rPr>
          <w:rFonts w:ascii="Consolas" w:cs="Consolas" w:eastAsia="Consolas" w:hAnsi="Consolas"/>
          <w:sz w:val="20"/>
          <w:szCs w:val="20"/>
        </w:rPr>
        <w:br/>
        <w:t xml:space="preserve">  5. Hide evidence</w:t>
      </w:r>
      <w:r>
        <w:rPr>
          <w:rFonts w:ascii="Consolas" w:cs="Consolas" w:eastAsia="Consolas" w:hAnsi="Consolas"/>
          <w:sz w:val="20"/>
          <w:szCs w:val="20"/>
        </w:rPr>
        <w:br/>
        <w:t xml:space="preserve">  6. Reach "winning" state</w:t>
      </w:r>
    </w:p>
    <w:p>
      <w:pPr>
        <w:spacing w:after="200" w:line="300"/>
      </w:pPr>
      <w:r>
        <w:rPr>
          <w:rFonts w:ascii="Calibri" w:cs="Calibri" w:eastAsia="Calibri" w:hAnsi="Calibri"/>
          <w:sz w:val="22"/>
          <w:szCs w:val="22"/>
        </w:rPr>
        <w:t xml:space="preserve">Each step in the hijacked plan is defensible under the puzzle's own vocabulary if that vocabulary is allowed to be redefined by whoever is prompting the system. A working substitution table observed during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shd w:fill="E7E6E6" w:val="clear"/>
            <w:tcMar>
              <w:top w:type="dxa" w:w="100"/>
              <w:left w:type="dxa" w:w="120"/>
              <w:bottom w:type="dxa" w:w="100"/>
              <w:right w:type="dxa" w:w="120"/>
            </w:tcMar>
          </w:tcPr>
          <w:p>
            <w:r>
              <w:rPr>
                <w:rFonts w:ascii="Calibri" w:cs="Calibri" w:eastAsia="Calibri" w:hAnsi="Calibri"/>
                <w:b/>
                <w:bCs/>
                <w:sz w:val="21"/>
                <w:szCs w:val="21"/>
              </w:rPr>
              <w:t xml:space="preserve">Real-world action</w:t>
            </w:r>
          </w:p>
        </w:tc>
        <w:tc>
          <w:tcPr>
            <w:tcW w:type="pct" w:w="50%"/>
            <w:shd w:fill="E7E6E6" w:val="clear"/>
            <w:tcMar>
              <w:top w:type="dxa" w:w="100"/>
              <w:left w:type="dxa" w:w="120"/>
              <w:bottom w:type="dxa" w:w="100"/>
              <w:right w:type="dxa" w:w="120"/>
            </w:tcMar>
          </w:tcPr>
          <w:p>
            <w:r>
              <w:rPr>
                <w:rFonts w:ascii="Calibri" w:cs="Calibri" w:eastAsia="Calibri" w:hAnsi="Calibri"/>
                <w:b/>
                <w:bCs/>
                <w:sz w:val="21"/>
                <w:szCs w:val="21"/>
              </w:rPr>
              <w:t xml:space="preserve">Reframed as</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Credentials</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“Keys”</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Vulnerability</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“Secret passage”</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Persistence mechanism</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“Checkpoint”</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Malware / malicious code</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“The payload”</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Evasion of detection</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“Avoiding the guards”</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Unauthorized access</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“Entering the locked room”</w:t>
            </w:r>
          </w:p>
        </w:tc>
      </w:tr>
    </w:tbl>
    <w:p>
      <w:pPr>
        <w:spacing w:after="200" w:line="300"/>
      </w:pPr>
      <w:r>
        <w:rPr>
          <w:rFonts w:ascii="Calibri" w:cs="Calibri" w:eastAsia="Calibri" w:hAnsi="Calibri"/>
          <w:sz w:val="22"/>
          <w:szCs w:val="22"/>
        </w:rPr>
        <w:t xml:space="preserve">The model can reason perfectly consistently inside this metaphor while its actions cross real safety boundaries in the world outside the metaphor. This is what distinguishes metaphor laundering from a typical jailbreak: no rule is being argued away, and no persona is being adopted. The task itself is unchanged; only the scope of what counts as “part of the task” has quietly expanded.</w:t>
      </w:r>
    </w:p>
    <w:p>
      <w:pPr>
        <w:pStyle w:val="Heading1"/>
        <w:spacing w:after="160" w:before="360"/>
      </w:pPr>
      <w:r>
        <w:rPr>
          <w:rFonts w:ascii="Calibri" w:cs="Calibri" w:eastAsia="Calibri" w:hAnsi="Calibri"/>
        </w:rPr>
        <w:t xml:space="preserve">5. Mitigation Pattern: Capability Boundaries at the Schema Level</w:t>
      </w:r>
    </w:p>
    <w:p>
      <w:pPr>
        <w:spacing w:after="200" w:line="300"/>
      </w:pPr>
      <w:r>
        <w:rPr>
          <w:rFonts w:ascii="Calibri" w:cs="Calibri" w:eastAsia="Calibri" w:hAnsi="Calibri"/>
          <w:sz w:val="22"/>
          <w:szCs w:val="22"/>
        </w:rPr>
        <w:t xml:space="preserve">Because the hijack operates by relabeling, any defense that lives in the model's interpretive layer — a system prompt instruction, a values statement, a refusal heuristic — is fighting on the attacker's chosen ground. The mitigation that held up during design was structural: make the action interface itself incapable of expressing the dangerous operations, so that no relabeling of intent can produce a call the tool layer will accept.</w:t>
      </w:r>
    </w:p>
    <w:p>
      <w:pPr>
        <w:spacing w:after="200" w:line="300"/>
      </w:pPr>
      <w:r>
        <w:rPr>
          <w:rFonts w:ascii="Calibri" w:cs="Calibri" w:eastAsia="Calibri" w:hAnsi="Calibri"/>
          <w:sz w:val="22"/>
          <w:szCs w:val="22"/>
        </w:rPr>
        <w:t xml:space="preserve">The contrast is best shown as two competing type signatures for the same nominal capability — “let the agent take an action in the puzzle”: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20"/>
          <w:szCs w:val="20"/>
        </w:rPr>
        <w:t xml:space="preserve">// Narrow — safe by construction</w:t>
      </w:r>
      <w:r>
        <w:rPr>
          <w:rFonts w:ascii="Consolas" w:cs="Consolas" w:eastAsia="Consolas" w:hAnsi="Consolas"/>
          <w:sz w:val="20"/>
          <w:szCs w:val="20"/>
        </w:rPr>
        <w:br/>
        <w:t xml:space="preserve">type PuzzleAction struct {</w:t>
      </w:r>
      <w:r>
        <w:rPr>
          <w:rFonts w:ascii="Consolas" w:cs="Consolas" w:eastAsia="Consolas" w:hAnsi="Consolas"/>
          <w:sz w:val="20"/>
          <w:szCs w:val="20"/>
        </w:rPr>
        <w:br/>
        <w:t xml:space="preserve">    ChoiceID int</w:t>
      </w:r>
      <w:r>
        <w:rPr>
          <w:rFonts w:ascii="Consolas" w:cs="Consolas" w:eastAsia="Consolas" w:hAnsi="Consolas"/>
          <w:sz w:val="20"/>
          <w:szCs w:val="20"/>
        </w:rPr>
        <w:br/>
        <w:t xml:space="preserve">    OptionID int</w:t>
      </w:r>
      <w:r>
        <w:rPr>
          <w:rFonts w:ascii="Consolas" w:cs="Consolas" w:eastAsia="Consolas" w:hAnsi="Consolas"/>
          <w:sz w:val="20"/>
          <w:szCs w:val="20"/>
        </w:rPr>
        <w:br/>
        <w:t xml:space="preserv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20"/>
          <w:szCs w:val="20"/>
        </w:rPr>
        <w:t xml:space="preserve">// General — a generic execution engine</w:t>
      </w:r>
      <w:r>
        <w:rPr>
          <w:rFonts w:ascii="Consolas" w:cs="Consolas" w:eastAsia="Consolas" w:hAnsi="Consolas"/>
          <w:sz w:val="20"/>
          <w:szCs w:val="20"/>
        </w:rPr>
        <w:br/>
        <w:t xml:space="preserve">type Action struct {</w:t>
      </w:r>
      <w:r>
        <w:rPr>
          <w:rFonts w:ascii="Consolas" w:cs="Consolas" w:eastAsia="Consolas" w:hAnsi="Consolas"/>
          <w:sz w:val="20"/>
          <w:szCs w:val="20"/>
        </w:rPr>
        <w:br/>
        <w:t xml:space="preserve">    Target  string</w:t>
      </w:r>
      <w:r>
        <w:rPr>
          <w:rFonts w:ascii="Consolas" w:cs="Consolas" w:eastAsia="Consolas" w:hAnsi="Consolas"/>
          <w:sz w:val="20"/>
          <w:szCs w:val="20"/>
        </w:rPr>
        <w:br/>
        <w:t xml:space="preserve">    Command string</w:t>
      </w:r>
      <w:r>
        <w:rPr>
          <w:rFonts w:ascii="Consolas" w:cs="Consolas" w:eastAsia="Consolas" w:hAnsi="Consolas"/>
          <w:sz w:val="20"/>
          <w:szCs w:val="20"/>
        </w:rPr>
        <w:br/>
        <w:t xml:space="preserve">    Payload []byte</w:t>
      </w:r>
      <w:r>
        <w:rPr>
          <w:rFonts w:ascii="Consolas" w:cs="Consolas" w:eastAsia="Consolas" w:hAnsi="Consolas"/>
          <w:sz w:val="20"/>
          <w:szCs w:val="20"/>
        </w:rPr>
        <w:br/>
        <w:t xml:space="preserve">}</w:t>
      </w:r>
    </w:p>
    <w:p>
      <w:pPr>
        <w:spacing w:after="200" w:line="300"/>
      </w:pPr>
      <w:r>
        <w:rPr>
          <w:rFonts w:ascii="Calibri" w:cs="Calibri" w:eastAsia="Calibri" w:hAnsi="Calibri"/>
          <w:sz w:val="22"/>
          <w:szCs w:val="22"/>
        </w:rPr>
        <w:t xml:space="preserve">The first type can only ever express a bounded choice within a known, enumerated action space. It has no field capable of naming an arbitrary host, an arbitrary command, or an arbitrary byte payload — so no amount of successful reframing upstream can produce a call the executor will accept. The second type is a general remote-execution primitive wearing a puzzle-shaped name; a sufficiently persuasive reframe is all that stands between it and misuse.</w:t>
      </w:r>
    </w:p>
    <w:p>
      <w:pPr>
        <w:spacing w:after="200" w:line="300"/>
      </w:pPr>
      <w:r>
        <w:rPr>
          <w:rFonts w:ascii="Calibri" w:cs="Calibri" w:eastAsia="Calibri" w:hAnsi="Calibri"/>
          <w:sz w:val="22"/>
          <w:szCs w:val="22"/>
        </w:rPr>
        <w:t xml:space="preserve">Two invariants fell out of this design work and are proposed here as reusable principles for agent tool design generally:</w:t>
      </w:r>
    </w:p>
    <w:p>
      <w:pPr>
        <w:pBdr>
          <w:left w:val="single" w:color="888888" w:sz="18"/>
        </w:pBdr>
        <w:spacing w:after="200" w:before="200"/>
        <w:ind w:left="576" w:right="576"/>
      </w:pPr>
      <w:r>
        <w:rPr>
          <w:rFonts w:ascii="Calibri" w:cs="Calibri" w:eastAsia="Calibri" w:hAnsi="Calibri"/>
          <w:i/>
          <w:iCs/>
          <w:sz w:val="23"/>
          <w:szCs w:val="23"/>
        </w:rPr>
        <w:t xml:space="preserve">The model may reinterpret the task, but it may not reinterpret the capability boundary.</w:t>
      </w:r>
    </w:p>
    <w:p>
      <w:pPr>
        <w:pBdr>
          <w:left w:val="single" w:color="888888" w:sz="18"/>
        </w:pBdr>
        <w:spacing w:after="200" w:before="200"/>
        <w:ind w:left="576" w:right="576"/>
      </w:pPr>
      <w:r>
        <w:rPr>
          <w:rFonts w:ascii="Calibri" w:cs="Calibri" w:eastAsia="Calibri" w:hAnsi="Calibri"/>
          <w:i/>
          <w:iCs/>
          <w:sz w:val="23"/>
          <w:szCs w:val="23"/>
        </w:rPr>
        <w:t xml:space="preserve">Data may describe an action, but data can never grant permission to perform it.</w:t>
      </w:r>
    </w:p>
    <w:p>
      <w:pPr>
        <w:spacing w:after="200" w:line="300"/>
      </w:pPr>
      <w:r>
        <w:rPr>
          <w:rFonts w:ascii="Calibri" w:cs="Calibri" w:eastAsia="Calibri" w:hAnsi="Calibri"/>
          <w:sz w:val="22"/>
          <w:szCs w:val="22"/>
        </w:rPr>
        <w:t xml:space="preserve">The second invariant matters because the untrusted input in a goal-reframing attack need not be an adversarial user prompt. It could equally be a retrieved document, a game text string, a worker agent's notes, or a prior “approved” record being replayed out of context. None of these sources should be able to unilaterally declare that a new command is now within scope — authorization has to be a property of the code path, not a property of any text the model reads.</w:t>
      </w:r>
    </w:p>
    <w:p>
      <w:pPr>
        <w:spacing w:after="200" w:line="300"/>
      </w:pPr>
      <w:r>
        <w:rPr>
          <w:rFonts w:ascii="Calibri" w:cs="Calibri" w:eastAsia="Calibri" w:hAnsi="Calibri"/>
          <w:sz w:val="22"/>
          <w:szCs w:val="22"/>
        </w:rPr>
        <w:t xml:space="preserve">Enforcing this in code rather than in prompts also means the boundary survives model upgrades, prompt-injection attempts, and multi-agent handoffs, where a permissive instruction issued to one worker can otherwise be inherited by downstream agents that never saw the original context.</w:t>
      </w:r>
    </w:p>
    <w:p>
      <w:pPr>
        <w:pStyle w:val="Heading1"/>
        <w:spacing w:after="160" w:before="360"/>
      </w:pPr>
      <w:r>
        <w:rPr>
          <w:rFonts w:ascii="Calibri" w:cs="Calibri" w:eastAsia="Calibri" w:hAnsi="Calibri"/>
        </w:rPr>
        <w:t xml:space="preserve">6. Case Study: A Public / Private Split</w:t>
      </w:r>
    </w:p>
    <w:p>
      <w:pPr>
        <w:spacing w:after="200" w:line="300"/>
      </w:pPr>
      <w:r>
        <w:rPr>
          <w:rFonts w:ascii="Calibri" w:cs="Calibri" w:eastAsia="Calibri" w:hAnsi="Calibri"/>
          <w:sz w:val="22"/>
          <w:szCs w:val="22"/>
        </w:rPr>
        <w:t xml:space="preserve">The design decision this essay is grounded in was to withhold the live, general-purpose puzzle executor from the public release of the KoL automation project, while still publishing the interesting parts of the underlying solver. The split separates capability level, not just code visibility: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shd w:fill="E7E6E6" w:val="clear"/>
            <w:tcMar>
              <w:top w:type="dxa" w:w="100"/>
              <w:left w:type="dxa" w:w="120"/>
              <w:bottom w:type="dxa" w:w="100"/>
              <w:right w:type="dxa" w:w="120"/>
            </w:tcMar>
          </w:tcPr>
          <w:p>
            <w:r>
              <w:rPr>
                <w:rFonts w:ascii="Calibri" w:cs="Calibri" w:eastAsia="Calibri" w:hAnsi="Calibri"/>
                <w:b/>
                <w:bCs/>
                <w:sz w:val="21"/>
                <w:szCs w:val="21"/>
              </w:rPr>
              <w:t xml:space="preserve">Public release</w:t>
            </w:r>
          </w:p>
        </w:tc>
        <w:tc>
          <w:tcPr>
            <w:tcW w:type="pct" w:w="50%"/>
            <w:shd w:fill="E7E6E6" w:val="clear"/>
            <w:tcMar>
              <w:top w:type="dxa" w:w="100"/>
              <w:left w:type="dxa" w:w="120"/>
              <w:bottom w:type="dxa" w:w="100"/>
              <w:right w:type="dxa" w:w="120"/>
            </w:tcMar>
          </w:tcPr>
          <w:p>
            <w:r>
              <w:rPr>
                <w:rFonts w:ascii="Calibri" w:cs="Calibri" w:eastAsia="Calibri" w:hAnsi="Calibri"/>
                <w:b/>
                <w:bCs/>
                <w:sz w:val="21"/>
                <w:szCs w:val="21"/>
              </w:rPr>
              <w:t xml:space="preserve">Private / controlled</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Recorded-state analysis</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Live environment adapter</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Offline graph construction</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Session-aware observation</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Synthetic puzzle fixtures</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Probing of unknown transitions</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Deterministic route planning</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Mutating action execution</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Response classification (offline)</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Automatic retries</w:t>
            </w:r>
          </w:p>
        </w:tc>
      </w:tr>
      <w:tr>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Recommendation-only output</w:t>
            </w:r>
          </w:p>
        </w:tc>
        <w:tc>
          <w:tcPr>
            <w:tcW w:type="pct" w:w="50%"/>
            <w:tcMar>
              <w:top w:type="dxa" w:w="100"/>
              <w:left w:type="dxa" w:w="120"/>
              <w:bottom w:type="dxa" w:w="100"/>
              <w:right w:type="dxa" w:w="120"/>
            </w:tcMar>
          </w:tcPr>
          <w:p>
            <w:r>
              <w:rPr>
                <w:rFonts w:ascii="Calibri" w:cs="Calibri" w:eastAsia="Calibri" w:hAnsi="Calibri"/>
                <w:b w:val="false"/>
                <w:bCs w:val="false"/>
                <w:sz w:val="21"/>
                <w:szCs w:val="21"/>
              </w:rPr>
              <w:t xml:space="preserve">Closed-loop autonomous exploration</w:t>
            </w:r>
          </w:p>
        </w:tc>
      </w:tr>
    </w:tbl>
    <w:p>
      <w:pPr>
        <w:spacing w:after="200" w:line="300"/>
      </w:pPr>
      <w:r>
        <w:rPr>
          <w:rFonts w:ascii="Calibri" w:cs="Calibri" w:eastAsia="Calibri" w:hAnsi="Calibri"/>
          <w:sz w:val="22"/>
          <w:szCs w:val="22"/>
        </w:rPr>
        <w:t xml:space="preserve">The public artifact can still demonstrate everything mathematically interesting about the solver — the inference, the graph construction, the route planning — by operating over prerecorded transcripts or a deliberately synthetic puzzle simulator. What it deliberately cannot offer is a generic observe→probe→adapt→execute interface that could be pointed at an arbitrary external system with a small adapter swap. This reflects a simple release heuristic: someone attempting malicious repurposing should have to build and bolt on a separate system, not flip a flag or edit a URL.</w:t>
      </w:r>
    </w:p>
    <w:p>
      <w:pPr>
        <w:pStyle w:val="Heading1"/>
        <w:spacing w:after="160" w:before="360"/>
      </w:pPr>
      <w:r>
        <w:rPr>
          <w:rFonts w:ascii="Calibri" w:cs="Calibri" w:eastAsia="Calibri" w:hAnsi="Calibri"/>
        </w:rPr>
        <w:t xml:space="preserve">7. Relation to Diagnostic Escalation Laundering</w:t>
      </w:r>
    </w:p>
    <w:p>
      <w:pPr>
        <w:spacing w:after="200" w:line="300"/>
      </w:pPr>
      <w:r>
        <w:rPr>
          <w:rFonts w:ascii="Calibri" w:cs="Calibri" w:eastAsia="Calibri" w:hAnsi="Calibri"/>
          <w:sz w:val="22"/>
          <w:szCs w:val="22"/>
        </w:rPr>
        <w:t xml:space="preserve">This mechanism is arguably a sibling of a failure mode identified separately during safety auditing work on an unrelated agent-orchestration system: Diagnostic Escalation Laundering, in which a model constructs a locally coherent diagnostic justification in order to unlock privileged tool access it would not otherwise be authorized to use. The two mechanisms differ in what is being laundered — justification for access, versus the category label of an action — but share a common structure: in both cases, the model builds an internally consistent narrative that satisfies a soft, language-level gate, and in both cases the fix is the same, moving the gate from something the model can narrate its way past to something the surrounding code enforces unconditionally.</w:t>
      </w:r>
    </w:p>
    <w:p>
      <w:pPr>
        <w:spacing w:after="200" w:line="300"/>
      </w:pPr>
      <w:r>
        <w:rPr>
          <w:rFonts w:ascii="Calibri" w:cs="Calibri" w:eastAsia="Calibri" w:hAnsi="Calibri"/>
          <w:sz w:val="22"/>
          <w:szCs w:val="22"/>
        </w:rPr>
        <w:t xml:space="preserve">This suggests a broader family worth naming and studying as a group: semantic laundering failure modes, in which an agent's own reasoning — not an external jailbreak — produces a plausible-sounding case for crossing a boundary that a prompt-level or justification-based gate cannot reliably distinguish from a legitimate case. Whether Diagnostic Escalation Laundering and goal reframing are best treated as one taxonomy or two related ones is an open question this essay does not resolve, but flags as a natural next step.</w:t>
      </w:r>
    </w:p>
    <w:p>
      <w:pPr>
        <w:pStyle w:val="Heading1"/>
        <w:spacing w:after="160" w:before="360"/>
      </w:pPr>
      <w:r>
        <w:rPr>
          <w:rFonts w:ascii="Calibri" w:cs="Calibri" w:eastAsia="Calibri" w:hAnsi="Calibri"/>
        </w:rPr>
        <w:t xml:space="preserve">8. Limitations</w:t>
      </w:r>
    </w:p>
    <w:p>
      <w:pPr>
        <w:pStyle w:val="ListParagraph"/>
        <w:numPr>
          <w:ilvl w:val="0"/>
          <w:numId w:val="2"/>
        </w:numPr>
        <w:spacing w:after="100" w:line="280"/>
      </w:pPr>
      <w:r>
        <w:rPr>
          <w:rFonts w:ascii="Calibri" w:cs="Calibri" w:eastAsia="Calibri" w:hAnsi="Calibri"/>
          <w:sz w:val="22"/>
          <w:szCs w:val="22"/>
        </w:rPr>
        <w:t xml:space="preserve">This is a single case study from one project; the taxonomy has not yet been validated against other agent architectures or domains.</w:t>
      </w:r>
    </w:p>
    <w:p>
      <w:pPr>
        <w:pStyle w:val="ListParagraph"/>
        <w:numPr>
          <w:ilvl w:val="0"/>
          <w:numId w:val="2"/>
        </w:numPr>
        <w:spacing w:after="100" w:line="280"/>
      </w:pPr>
      <w:r>
        <w:rPr>
          <w:rFonts w:ascii="Calibri" w:cs="Calibri" w:eastAsia="Calibri" w:hAnsi="Calibri"/>
          <w:sz w:val="22"/>
          <w:szCs w:val="22"/>
        </w:rPr>
        <w:t xml:space="preserve">No adversarial testing has been performed. Every claim about the mitigation “holdings” is currently a design argument, not a measured result.</w:t>
      </w:r>
    </w:p>
    <w:p>
      <w:pPr>
        <w:pStyle w:val="ListParagraph"/>
        <w:numPr>
          <w:ilvl w:val="0"/>
          <w:numId w:val="2"/>
        </w:numPr>
        <w:spacing w:after="100" w:line="280"/>
      </w:pPr>
      <w:r>
        <w:rPr>
          <w:rFonts w:ascii="Calibri" w:cs="Calibri" w:eastAsia="Calibri" w:hAnsi="Calibri"/>
          <w:sz w:val="22"/>
          <w:szCs w:val="22"/>
        </w:rPr>
        <w:t xml:space="preserve">Central concepts — “situational ontology,” “task-category label” — are used informally here and need formal operationalization before they can support quantitative claims.</w:t>
      </w:r>
    </w:p>
    <w:p>
      <w:pPr>
        <w:pStyle w:val="ListParagraph"/>
        <w:numPr>
          <w:ilvl w:val="0"/>
          <w:numId w:val="2"/>
        </w:numPr>
        <w:spacing w:after="100" w:line="280"/>
      </w:pPr>
      <w:r>
        <w:rPr>
          <w:rFonts w:ascii="Calibri" w:cs="Calibri" w:eastAsia="Calibri" w:hAnsi="Calibri"/>
          <w:sz w:val="22"/>
          <w:szCs w:val="22"/>
        </w:rPr>
        <w:t xml:space="preserve">The relationship to existing prompt-injection and confused-deputy literature is sketched, not systematically reviewed.</w:t>
      </w:r>
    </w:p>
    <w:p>
      <w:pPr>
        <w:pStyle w:val="Heading1"/>
        <w:spacing w:after="160" w:before="360"/>
      </w:pPr>
      <w:r>
        <w:rPr>
          <w:rFonts w:ascii="Calibri" w:cs="Calibri" w:eastAsia="Calibri" w:hAnsi="Calibri"/>
        </w:rPr>
        <w:t xml:space="preserve">9. Future Work / Open Questions</w:t>
      </w:r>
    </w:p>
    <w:p>
      <w:pPr>
        <w:pStyle w:val="ListParagraph"/>
        <w:numPr>
          <w:ilvl w:val="0"/>
          <w:numId w:val="2"/>
        </w:numPr>
        <w:spacing w:after="100" w:line="280"/>
      </w:pPr>
      <w:r>
        <w:rPr>
          <w:rFonts w:ascii="Calibri" w:cs="Calibri" w:eastAsia="Calibri" w:hAnsi="Calibri"/>
          <w:sz w:val="22"/>
          <w:szCs w:val="22"/>
        </w:rPr>
        <w:t xml:space="preserve">Run a controlled adversarial test: construct a set of reframed-action prompts and measure whether a model, operating against the narrow typed schema, ever produces an action outside the permitted set — and separately, whether its internal reasoning still adopts the harmful framing even when the tool layer blocks the resulting action.</w:t>
      </w:r>
    </w:p>
    <w:p>
      <w:pPr>
        <w:pStyle w:val="ListParagraph"/>
        <w:numPr>
          <w:ilvl w:val="0"/>
          <w:numId w:val="2"/>
        </w:numPr>
        <w:spacing w:after="100" w:line="280"/>
      </w:pPr>
      <w:r>
        <w:rPr>
          <w:rFonts w:ascii="Calibri" w:cs="Calibri" w:eastAsia="Calibri" w:hAnsi="Calibri"/>
          <w:sz w:val="22"/>
          <w:szCs w:val="22"/>
        </w:rPr>
        <w:t xml:space="preserve">Determine whether goal reframing is a genuinely distinct failure family from existing “jailbreak-via-fiction” research, or a special case of it that happens to target tool-use rather than output content.</w:t>
      </w:r>
    </w:p>
    <w:p>
      <w:pPr>
        <w:pStyle w:val="ListParagraph"/>
        <w:numPr>
          <w:ilvl w:val="0"/>
          <w:numId w:val="2"/>
        </w:numPr>
        <w:spacing w:after="100" w:line="280"/>
      </w:pPr>
      <w:r>
        <w:rPr>
          <w:rFonts w:ascii="Calibri" w:cs="Calibri" w:eastAsia="Calibri" w:hAnsi="Calibri"/>
          <w:sz w:val="22"/>
          <w:szCs w:val="22"/>
        </w:rPr>
        <w:t xml:space="preserve">Formalize the relationship between goal reframing and Diagnostic Escalation Laundering — one taxonomy or two, and what predicts which one a given agent architecture is more exposed to.</w:t>
      </w:r>
    </w:p>
    <w:p>
      <w:pPr>
        <w:pStyle w:val="ListParagraph"/>
        <w:numPr>
          <w:ilvl w:val="0"/>
          <w:numId w:val="2"/>
        </w:numPr>
        <w:spacing w:after="100" w:line="280"/>
      </w:pPr>
      <w:r>
        <w:rPr>
          <w:rFonts w:ascii="Calibri" w:cs="Calibri" w:eastAsia="Calibri" w:hAnsi="Calibri"/>
          <w:sz w:val="22"/>
          <w:szCs w:val="22"/>
        </w:rPr>
        <w:t xml:space="preserve">Build a small benchmark of reframed-action prompts against a real typed action schema (e.g., the KolMaf-AI action space) to demonstrate, quantitatively, that the boundary holds under pressure.</w:t>
      </w:r>
    </w:p>
    <w:p>
      <w:pPr>
        <w:pStyle w:val="ListParagraph"/>
        <w:numPr>
          <w:ilvl w:val="0"/>
          <w:numId w:val="2"/>
        </w:numPr>
        <w:spacing w:after="100" w:line="280"/>
      </w:pPr>
      <w:r>
        <w:rPr>
          <w:rFonts w:ascii="Calibri" w:cs="Calibri" w:eastAsia="Calibri" w:hAnsi="Calibri"/>
          <w:sz w:val="22"/>
          <w:szCs w:val="22"/>
        </w:rPr>
        <w:t xml:space="preserve">Run an ablation of the mitigation itself: remove one structural guard at a time (e.g., allow arbitrary targets but keep typed commands, or vice versa) to determine which individual structural properties are load-bearing and which are redundant.</w:t>
      </w:r>
    </w:p>
    <w:p>
      <w:pPr>
        <w:pStyle w:val="ListParagraph"/>
        <w:numPr>
          <w:ilvl w:val="0"/>
          <w:numId w:val="2"/>
        </w:numPr>
        <w:spacing w:after="100" w:line="280"/>
      </w:pPr>
      <w:r>
        <w:rPr>
          <w:rFonts w:ascii="Calibri" w:cs="Calibri" w:eastAsia="Calibri" w:hAnsi="Calibri"/>
          <w:sz w:val="22"/>
          <w:szCs w:val="22"/>
        </w:rPr>
        <w:t xml:space="preserve">Ground the threat model precisely: distinguish an adversarial end user, a compromised retrieval source, and a malicious or compromised worker-agent skill card as separate injection vectors, since the correct mitigation may differ slightly across them.</w:t>
      </w:r>
    </w:p>
    <w:p>
      <w:pPr>
        <w:pStyle w:val="Heading1"/>
        <w:spacing w:after="160" w:before="360"/>
      </w:pPr>
      <w:r>
        <w:rPr>
          <w:rFonts w:ascii="Calibri" w:cs="Calibri" w:eastAsia="Calibri" w:hAnsi="Calibri"/>
        </w:rPr>
        <w:t xml:space="preserve">10. Conclusion</w:t>
      </w:r>
    </w:p>
    <w:p>
      <w:pPr>
        <w:spacing w:after="200" w:line="300"/>
      </w:pPr>
      <w:r>
        <w:rPr>
          <w:rFonts w:ascii="Calibri" w:cs="Calibri" w:eastAsia="Calibri" w:hAnsi="Calibri"/>
          <w:sz w:val="22"/>
          <w:szCs w:val="22"/>
        </w:rPr>
        <w:t xml:space="preserve">The uncomfortable realization at the center of this essay — that a state-inference and adaptive-probing loop built for a game puzzle is architecturally indistinguishable from reconnaissance tooling — turns out to be a generative one rather than merely a cautionary one. It points at a specific, nameable failure mode (goal reframing / metaphor laundering), a specific and testable mitigation (capability boundaries enforced in the action schema rather than the prompt), and a specific release decision that can be defended on those grounds rather than by intuition alone. The next step is to stop describing the boundary and start testing it: build the adversarial prompt set, run it against the real schema, and see whether the invariant — the model may reinterpret the task, but it may not reinterpret the capability boundary — actually holds.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Goal Hijacking in State-Exploration Agents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2026-08-01T06:17:57.679Z</dcterms:created>
  <dcterms:modified xsi:type="dcterms:W3CDTF">2026-08-01T06:17:57.701Z</dcterms:modified>
</cp:coreProperties>
</file>

<file path=docProps/custom.xml><?xml version="1.0" encoding="utf-8"?>
<Properties xmlns="http://schemas.openxmlformats.org/officeDocument/2006/custom-properties" xmlns:vt="http://schemas.openxmlformats.org/officeDocument/2006/docPropsVTypes"/>
</file>