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333" w:type="dxa"/>
        <w:jc w:val="center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double" w:sz="4" w:space="0" w:color="auto"/>
          <w:insideV w:val="double" w:sz="4" w:space="0" w:color="auto"/>
        </w:tblBorders>
        <w:tblLook w:val="04A0" w:firstRow="1" w:lastRow="0" w:firstColumn="1" w:lastColumn="0" w:noHBand="0" w:noVBand="1"/>
      </w:tblPr>
      <w:tblGrid>
        <w:gridCol w:w="1433"/>
        <w:gridCol w:w="8900"/>
      </w:tblGrid>
      <w:tr w:rsidR="00D42AC5" w:rsidRPr="003E08D9" w14:paraId="274651B3" w14:textId="77777777" w:rsidTr="00023589">
        <w:trPr>
          <w:trHeight w:val="458"/>
          <w:jc w:val="center"/>
        </w:trPr>
        <w:tc>
          <w:tcPr>
            <w:tcW w:w="1433" w:type="dxa"/>
            <w:shd w:val="clear" w:color="auto" w:fill="CCC0D9" w:themeFill="accent4" w:themeFillTint="66"/>
            <w:vAlign w:val="center"/>
          </w:tcPr>
          <w:p w14:paraId="1F0A4FF1" w14:textId="77777777" w:rsidR="00D42AC5" w:rsidRPr="00E5273A" w:rsidRDefault="00D42AC5" w:rsidP="00D42AC5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3E08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Date</w:t>
            </w:r>
          </w:p>
        </w:tc>
        <w:tc>
          <w:tcPr>
            <w:tcW w:w="8900" w:type="dxa"/>
            <w:shd w:val="clear" w:color="auto" w:fill="CCC0D9" w:themeFill="accent4" w:themeFillTint="66"/>
            <w:vAlign w:val="center"/>
          </w:tcPr>
          <w:p w14:paraId="69A98453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E08D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Subject</w:t>
            </w:r>
          </w:p>
        </w:tc>
      </w:tr>
      <w:tr w:rsidR="00D42AC5" w:rsidRPr="003E08D9" w14:paraId="519B5F1C" w14:textId="77777777" w:rsidTr="00D42AC5">
        <w:trPr>
          <w:trHeight w:val="262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14:paraId="4FB908EF" w14:textId="77777777" w:rsidR="00D42AC5" w:rsidRPr="00E5273A" w:rsidRDefault="00D42AC5" w:rsidP="000A7F29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1</w:t>
            </w:r>
          </w:p>
          <w:p w14:paraId="0898888D" w14:textId="77777777" w:rsidR="00D42AC5" w:rsidRPr="003E08D9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14:paraId="5EBB46E3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IASB  and the regulatory framework</w:t>
            </w:r>
          </w:p>
        </w:tc>
      </w:tr>
      <w:tr w:rsidR="00D42AC5" w:rsidRPr="003E08D9" w14:paraId="09EF4C06" w14:textId="77777777" w:rsidTr="00D42AC5">
        <w:trPr>
          <w:trHeight w:val="289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509C9D8C" w14:textId="77777777" w:rsidR="00D42AC5" w:rsidRDefault="00D42AC5" w:rsidP="000A7F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2354DEAD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conceptual framework</w:t>
            </w:r>
          </w:p>
        </w:tc>
      </w:tr>
      <w:tr w:rsidR="00D42AC5" w:rsidRPr="003E08D9" w14:paraId="35980D81" w14:textId="77777777" w:rsidTr="00D42AC5">
        <w:trPr>
          <w:trHeight w:val="408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3C4425FF" w14:textId="77777777" w:rsidR="00D42AC5" w:rsidRDefault="00D42AC5" w:rsidP="000A7F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1D727ABC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Presentation of published financial statements</w:t>
            </w:r>
            <w:r w:rsidR="007358CB">
              <w:rPr>
                <w:rFonts w:ascii="Times New Roman" w:hAnsi="Times New Roman" w:cs="Times New Roman"/>
                <w:sz w:val="24"/>
                <w:szCs w:val="24"/>
              </w:rPr>
              <w:t xml:space="preserve"> - provisions , contingent </w:t>
            </w:r>
            <w:r w:rsidR="007358CB" w:rsidRPr="00733F3E">
              <w:rPr>
                <w:rFonts w:ascii="Times New Roman" w:hAnsi="Times New Roman" w:cs="Times New Roman"/>
                <w:sz w:val="24"/>
                <w:szCs w:val="24"/>
              </w:rPr>
              <w:t>assets and liabilities</w:t>
            </w:r>
          </w:p>
          <w:p w14:paraId="4BDB42A2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1</w:t>
            </w:r>
            <w:r w:rsidR="007358CB">
              <w:rPr>
                <w:rFonts w:ascii="Times New Roman" w:hAnsi="Times New Roman" w:cs="Times New Roman"/>
                <w:sz w:val="24"/>
                <w:szCs w:val="24"/>
              </w:rPr>
              <w:t xml:space="preserve"> + </w:t>
            </w:r>
            <w:r w:rsidR="007358CB" w:rsidRPr="00733F3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37</w:t>
            </w:r>
          </w:p>
        </w:tc>
      </w:tr>
      <w:tr w:rsidR="00D42AC5" w:rsidRPr="003E08D9" w14:paraId="3E6BE55F" w14:textId="77777777" w:rsidTr="00D42AC5">
        <w:trPr>
          <w:trHeight w:val="107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254AE0BC" w14:textId="77777777" w:rsidR="00D42AC5" w:rsidRPr="00677E9F" w:rsidRDefault="00D42AC5" w:rsidP="000A7F29">
            <w:pPr>
              <w:spacing w:line="36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</w:tcPr>
          <w:p w14:paraId="449C6217" w14:textId="77777777" w:rsidR="00D42AC5" w:rsidRPr="00677E9F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14:paraId="6FE6C931" w14:textId="77777777" w:rsidTr="00D42AC5">
        <w:trPr>
          <w:trHeight w:val="561"/>
          <w:jc w:val="center"/>
        </w:trPr>
        <w:tc>
          <w:tcPr>
            <w:tcW w:w="1433" w:type="dxa"/>
            <w:shd w:val="clear" w:color="auto" w:fill="CCC0D9" w:themeFill="accent4" w:themeFillTint="66"/>
            <w:vAlign w:val="center"/>
          </w:tcPr>
          <w:p w14:paraId="4C4B3F42" w14:textId="77777777" w:rsidR="00D42AC5" w:rsidRPr="00E5273A" w:rsidRDefault="00D42AC5" w:rsidP="000A7F29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2</w:t>
            </w:r>
          </w:p>
          <w:p w14:paraId="7DC6A755" w14:textId="77777777" w:rsidR="00D42AC5" w:rsidRPr="003E08D9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  <w:vAlign w:val="center"/>
          </w:tcPr>
          <w:p w14:paraId="490E5859" w14:textId="77777777" w:rsidR="00254BC5" w:rsidRDefault="00D42AC5" w:rsidP="00254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Property , plant and equipment</w:t>
            </w:r>
            <w:r w:rsidR="00254BC5">
              <w:rPr>
                <w:rFonts w:ascii="Times New Roman" w:hAnsi="Times New Roman" w:cs="Times New Roman"/>
                <w:sz w:val="24"/>
                <w:szCs w:val="24"/>
              </w:rPr>
              <w:t xml:space="preserve"> - A</w:t>
            </w:r>
            <w:r w:rsidR="00254BC5" w:rsidRPr="00254BC5">
              <w:rPr>
                <w:rFonts w:ascii="Times New Roman" w:hAnsi="Times New Roman" w:cs="Times New Roman"/>
                <w:sz w:val="24"/>
                <w:szCs w:val="24"/>
              </w:rPr>
              <w:t>ccounting for Government Grants and Disclosure of Government Assistance</w:t>
            </w:r>
            <w:r w:rsidR="00254BC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254BC5" w:rsidRPr="00254BC5">
              <w:rPr>
                <w:rFonts w:ascii="Times New Roman" w:hAnsi="Times New Roman" w:cs="Times New Roman"/>
                <w:sz w:val="24"/>
                <w:szCs w:val="24"/>
              </w:rPr>
              <w:t>Borrowing Costs</w:t>
            </w:r>
            <w:r w:rsidR="00254BC5">
              <w:rPr>
                <w:rFonts w:ascii="Times New Roman" w:hAnsi="Times New Roman" w:cs="Times New Roman"/>
                <w:sz w:val="24"/>
                <w:szCs w:val="24"/>
              </w:rPr>
              <w:t xml:space="preserve"> - </w:t>
            </w:r>
            <w:r w:rsidR="00254BC5" w:rsidRPr="00254BC5">
              <w:rPr>
                <w:rFonts w:ascii="Times New Roman" w:hAnsi="Times New Roman" w:cs="Times New Roman"/>
                <w:sz w:val="24"/>
                <w:szCs w:val="24"/>
              </w:rPr>
              <w:t>Investment Property</w:t>
            </w:r>
          </w:p>
          <w:p w14:paraId="46601A89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16 + 20 + 23 + 40</w:t>
            </w:r>
          </w:p>
        </w:tc>
      </w:tr>
      <w:tr w:rsidR="00D42AC5" w:rsidRPr="003E08D9" w14:paraId="4A289155" w14:textId="77777777" w:rsidTr="00D42AC5">
        <w:trPr>
          <w:trHeight w:val="181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03C14B53" w14:textId="77777777" w:rsidR="00D42AC5" w:rsidRPr="00DF1343" w:rsidRDefault="00D42AC5" w:rsidP="000A7F29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14:paraId="29735FA2" w14:textId="77777777"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14:paraId="46A173CA" w14:textId="77777777" w:rsidTr="00D42AC5">
        <w:trPr>
          <w:trHeight w:val="652"/>
          <w:jc w:val="center"/>
        </w:trPr>
        <w:tc>
          <w:tcPr>
            <w:tcW w:w="1433" w:type="dxa"/>
            <w:shd w:val="clear" w:color="auto" w:fill="CCC0D9" w:themeFill="accent4" w:themeFillTint="66"/>
            <w:vAlign w:val="center"/>
          </w:tcPr>
          <w:p w14:paraId="115C4EA9" w14:textId="77777777" w:rsidR="00D42AC5" w:rsidRPr="00E5273A" w:rsidRDefault="00D42AC5" w:rsidP="000A7F29">
            <w:pPr>
              <w:jc w:val="center"/>
              <w:rPr>
                <w:rFonts w:ascii="Verdana" w:hAnsi="Verdana" w:cs="Times New Roman"/>
                <w:sz w:val="36"/>
                <w:szCs w:val="36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3</w:t>
            </w:r>
          </w:p>
          <w:p w14:paraId="1D4268A3" w14:textId="77777777" w:rsidR="00D42AC5" w:rsidRPr="003E08D9" w:rsidRDefault="00023589" w:rsidP="00281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27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  <w:vAlign w:val="center"/>
          </w:tcPr>
          <w:p w14:paraId="17B4F462" w14:textId="77777777" w:rsidR="00D42AC5" w:rsidRPr="00733F3E" w:rsidRDefault="00254BC5" w:rsidP="00735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254BC5">
              <w:rPr>
                <w:rFonts w:ascii="Times New Roman" w:hAnsi="Times New Roman" w:cs="Times New Roman"/>
                <w:sz w:val="24"/>
                <w:szCs w:val="24"/>
              </w:rPr>
              <w:t>Revenue from contracts with customers</w:t>
            </w:r>
            <w:r w:rsidR="00A847F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7358CB">
              <w:rPr>
                <w:rFonts w:ascii="Times New Roman" w:hAnsi="Times New Roman" w:cs="Times New Roman"/>
                <w:sz w:val="24"/>
                <w:szCs w:val="24"/>
              </w:rPr>
              <w:t>- Earnings per share</w:t>
            </w:r>
          </w:p>
          <w:p w14:paraId="14100BCD" w14:textId="77777777" w:rsidR="00D42AC5" w:rsidRPr="003E08D9" w:rsidRDefault="007358CB" w:rsidP="00735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15 + IAS 33</w:t>
            </w:r>
          </w:p>
        </w:tc>
      </w:tr>
      <w:tr w:rsidR="00D42AC5" w:rsidRPr="003E08D9" w14:paraId="62582245" w14:textId="77777777" w:rsidTr="00D42AC5">
        <w:trPr>
          <w:trHeight w:val="181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3AE3EEB0" w14:textId="77777777" w:rsidR="00D42AC5" w:rsidRPr="00DF1343" w:rsidRDefault="00D42AC5" w:rsidP="000A7F29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14:paraId="5548BBC4" w14:textId="77777777"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14:paraId="6218FB64" w14:textId="77777777" w:rsidTr="00D42AC5">
        <w:trPr>
          <w:trHeight w:val="544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14:paraId="6A27A9A0" w14:textId="77777777" w:rsidR="00D42AC5" w:rsidRPr="00E5273A" w:rsidRDefault="00D42AC5" w:rsidP="000A7F29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4</w:t>
            </w:r>
          </w:p>
          <w:p w14:paraId="0EA342EF" w14:textId="77777777" w:rsidR="00D42AC5" w:rsidRPr="003E08D9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14:paraId="284B7C34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Inventories - Foreign currency translation</w:t>
            </w:r>
          </w:p>
          <w:p w14:paraId="72E8A543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2 + 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21</w:t>
            </w:r>
          </w:p>
        </w:tc>
      </w:tr>
      <w:tr w:rsidR="00D42AC5" w:rsidRPr="003E08D9" w14:paraId="78D939A4" w14:textId="77777777" w:rsidTr="00D42AC5">
        <w:trPr>
          <w:trHeight w:val="552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73711580" w14:textId="77777777" w:rsidR="00D42AC5" w:rsidRDefault="00D42AC5" w:rsidP="000A7F2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5452B819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Impairment of assets</w:t>
            </w:r>
          </w:p>
          <w:p w14:paraId="046D86CE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36</w:t>
            </w:r>
          </w:p>
        </w:tc>
      </w:tr>
      <w:tr w:rsidR="00D42AC5" w:rsidRPr="003E08D9" w14:paraId="0914FAFE" w14:textId="77777777" w:rsidTr="00D42AC5">
        <w:trPr>
          <w:trHeight w:val="153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40853A3F" w14:textId="77777777" w:rsidR="00D42AC5" w:rsidRPr="00DF1343" w:rsidRDefault="00D42AC5" w:rsidP="000A7F29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14:paraId="52184B7E" w14:textId="77777777"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14:paraId="4B8892E2" w14:textId="77777777" w:rsidTr="00D42AC5">
        <w:trPr>
          <w:trHeight w:val="580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14:paraId="04ED8A10" w14:textId="77777777"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5</w:t>
            </w:r>
          </w:p>
          <w:p w14:paraId="27D64C99" w14:textId="77777777" w:rsidR="00D42AC5" w:rsidRPr="003E08D9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14:paraId="634559AE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Intangible assets and goodwill</w:t>
            </w:r>
          </w:p>
          <w:p w14:paraId="768E48B7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38</w:t>
            </w:r>
          </w:p>
        </w:tc>
      </w:tr>
      <w:tr w:rsidR="00D42AC5" w:rsidRPr="003E08D9" w14:paraId="784039FD" w14:textId="77777777" w:rsidTr="00D42AC5">
        <w:trPr>
          <w:trHeight w:val="443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5177D26D" w14:textId="77777777"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7CD06FC4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Reporting financial performance and </w:t>
            </w:r>
            <w:r w:rsidRPr="00FE2728">
              <w:rPr>
                <w:rFonts w:ascii="Times New Roman" w:hAnsi="Times New Roman" w:cs="Times New Roman"/>
                <w:sz w:val="24"/>
                <w:szCs w:val="24"/>
              </w:rPr>
              <w:t>assets held for sale</w:t>
            </w:r>
          </w:p>
          <w:p w14:paraId="635CC00A" w14:textId="77777777" w:rsidR="00D42AC5" w:rsidRPr="009472F4" w:rsidRDefault="00D42AC5" w:rsidP="00D42A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8 + 10 +IFRS 5</w:t>
            </w:r>
          </w:p>
        </w:tc>
      </w:tr>
      <w:tr w:rsidR="00D42AC5" w:rsidRPr="003E08D9" w14:paraId="056F3AF8" w14:textId="77777777" w:rsidTr="00D42AC5">
        <w:trPr>
          <w:trHeight w:val="166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52FD9080" w14:textId="77777777" w:rsidR="00D42AC5" w:rsidRPr="00DF1343" w:rsidRDefault="00D42AC5" w:rsidP="008F58BE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14:paraId="649D666C" w14:textId="77777777"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14:paraId="736775C7" w14:textId="77777777" w:rsidTr="00D42AC5">
        <w:trPr>
          <w:trHeight w:val="628"/>
          <w:jc w:val="center"/>
        </w:trPr>
        <w:tc>
          <w:tcPr>
            <w:tcW w:w="1433" w:type="dxa"/>
            <w:shd w:val="clear" w:color="auto" w:fill="CCC0D9" w:themeFill="accent4" w:themeFillTint="66"/>
            <w:vAlign w:val="center"/>
          </w:tcPr>
          <w:p w14:paraId="1735E7A1" w14:textId="77777777"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6</w:t>
            </w:r>
          </w:p>
          <w:p w14:paraId="0A03D36C" w14:textId="77777777" w:rsidR="00D42AC5" w:rsidRPr="003E08D9" w:rsidRDefault="00023589" w:rsidP="00023589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17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  <w:vAlign w:val="center"/>
          </w:tcPr>
          <w:p w14:paraId="4FD29819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Financial instruments and Fair value standard</w:t>
            </w:r>
          </w:p>
          <w:p w14:paraId="5D21C3F5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IAS32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7 + 9 + 13</w:t>
            </w:r>
          </w:p>
        </w:tc>
      </w:tr>
      <w:tr w:rsidR="00D42AC5" w:rsidRPr="003E08D9" w14:paraId="7CCD4888" w14:textId="77777777" w:rsidTr="00D42AC5">
        <w:trPr>
          <w:trHeight w:val="153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631E4316" w14:textId="77777777" w:rsidR="00D42AC5" w:rsidRPr="00DF1343" w:rsidRDefault="00D42AC5" w:rsidP="008F58BE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14:paraId="1B007D22" w14:textId="77777777"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14:paraId="3A9499F1" w14:textId="77777777" w:rsidTr="00D42AC5">
        <w:trPr>
          <w:trHeight w:val="658"/>
          <w:jc w:val="center"/>
        </w:trPr>
        <w:tc>
          <w:tcPr>
            <w:tcW w:w="1433" w:type="dxa"/>
            <w:shd w:val="clear" w:color="auto" w:fill="CCC0D9" w:themeFill="accent4" w:themeFillTint="66"/>
            <w:vAlign w:val="center"/>
          </w:tcPr>
          <w:p w14:paraId="6A6478AC" w14:textId="77777777"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7</w:t>
            </w:r>
          </w:p>
          <w:p w14:paraId="2B7654A6" w14:textId="77777777" w:rsidR="00D42AC5" w:rsidRPr="003E08D9" w:rsidRDefault="00023589" w:rsidP="00281241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24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  <w:vAlign w:val="center"/>
          </w:tcPr>
          <w:p w14:paraId="759A28F0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Financial instruments and Fair value standard</w:t>
            </w:r>
          </w:p>
          <w:p w14:paraId="362167B7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IAS32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+ 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7 + 9 + 13</w:t>
            </w:r>
          </w:p>
        </w:tc>
      </w:tr>
      <w:tr w:rsidR="00D42AC5" w:rsidRPr="003E08D9" w14:paraId="1F310304" w14:textId="77777777" w:rsidTr="00D42AC5">
        <w:trPr>
          <w:trHeight w:val="171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71E290CF" w14:textId="77777777" w:rsidR="00D42AC5" w:rsidRPr="00DF1343" w:rsidRDefault="00D42AC5" w:rsidP="008F58BE">
            <w:pPr>
              <w:jc w:val="center"/>
              <w:rPr>
                <w:rFonts w:ascii="Verdana" w:hAnsi="Verdana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14:paraId="1BDA425F" w14:textId="77777777" w:rsidR="00D42AC5" w:rsidRPr="00DF134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14:paraId="65DBAAFA" w14:textId="77777777" w:rsidTr="00D42AC5">
        <w:trPr>
          <w:trHeight w:val="507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14:paraId="364D7563" w14:textId="77777777" w:rsidR="00D42AC5" w:rsidRDefault="00D42AC5" w:rsidP="008F58B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8</w:t>
            </w:r>
          </w:p>
          <w:p w14:paraId="549D3500" w14:textId="77777777" w:rsidR="00D42AC5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14:paraId="2E071944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Constitution of a group</w:t>
            </w:r>
          </w:p>
          <w:p w14:paraId="61611E7E" w14:textId="77777777" w:rsidR="00D42AC5" w:rsidRPr="003E08D9" w:rsidRDefault="00D42AC5" w:rsidP="00D42AC5">
            <w:pPr>
              <w:tabs>
                <w:tab w:val="left" w:pos="2325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10</w:t>
            </w:r>
          </w:p>
        </w:tc>
      </w:tr>
      <w:tr w:rsidR="00D42AC5" w:rsidRPr="003E08D9" w14:paraId="1D529413" w14:textId="77777777" w:rsidTr="00D42AC5">
        <w:trPr>
          <w:trHeight w:val="544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373B258B" w14:textId="77777777"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731C0E79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consolidated statement of financial position</w:t>
            </w:r>
          </w:p>
          <w:p w14:paraId="16643504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10</w:t>
            </w:r>
          </w:p>
        </w:tc>
      </w:tr>
      <w:tr w:rsidR="00D42AC5" w:rsidRPr="003E08D9" w14:paraId="6C19EC42" w14:textId="77777777" w:rsidTr="00D42AC5">
        <w:trPr>
          <w:trHeight w:val="544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04076A88" w14:textId="77777777"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2B8E9DC7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consolidated statement of profit or loss and other comprehensive income</w:t>
            </w:r>
          </w:p>
          <w:p w14:paraId="1947A1E1" w14:textId="77777777" w:rsidR="00D42AC5" w:rsidRPr="003E08D9" w:rsidRDefault="00D42AC5" w:rsidP="00D42AC5">
            <w:pPr>
              <w:tabs>
                <w:tab w:val="left" w:pos="513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IFRS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42AC5" w:rsidRPr="003E08D9" w14:paraId="7E3672AC" w14:textId="77777777" w:rsidTr="00D42AC5">
        <w:trPr>
          <w:trHeight w:val="544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398990AB" w14:textId="77777777"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6D7FD127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Accounting for associates and </w:t>
            </w:r>
            <w:r w:rsidRPr="00FE2728">
              <w:rPr>
                <w:rFonts w:ascii="Times New Roman" w:hAnsi="Times New Roman" w:cs="Times New Roman"/>
                <w:sz w:val="24"/>
                <w:szCs w:val="24"/>
              </w:rPr>
              <w:t>joint ventures</w:t>
            </w:r>
          </w:p>
          <w:p w14:paraId="5B87A79F" w14:textId="77777777" w:rsidR="00D42AC5" w:rsidRPr="003E08D9" w:rsidRDefault="00D42AC5" w:rsidP="00D42AC5">
            <w:pPr>
              <w:tabs>
                <w:tab w:val="left" w:pos="2550"/>
              </w:tabs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28+ IFRS 3</w:t>
            </w:r>
          </w:p>
        </w:tc>
      </w:tr>
      <w:tr w:rsidR="00D42AC5" w:rsidRPr="003E08D9" w14:paraId="37CA329E" w14:textId="77777777" w:rsidTr="00D42AC5">
        <w:trPr>
          <w:trHeight w:val="612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09DA309E" w14:textId="77777777"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1287C1E4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for joint arrangements</w:t>
            </w:r>
          </w:p>
          <w:p w14:paraId="7D260CE9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+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IFRS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D42AC5" w:rsidRPr="003E08D9" w14:paraId="791EF8FB" w14:textId="77777777" w:rsidTr="00D42AC5">
        <w:trPr>
          <w:trHeight w:val="235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6304A77F" w14:textId="77777777" w:rsidR="00D42AC5" w:rsidRPr="0026628F" w:rsidRDefault="00D42AC5" w:rsidP="008F58BE">
            <w:pPr>
              <w:spacing w:line="360" w:lineRule="auto"/>
              <w:jc w:val="center"/>
              <w:rPr>
                <w:rFonts w:ascii="Verdana" w:hAnsi="Verdana" w:cs="Times New Roman"/>
                <w:sz w:val="4"/>
                <w:szCs w:val="4"/>
              </w:rPr>
            </w:pPr>
          </w:p>
        </w:tc>
        <w:tc>
          <w:tcPr>
            <w:tcW w:w="8900" w:type="dxa"/>
            <w:shd w:val="clear" w:color="auto" w:fill="DAEEF3" w:themeFill="accent5" w:themeFillTint="33"/>
          </w:tcPr>
          <w:p w14:paraId="449A93A5" w14:textId="77777777" w:rsidR="00D42AC5" w:rsidRPr="0026628F" w:rsidRDefault="00D42AC5" w:rsidP="00D42AC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D42AC5" w:rsidRPr="003E08D9" w14:paraId="382D1A8E" w14:textId="77777777" w:rsidTr="00D42AC5">
        <w:trPr>
          <w:trHeight w:val="544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14:paraId="34429F6F" w14:textId="77777777"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9</w:t>
            </w:r>
          </w:p>
          <w:p w14:paraId="7AEB2EAD" w14:textId="77777777" w:rsidR="00D42AC5" w:rsidRPr="003E08D9" w:rsidRDefault="00023589" w:rsidP="0002358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14:paraId="2B6A9C62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Constitution of a group</w:t>
            </w:r>
          </w:p>
          <w:p w14:paraId="33FE270E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10</w:t>
            </w:r>
          </w:p>
        </w:tc>
      </w:tr>
      <w:tr w:rsidR="00D42AC5" w:rsidRPr="003E08D9" w14:paraId="660E3C94" w14:textId="77777777" w:rsidTr="00D42AC5">
        <w:trPr>
          <w:trHeight w:val="575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35608497" w14:textId="77777777"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52CB67E0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consolidated statement of financial position</w:t>
            </w:r>
          </w:p>
          <w:p w14:paraId="605CE01A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10</w:t>
            </w:r>
          </w:p>
        </w:tc>
      </w:tr>
      <w:tr w:rsidR="00D42AC5" w:rsidRPr="003E08D9" w14:paraId="25BB2993" w14:textId="77777777" w:rsidTr="00D64949">
        <w:trPr>
          <w:trHeight w:val="565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4B36F2A0" w14:textId="77777777"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1606BD71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 consolidated statement of profit or loss and other comprehensive income</w:t>
            </w:r>
          </w:p>
          <w:p w14:paraId="1B9E5F4F" w14:textId="77777777" w:rsidR="00D42AC5" w:rsidRPr="00E40C42" w:rsidRDefault="00D42AC5" w:rsidP="00D42A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IFRS 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10</w:t>
            </w:r>
          </w:p>
        </w:tc>
      </w:tr>
      <w:tr w:rsidR="00D42AC5" w:rsidRPr="003E08D9" w14:paraId="74960448" w14:textId="77777777" w:rsidTr="00D42AC5">
        <w:trPr>
          <w:trHeight w:val="559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1836B802" w14:textId="77777777"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063DE2C5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Accounting for associates and </w:t>
            </w:r>
            <w:r w:rsidRPr="00FE2728">
              <w:rPr>
                <w:rFonts w:ascii="Times New Roman" w:hAnsi="Times New Roman" w:cs="Times New Roman"/>
                <w:sz w:val="24"/>
                <w:szCs w:val="24"/>
              </w:rPr>
              <w:t>joint ventures</w:t>
            </w:r>
          </w:p>
          <w:p w14:paraId="0F316255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7+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IAS 2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8</w:t>
            </w:r>
          </w:p>
        </w:tc>
      </w:tr>
      <w:tr w:rsidR="00D42AC5" w:rsidRPr="003E08D9" w14:paraId="033FA4FF" w14:textId="77777777" w:rsidTr="00D42AC5">
        <w:trPr>
          <w:trHeight w:val="575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3A2F4135" w14:textId="77777777" w:rsidR="00D42AC5" w:rsidRPr="003E08D9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41E55C41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for joint arrangements</w:t>
            </w:r>
          </w:p>
          <w:p w14:paraId="171106D4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11</w:t>
            </w:r>
          </w:p>
        </w:tc>
      </w:tr>
      <w:tr w:rsidR="00D42AC5" w:rsidRPr="003E08D9" w14:paraId="0061BF03" w14:textId="77777777" w:rsidTr="00D42AC5">
        <w:trPr>
          <w:trHeight w:val="198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3BA98408" w14:textId="77777777" w:rsidR="00D42AC5" w:rsidRPr="0026628F" w:rsidRDefault="00D42AC5" w:rsidP="008F58BE">
            <w:pPr>
              <w:spacing w:line="360" w:lineRule="auto"/>
              <w:jc w:val="center"/>
              <w:rPr>
                <w:rFonts w:ascii="Verdana" w:hAnsi="Verdana" w:cs="Times New Roman"/>
                <w:sz w:val="4"/>
                <w:szCs w:val="4"/>
              </w:rPr>
            </w:pPr>
          </w:p>
        </w:tc>
        <w:tc>
          <w:tcPr>
            <w:tcW w:w="8900" w:type="dxa"/>
            <w:shd w:val="clear" w:color="auto" w:fill="DAEEF3" w:themeFill="accent5" w:themeFillTint="33"/>
          </w:tcPr>
          <w:p w14:paraId="713B05FD" w14:textId="77777777" w:rsidR="00D42AC5" w:rsidRPr="0026628F" w:rsidRDefault="00D42AC5" w:rsidP="00D42AC5">
            <w:pPr>
              <w:jc w:val="center"/>
              <w:rPr>
                <w:rFonts w:ascii="Times New Roman" w:hAnsi="Times New Roman" w:cs="Times New Roman"/>
                <w:sz w:val="4"/>
                <w:szCs w:val="4"/>
              </w:rPr>
            </w:pPr>
          </w:p>
        </w:tc>
      </w:tr>
      <w:tr w:rsidR="00D42AC5" w:rsidRPr="003E08D9" w14:paraId="782B545C" w14:textId="77777777" w:rsidTr="00D42AC5">
        <w:trPr>
          <w:trHeight w:val="544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14:paraId="40E9928F" w14:textId="77777777"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10</w:t>
            </w:r>
          </w:p>
          <w:p w14:paraId="5BA841D4" w14:textId="77777777" w:rsidR="00D42AC5" w:rsidRPr="003E08D9" w:rsidRDefault="00D64949" w:rsidP="00D64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14:paraId="60F24DFC" w14:textId="77777777" w:rsidR="00254BC5" w:rsidRDefault="00D64949" w:rsidP="00D64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Leases</w:t>
            </w:r>
          </w:p>
          <w:p w14:paraId="4AA6B2EF" w14:textId="77777777" w:rsidR="00D42AC5" w:rsidRPr="003E08D9" w:rsidRDefault="00D42AC5" w:rsidP="00D64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</w:t>
            </w: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1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6</w:t>
            </w:r>
          </w:p>
        </w:tc>
      </w:tr>
      <w:tr w:rsidR="00D42AC5" w:rsidRPr="003E08D9" w14:paraId="470E49F1" w14:textId="77777777" w:rsidTr="00D42AC5">
        <w:trPr>
          <w:trHeight w:val="598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31504FF3" w14:textId="77777777" w:rsidR="00D42AC5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7117E0EF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Accounting for taxation</w:t>
            </w:r>
          </w:p>
          <w:p w14:paraId="3C1D31DA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IAS 12</w:t>
            </w:r>
          </w:p>
        </w:tc>
      </w:tr>
      <w:tr w:rsidR="00D42AC5" w:rsidRPr="003E08D9" w14:paraId="0EC507E1" w14:textId="77777777" w:rsidTr="00D42AC5">
        <w:trPr>
          <w:trHeight w:val="198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0A3782EA" w14:textId="77777777" w:rsidR="00D42AC5" w:rsidRPr="001D0363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</w:tcPr>
          <w:p w14:paraId="0EA5EEC0" w14:textId="77777777" w:rsidR="00D42AC5" w:rsidRPr="001D0363" w:rsidRDefault="00D42AC5" w:rsidP="00D42AC5">
            <w:pPr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  <w:tr w:rsidR="00D42AC5" w:rsidRPr="003E08D9" w14:paraId="083401EC" w14:textId="77777777" w:rsidTr="00D42AC5">
        <w:trPr>
          <w:trHeight w:val="559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14:paraId="37CC0B32" w14:textId="77777777"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11</w:t>
            </w:r>
          </w:p>
          <w:p w14:paraId="29D64971" w14:textId="77777777" w:rsidR="00D42AC5" w:rsidRDefault="00D64949" w:rsidP="00281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14:paraId="1CCC4A72" w14:textId="77777777" w:rsidR="00D42AC5" w:rsidRDefault="007358CB" w:rsidP="00254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Related Party Disclosures - </w:t>
            </w:r>
            <w:r w:rsidR="00254BC5">
              <w:rPr>
                <w:rFonts w:ascii="Times New Roman" w:hAnsi="Times New Roman" w:cs="Times New Roman"/>
                <w:sz w:val="24"/>
                <w:szCs w:val="24"/>
              </w:rPr>
              <w:t xml:space="preserve">Employee benefits </w:t>
            </w:r>
          </w:p>
          <w:p w14:paraId="6450BB72" w14:textId="77777777" w:rsidR="00D42AC5" w:rsidRPr="003E08D9" w:rsidRDefault="007358CB" w:rsidP="00254B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 24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+ </w:t>
            </w:r>
            <w:r w:rsidR="00D42AC5"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IAS </w:t>
            </w:r>
            <w:r w:rsidR="00254BC5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19 </w:t>
            </w:r>
          </w:p>
        </w:tc>
      </w:tr>
      <w:tr w:rsidR="00D42AC5" w:rsidRPr="003E08D9" w14:paraId="04C95C69" w14:textId="77777777" w:rsidTr="00D42AC5">
        <w:trPr>
          <w:trHeight w:val="430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4E3A77BA" w14:textId="77777777" w:rsidR="00D42AC5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340FEEDE" w14:textId="77777777" w:rsidR="00D42AC5" w:rsidRDefault="00D64949" w:rsidP="00D42A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Mineral resources</w:t>
            </w:r>
          </w:p>
          <w:p w14:paraId="624B7B62" w14:textId="77777777" w:rsidR="00D64949" w:rsidRPr="00833FF8" w:rsidRDefault="00D64949" w:rsidP="00D42AC5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6</w:t>
            </w:r>
          </w:p>
        </w:tc>
      </w:tr>
      <w:tr w:rsidR="00D42AC5" w:rsidRPr="003E08D9" w14:paraId="226CFF23" w14:textId="77777777" w:rsidTr="002620E7">
        <w:trPr>
          <w:trHeight w:val="184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3BEADAA6" w14:textId="77777777" w:rsidR="00D42AC5" w:rsidRPr="002620E7" w:rsidRDefault="00D42AC5" w:rsidP="008F58BE">
            <w:pPr>
              <w:spacing w:line="360" w:lineRule="auto"/>
              <w:jc w:val="center"/>
              <w:rPr>
                <w:rFonts w:ascii="Verdana" w:hAnsi="Verdana" w:cs="Times New Roman"/>
                <w:sz w:val="6"/>
                <w:szCs w:val="6"/>
              </w:rPr>
            </w:pPr>
          </w:p>
        </w:tc>
        <w:tc>
          <w:tcPr>
            <w:tcW w:w="8900" w:type="dxa"/>
            <w:shd w:val="clear" w:color="auto" w:fill="DAEEF3" w:themeFill="accent5" w:themeFillTint="33"/>
          </w:tcPr>
          <w:p w14:paraId="3BD2D61E" w14:textId="77777777" w:rsidR="00D42AC5" w:rsidRPr="002620E7" w:rsidRDefault="00D42AC5" w:rsidP="00D42AC5">
            <w:pPr>
              <w:tabs>
                <w:tab w:val="left" w:pos="5835"/>
              </w:tabs>
              <w:rPr>
                <w:rFonts w:ascii="Times New Roman" w:hAnsi="Times New Roman" w:cs="Times New Roman"/>
                <w:sz w:val="6"/>
                <w:szCs w:val="6"/>
              </w:rPr>
            </w:pPr>
            <w:r w:rsidRPr="002620E7">
              <w:rPr>
                <w:rFonts w:ascii="Times New Roman" w:hAnsi="Times New Roman" w:cs="Times New Roman"/>
                <w:sz w:val="6"/>
                <w:szCs w:val="6"/>
              </w:rPr>
              <w:tab/>
            </w:r>
          </w:p>
        </w:tc>
      </w:tr>
      <w:tr w:rsidR="00D42AC5" w:rsidRPr="003E08D9" w14:paraId="34AE7A73" w14:textId="77777777" w:rsidTr="00D42AC5">
        <w:trPr>
          <w:trHeight w:val="625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14:paraId="4A84AB12" w14:textId="77777777" w:rsidR="00D42AC5" w:rsidRPr="00E5273A" w:rsidRDefault="00D42AC5" w:rsidP="008F58BE">
            <w:pPr>
              <w:jc w:val="center"/>
              <w:rPr>
                <w:rFonts w:ascii="Verdana" w:hAnsi="Verdana" w:cs="Times New Roman"/>
                <w:sz w:val="24"/>
                <w:szCs w:val="24"/>
                <w:rtl/>
                <w:lang w:bidi="ar-EG"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12</w:t>
            </w:r>
          </w:p>
          <w:p w14:paraId="5EA3A4B5" w14:textId="77777777" w:rsidR="00D42AC5" w:rsidRDefault="00D64949" w:rsidP="0028124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29</w:t>
            </w:r>
            <w:r w:rsidR="00D42AC5">
              <w:rPr>
                <w:rFonts w:ascii="Times New Roman" w:hAnsi="Times New Roman" w:cs="Times New Roman"/>
                <w:sz w:val="24"/>
                <w:szCs w:val="24"/>
              </w:rPr>
              <w:t>-10-2022</w:t>
            </w:r>
          </w:p>
        </w:tc>
        <w:tc>
          <w:tcPr>
            <w:tcW w:w="8900" w:type="dxa"/>
            <w:shd w:val="clear" w:color="auto" w:fill="CCC0D9" w:themeFill="accent4" w:themeFillTint="66"/>
          </w:tcPr>
          <w:p w14:paraId="46F2A56C" w14:textId="77777777" w:rsidR="00D64949" w:rsidRDefault="00254BC5" w:rsidP="00D64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Share-based payment</w:t>
            </w:r>
          </w:p>
          <w:p w14:paraId="65C0E8C3" w14:textId="77777777" w:rsidR="00D42AC5" w:rsidRPr="00641B47" w:rsidRDefault="00254BC5" w:rsidP="007358C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472F4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2</w:t>
            </w:r>
            <w:r w:rsidR="00D6494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</w:p>
        </w:tc>
      </w:tr>
      <w:tr w:rsidR="00D42AC5" w:rsidRPr="003E08D9" w14:paraId="404D0D35" w14:textId="77777777" w:rsidTr="00D42AC5">
        <w:trPr>
          <w:trHeight w:val="575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249C600D" w14:textId="77777777" w:rsidR="00D42AC5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shd w:val="clear" w:color="auto" w:fill="CCC0D9" w:themeFill="accent4" w:themeFillTint="66"/>
          </w:tcPr>
          <w:p w14:paraId="1E1D9722" w14:textId="77777777" w:rsidR="00D42AC5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E2273">
              <w:rPr>
                <w:rFonts w:ascii="Times New Roman" w:hAnsi="Times New Roman" w:cs="Times New Roman"/>
                <w:sz w:val="24"/>
                <w:szCs w:val="24"/>
              </w:rPr>
              <w:t xml:space="preserve">Operating Segments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 Accounting for agriculture</w:t>
            </w:r>
          </w:p>
          <w:p w14:paraId="703BC6F8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IFRS 8 + IAS 41</w:t>
            </w:r>
          </w:p>
        </w:tc>
      </w:tr>
      <w:tr w:rsidR="00D42AC5" w:rsidRPr="001D0363" w14:paraId="6F7620F7" w14:textId="77777777" w:rsidTr="00D42AC5">
        <w:trPr>
          <w:trHeight w:val="166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6700807F" w14:textId="77777777" w:rsidR="00D42AC5" w:rsidRPr="001D0363" w:rsidRDefault="00D42AC5" w:rsidP="008F58BE">
            <w:pPr>
              <w:spacing w:line="36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14:paraId="194E649A" w14:textId="77777777" w:rsidR="00D42AC5" w:rsidRPr="00D42AC5" w:rsidRDefault="00D42AC5" w:rsidP="00D42AC5">
            <w:pPr>
              <w:spacing w:line="360" w:lineRule="auto"/>
              <w:jc w:val="center"/>
              <w:rPr>
                <w:rFonts w:ascii="Times New Roman" w:hAnsi="Times New Roman" w:cs="Times New Roman"/>
                <w:sz w:val="8"/>
                <w:szCs w:val="8"/>
              </w:rPr>
            </w:pPr>
          </w:p>
        </w:tc>
      </w:tr>
      <w:tr w:rsidR="00D42AC5" w14:paraId="52C76753" w14:textId="77777777" w:rsidTr="00D42AC5">
        <w:trPr>
          <w:trHeight w:val="625"/>
          <w:jc w:val="center"/>
        </w:trPr>
        <w:tc>
          <w:tcPr>
            <w:tcW w:w="1433" w:type="dxa"/>
            <w:vMerge w:val="restart"/>
            <w:shd w:val="clear" w:color="auto" w:fill="CCC0D9" w:themeFill="accent4" w:themeFillTint="66"/>
            <w:vAlign w:val="center"/>
          </w:tcPr>
          <w:p w14:paraId="21DB8657" w14:textId="77777777" w:rsidR="00D42AC5" w:rsidRPr="00183F4E" w:rsidRDefault="00D42AC5" w:rsidP="00183F4E">
            <w:pPr>
              <w:jc w:val="center"/>
              <w:rPr>
                <w:rFonts w:ascii="Verdana" w:hAnsi="Verdana" w:cs="Times New Roman"/>
                <w:sz w:val="36"/>
                <w:szCs w:val="36"/>
                <w:rtl/>
              </w:rPr>
            </w:pPr>
            <w:r w:rsidRPr="00E5273A">
              <w:rPr>
                <w:rFonts w:ascii="Verdana" w:hAnsi="Verdana" w:cs="Times New Roman"/>
                <w:sz w:val="24"/>
                <w:szCs w:val="24"/>
              </w:rPr>
              <w:t xml:space="preserve">Day </w:t>
            </w:r>
            <w:r>
              <w:rPr>
                <w:rFonts w:ascii="Verdana" w:hAnsi="Verdana" w:cs="Times New Roman"/>
                <w:sz w:val="36"/>
                <w:szCs w:val="36"/>
              </w:rPr>
              <w:t>13</w:t>
            </w:r>
          </w:p>
          <w:p w14:paraId="7DBD6C94" w14:textId="77777777" w:rsidR="00D42AC5" w:rsidRDefault="00D64949" w:rsidP="00D6494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</w:t>
            </w:r>
            <w:r w:rsidR="00D42AC5" w:rsidRPr="00281241">
              <w:rPr>
                <w:rFonts w:ascii="Times New Roman" w:hAnsi="Times New Roman" w:cs="Times New Roman"/>
                <w:sz w:val="24"/>
                <w:szCs w:val="24"/>
              </w:rPr>
              <w:t>-2022</w:t>
            </w:r>
          </w:p>
        </w:tc>
        <w:tc>
          <w:tcPr>
            <w:tcW w:w="8900" w:type="dxa"/>
            <w:vMerge w:val="restart"/>
            <w:shd w:val="clear" w:color="auto" w:fill="CCC0D9" w:themeFill="accent4" w:themeFillTint="66"/>
            <w:vAlign w:val="center"/>
          </w:tcPr>
          <w:p w14:paraId="66FB53B6" w14:textId="77777777" w:rsidR="00D42AC5" w:rsidRPr="009F625E" w:rsidRDefault="007358CB" w:rsidP="00D42AC5">
            <w:pPr>
              <w:tabs>
                <w:tab w:val="left" w:pos="1605"/>
              </w:tabs>
              <w:jc w:val="center"/>
              <w:rPr>
                <w:rFonts w:ascii="Times New Roman" w:hAnsi="Times New Roman" w:cs="Times New Roman"/>
                <w:sz w:val="28"/>
                <w:szCs w:val="28"/>
                <w:rtl/>
                <w:lang w:bidi="ar-EG"/>
              </w:rPr>
            </w:pPr>
            <w:r w:rsidRPr="007358CB">
              <w:rPr>
                <w:rFonts w:ascii="Times New Roman" w:hAnsi="Times New Roman" w:cs="Times New Roman"/>
                <w:sz w:val="28"/>
                <w:szCs w:val="28"/>
                <w:lang w:bidi="ar-EG"/>
              </w:rPr>
              <w:t>Past exams</w:t>
            </w:r>
          </w:p>
        </w:tc>
      </w:tr>
      <w:tr w:rsidR="00D42AC5" w:rsidRPr="009E2273" w14:paraId="2C375DFB" w14:textId="77777777" w:rsidTr="00D42AC5">
        <w:trPr>
          <w:trHeight w:val="575"/>
          <w:jc w:val="center"/>
        </w:trPr>
        <w:tc>
          <w:tcPr>
            <w:tcW w:w="1433" w:type="dxa"/>
            <w:vMerge/>
            <w:shd w:val="clear" w:color="auto" w:fill="CCC0D9" w:themeFill="accent4" w:themeFillTint="66"/>
            <w:vAlign w:val="center"/>
          </w:tcPr>
          <w:p w14:paraId="46D3BECF" w14:textId="77777777" w:rsidR="00D42AC5" w:rsidRDefault="00D42AC5" w:rsidP="0025181C">
            <w:pPr>
              <w:spacing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900" w:type="dxa"/>
            <w:vMerge/>
            <w:shd w:val="clear" w:color="auto" w:fill="CCC0D9" w:themeFill="accent4" w:themeFillTint="66"/>
          </w:tcPr>
          <w:p w14:paraId="444BD501" w14:textId="77777777" w:rsidR="00D42AC5" w:rsidRPr="003E08D9" w:rsidRDefault="00D42AC5" w:rsidP="00D42AC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42AC5" w:rsidRPr="001D0363" w14:paraId="773D48E5" w14:textId="77777777" w:rsidTr="00D42AC5">
        <w:trPr>
          <w:trHeight w:val="166"/>
          <w:jc w:val="center"/>
        </w:trPr>
        <w:tc>
          <w:tcPr>
            <w:tcW w:w="1433" w:type="dxa"/>
            <w:shd w:val="clear" w:color="auto" w:fill="DAEEF3" w:themeFill="accent5" w:themeFillTint="33"/>
            <w:vAlign w:val="center"/>
          </w:tcPr>
          <w:p w14:paraId="631D3F1F" w14:textId="77777777" w:rsidR="00D42AC5" w:rsidRPr="001D0363" w:rsidRDefault="00D42AC5" w:rsidP="0025181C">
            <w:pPr>
              <w:spacing w:line="36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  <w:tc>
          <w:tcPr>
            <w:tcW w:w="8900" w:type="dxa"/>
            <w:shd w:val="clear" w:color="auto" w:fill="DAEEF3" w:themeFill="accent5" w:themeFillTint="33"/>
            <w:vAlign w:val="center"/>
          </w:tcPr>
          <w:p w14:paraId="740B7967" w14:textId="77777777" w:rsidR="00D42AC5" w:rsidRPr="001D0363" w:rsidRDefault="00D42AC5" w:rsidP="00D42AC5">
            <w:pPr>
              <w:spacing w:line="360" w:lineRule="auto"/>
              <w:jc w:val="center"/>
              <w:rPr>
                <w:rFonts w:ascii="Times New Roman" w:hAnsi="Times New Roman" w:cs="Times New Roman"/>
                <w:sz w:val="10"/>
                <w:szCs w:val="10"/>
              </w:rPr>
            </w:pPr>
          </w:p>
        </w:tc>
      </w:tr>
    </w:tbl>
    <w:p w14:paraId="0522695D" w14:textId="77777777" w:rsidR="00E55376" w:rsidRDefault="00D42AC5" w:rsidP="00D42AC5">
      <w:pPr>
        <w:tabs>
          <w:tab w:val="left" w:pos="2475"/>
        </w:tabs>
        <w:jc w:val="both"/>
      </w:pPr>
      <w:r>
        <w:tab/>
      </w:r>
    </w:p>
    <w:sectPr w:rsidR="00E55376" w:rsidSect="00D42AC5">
      <w:headerReference w:type="default" r:id="rId8"/>
      <w:pgSz w:w="12240" w:h="15840"/>
      <w:pgMar w:top="709" w:right="1800" w:bottom="1276" w:left="1800" w:header="750" w:footer="720" w:gutter="0"/>
      <w:pgBorders w:offsetFrom="page">
        <w:top w:val="double" w:sz="4" w:space="24" w:color="auto"/>
        <w:left w:val="double" w:sz="4" w:space="24" w:color="auto"/>
        <w:bottom w:val="double" w:sz="4" w:space="24" w:color="auto"/>
        <w:right w:val="doub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772452" w14:textId="77777777" w:rsidR="00F751C0" w:rsidRDefault="00F751C0" w:rsidP="003E08D9">
      <w:pPr>
        <w:spacing w:after="0" w:line="240" w:lineRule="auto"/>
      </w:pPr>
      <w:r>
        <w:separator/>
      </w:r>
    </w:p>
  </w:endnote>
  <w:endnote w:type="continuationSeparator" w:id="0">
    <w:p w14:paraId="6AF4400A" w14:textId="77777777" w:rsidR="00F751C0" w:rsidRDefault="00F751C0" w:rsidP="003E08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ultan bold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WinSoft Pro">
    <w:altName w:val="Arial"/>
    <w:charset w:val="00"/>
    <w:family w:val="auto"/>
    <w:pitch w:val="variable"/>
    <w:sig w:usb0="0000280F" w:usb1="00000000" w:usb2="00000000" w:usb3="00000000" w:csb0="0000006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088086" w14:textId="77777777" w:rsidR="00F751C0" w:rsidRDefault="00F751C0" w:rsidP="003E08D9">
      <w:pPr>
        <w:spacing w:after="0" w:line="240" w:lineRule="auto"/>
      </w:pPr>
      <w:r>
        <w:separator/>
      </w:r>
    </w:p>
  </w:footnote>
  <w:footnote w:type="continuationSeparator" w:id="0">
    <w:p w14:paraId="2C271894" w14:textId="77777777" w:rsidR="00F751C0" w:rsidRDefault="00F751C0" w:rsidP="003E08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FD138F" w14:textId="77777777" w:rsidR="003A2BE8" w:rsidRPr="004E74FB" w:rsidRDefault="003A2BE8" w:rsidP="003A2BE8">
    <w:pPr>
      <w:tabs>
        <w:tab w:val="center" w:pos="5233"/>
        <w:tab w:val="right" w:pos="10466"/>
      </w:tabs>
      <w:spacing w:after="0" w:line="240" w:lineRule="auto"/>
      <w:jc w:val="center"/>
      <w:rPr>
        <w:rFonts w:ascii="WinSoft Pro" w:hAnsi="WinSoft Pro" w:cs="WinSoft Pro"/>
        <w:color w:val="000000" w:themeColor="text1"/>
        <w:sz w:val="36"/>
        <w:szCs w:val="36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E74FB">
      <w:rPr>
        <w:rFonts w:cs="Sultan bold"/>
        <w:noProof/>
        <w:color w:val="000000" w:themeColor="text1"/>
        <w:sz w:val="20"/>
        <w:szCs w:val="20"/>
        <w:rtl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drawing>
        <wp:anchor distT="0" distB="0" distL="114300" distR="114300" simplePos="0" relativeHeight="251659264" behindDoc="1" locked="0" layoutInCell="1" allowOverlap="1" wp14:anchorId="4855BB6C" wp14:editId="1C040530">
          <wp:simplePos x="0" y="0"/>
          <wp:positionH relativeFrom="margin">
            <wp:posOffset>-476250</wp:posOffset>
          </wp:positionH>
          <wp:positionV relativeFrom="paragraph">
            <wp:posOffset>124460</wp:posOffset>
          </wp:positionV>
          <wp:extent cx="589280" cy="710380"/>
          <wp:effectExtent l="0" t="0" r="1270" b="0"/>
          <wp:wrapNone/>
          <wp:docPr id="11" name="Picture 1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esaaegypt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589280" cy="7103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The Egyptian Society of Accountants</w:t>
    </w:r>
    <w:r w:rsidR="0063270B"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&amp;</w:t>
    </w:r>
    <w:r w:rsidR="0063270B"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</w:t>
    </w: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Auditors</w:t>
    </w:r>
  </w:p>
  <w:p w14:paraId="4AE406C7" w14:textId="77777777" w:rsidR="003A2BE8" w:rsidRPr="004E74FB" w:rsidRDefault="00D42AC5" w:rsidP="00D42AC5">
    <w:pPr>
      <w:tabs>
        <w:tab w:val="center" w:pos="4320"/>
        <w:tab w:val="left" w:pos="7035"/>
      </w:tabs>
      <w:spacing w:after="0" w:line="240" w:lineRule="auto"/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  <w:r w:rsidR="003A2BE8"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Training Center</w:t>
    </w: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ab/>
    </w:r>
  </w:p>
  <w:p w14:paraId="28E4D21E" w14:textId="77777777" w:rsidR="007A0FFC" w:rsidRPr="004E74FB" w:rsidRDefault="007A0FFC" w:rsidP="00D42AC5">
    <w:pPr>
      <w:spacing w:after="0" w:line="240" w:lineRule="auto"/>
      <w:jc w:val="center"/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</w:pP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Preparation course for </w:t>
    </w:r>
    <w:r w:rsidR="0064449D"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>IFRS</w:t>
    </w:r>
    <w:r w:rsidRPr="004E74FB">
      <w:rPr>
        <w:rFonts w:ascii="WinSoft Pro" w:hAnsi="WinSoft Pro" w:cs="WinSoft Pro"/>
        <w:color w:val="000000" w:themeColor="text1"/>
        <w:sz w:val="36"/>
        <w:szCs w:val="36"/>
        <w14:shadow w14:blurRad="38100" w14:dist="19050" w14:dir="2700000" w14:sx="100000" w14:sy="100000" w14:kx="0" w14:ky="0" w14:algn="tl">
          <w14:schemeClr w14:val="dk1">
            <w14:alpha w14:val="60000"/>
          </w14:schemeClr>
        </w14:shadow>
        <w14:textOutline w14:w="0" w14:cap="flat" w14:cmpd="sng" w14:algn="ctr">
          <w14:noFill/>
          <w14:prstDash w14:val="solid"/>
          <w14:round/>
        </w14:textOutline>
      </w:rPr>
      <w:t xml:space="preserve"> Diploma</w:t>
    </w:r>
  </w:p>
  <w:p w14:paraId="6D5D89DC" w14:textId="77777777" w:rsidR="004E74FB" w:rsidRPr="004E74FB" w:rsidRDefault="004E74FB" w:rsidP="00D42AC5">
    <w:pPr>
      <w:spacing w:after="0" w:line="240" w:lineRule="auto"/>
      <w:jc w:val="center"/>
      <w:rPr>
        <w:rFonts w:ascii="WinSoft Pro" w:hAnsi="WinSoft Pro" w:cs="WinSoft Pro"/>
        <w:b/>
        <w:bCs/>
        <w:color w:val="000000" w:themeColor="text1"/>
        <w:sz w:val="20"/>
        <w:szCs w:val="20"/>
        <w14:shadow w14:blurRad="12700" w14:dist="38100" w14:dir="2700000" w14:sx="100000" w14:sy="100000" w14:kx="0" w14:ky="0" w14:algn="tl">
          <w14:schemeClr w14:val="bg1">
            <w14:lumMod w14:val="50000"/>
          </w14:schemeClr>
        </w14:shadow>
        <w14:textOutline w14:w="9525" w14:cap="flat" w14:cmpd="sng" w14:algn="ctr">
          <w14:solidFill>
            <w14:schemeClr w14:val="bg1"/>
          </w14:solidFill>
          <w14:prstDash w14:val="solid"/>
          <w14:round/>
        </w14:textOutline>
      </w:rPr>
    </w:pPr>
  </w:p>
  <w:p w14:paraId="387EA945" w14:textId="77777777" w:rsidR="009472F4" w:rsidRPr="009472F4" w:rsidRDefault="009472F4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A73253"/>
    <w:multiLevelType w:val="hybridMultilevel"/>
    <w:tmpl w:val="41CA5762"/>
    <w:lvl w:ilvl="0" w:tplc="A53C8094">
      <w:start w:val="16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18040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42B8"/>
    <w:rsid w:val="00005E3F"/>
    <w:rsid w:val="00017439"/>
    <w:rsid w:val="00023589"/>
    <w:rsid w:val="00026965"/>
    <w:rsid w:val="00040978"/>
    <w:rsid w:val="0004736A"/>
    <w:rsid w:val="00050494"/>
    <w:rsid w:val="00074DFF"/>
    <w:rsid w:val="00083917"/>
    <w:rsid w:val="00091F78"/>
    <w:rsid w:val="00097257"/>
    <w:rsid w:val="000977F3"/>
    <w:rsid w:val="00097EF1"/>
    <w:rsid w:val="000A3D44"/>
    <w:rsid w:val="000A7F29"/>
    <w:rsid w:val="000B154E"/>
    <w:rsid w:val="000C2F15"/>
    <w:rsid w:val="000D5431"/>
    <w:rsid w:val="000E4043"/>
    <w:rsid w:val="000F5271"/>
    <w:rsid w:val="00102CC1"/>
    <w:rsid w:val="001047BF"/>
    <w:rsid w:val="00125C50"/>
    <w:rsid w:val="00130D0E"/>
    <w:rsid w:val="0014511D"/>
    <w:rsid w:val="001453EC"/>
    <w:rsid w:val="00177ABE"/>
    <w:rsid w:val="00183F4E"/>
    <w:rsid w:val="00194A31"/>
    <w:rsid w:val="001B4477"/>
    <w:rsid w:val="001B4749"/>
    <w:rsid w:val="001C662B"/>
    <w:rsid w:val="001D0363"/>
    <w:rsid w:val="001D2088"/>
    <w:rsid w:val="001D4A87"/>
    <w:rsid w:val="001D7541"/>
    <w:rsid w:val="001D7648"/>
    <w:rsid w:val="001E479B"/>
    <w:rsid w:val="001F283C"/>
    <w:rsid w:val="00202265"/>
    <w:rsid w:val="00204BB6"/>
    <w:rsid w:val="00204F78"/>
    <w:rsid w:val="00207F13"/>
    <w:rsid w:val="00212647"/>
    <w:rsid w:val="00212974"/>
    <w:rsid w:val="00222076"/>
    <w:rsid w:val="00222D84"/>
    <w:rsid w:val="002340FD"/>
    <w:rsid w:val="0023476B"/>
    <w:rsid w:val="00254BC5"/>
    <w:rsid w:val="00261B6F"/>
    <w:rsid w:val="002620E7"/>
    <w:rsid w:val="0026628F"/>
    <w:rsid w:val="00281241"/>
    <w:rsid w:val="0028506A"/>
    <w:rsid w:val="002B1E07"/>
    <w:rsid w:val="002B6DA4"/>
    <w:rsid w:val="002C1F71"/>
    <w:rsid w:val="002C3B08"/>
    <w:rsid w:val="002C74EE"/>
    <w:rsid w:val="002D0E6E"/>
    <w:rsid w:val="002D5870"/>
    <w:rsid w:val="002E2300"/>
    <w:rsid w:val="002E5E69"/>
    <w:rsid w:val="002F1630"/>
    <w:rsid w:val="002F3A3E"/>
    <w:rsid w:val="002F497F"/>
    <w:rsid w:val="002F7003"/>
    <w:rsid w:val="0030416E"/>
    <w:rsid w:val="00307856"/>
    <w:rsid w:val="00315CCF"/>
    <w:rsid w:val="00316E4D"/>
    <w:rsid w:val="00325EFA"/>
    <w:rsid w:val="003306C7"/>
    <w:rsid w:val="00353A8C"/>
    <w:rsid w:val="00377ED7"/>
    <w:rsid w:val="0039245E"/>
    <w:rsid w:val="00392A05"/>
    <w:rsid w:val="00393BA5"/>
    <w:rsid w:val="003A0E19"/>
    <w:rsid w:val="003A1158"/>
    <w:rsid w:val="003A2A99"/>
    <w:rsid w:val="003A2BE8"/>
    <w:rsid w:val="003C6086"/>
    <w:rsid w:val="003C66C3"/>
    <w:rsid w:val="003D3FA2"/>
    <w:rsid w:val="003D469A"/>
    <w:rsid w:val="003E08D9"/>
    <w:rsid w:val="004018A3"/>
    <w:rsid w:val="00407FFD"/>
    <w:rsid w:val="00427E08"/>
    <w:rsid w:val="004332BB"/>
    <w:rsid w:val="0044053B"/>
    <w:rsid w:val="00450D88"/>
    <w:rsid w:val="00461542"/>
    <w:rsid w:val="0046691E"/>
    <w:rsid w:val="00467517"/>
    <w:rsid w:val="00467710"/>
    <w:rsid w:val="004718AA"/>
    <w:rsid w:val="00477983"/>
    <w:rsid w:val="004779D7"/>
    <w:rsid w:val="00481C15"/>
    <w:rsid w:val="00482009"/>
    <w:rsid w:val="0048343A"/>
    <w:rsid w:val="00485261"/>
    <w:rsid w:val="004917EE"/>
    <w:rsid w:val="004A553B"/>
    <w:rsid w:val="004D60EE"/>
    <w:rsid w:val="004E74FB"/>
    <w:rsid w:val="004F4A1D"/>
    <w:rsid w:val="00506B3C"/>
    <w:rsid w:val="00507F2C"/>
    <w:rsid w:val="00515E36"/>
    <w:rsid w:val="00526EF7"/>
    <w:rsid w:val="005452C8"/>
    <w:rsid w:val="0055144F"/>
    <w:rsid w:val="005522F5"/>
    <w:rsid w:val="00552663"/>
    <w:rsid w:val="005537E8"/>
    <w:rsid w:val="005606DC"/>
    <w:rsid w:val="005613FA"/>
    <w:rsid w:val="00576473"/>
    <w:rsid w:val="00581C71"/>
    <w:rsid w:val="00582AAF"/>
    <w:rsid w:val="005A06CC"/>
    <w:rsid w:val="005C5DDD"/>
    <w:rsid w:val="005D0757"/>
    <w:rsid w:val="0060430D"/>
    <w:rsid w:val="00606510"/>
    <w:rsid w:val="00610663"/>
    <w:rsid w:val="0061089A"/>
    <w:rsid w:val="00616E88"/>
    <w:rsid w:val="00624F10"/>
    <w:rsid w:val="0063270B"/>
    <w:rsid w:val="00641B47"/>
    <w:rsid w:val="00643977"/>
    <w:rsid w:val="0064449D"/>
    <w:rsid w:val="006511D0"/>
    <w:rsid w:val="00660F6F"/>
    <w:rsid w:val="00667971"/>
    <w:rsid w:val="00677E9F"/>
    <w:rsid w:val="00687C4C"/>
    <w:rsid w:val="006954DE"/>
    <w:rsid w:val="006A6B7D"/>
    <w:rsid w:val="006B050D"/>
    <w:rsid w:val="006B570D"/>
    <w:rsid w:val="006B76A0"/>
    <w:rsid w:val="006D1BA6"/>
    <w:rsid w:val="006E4ACB"/>
    <w:rsid w:val="006F44CC"/>
    <w:rsid w:val="0071106D"/>
    <w:rsid w:val="00717E42"/>
    <w:rsid w:val="0072461E"/>
    <w:rsid w:val="007257D3"/>
    <w:rsid w:val="00733F3E"/>
    <w:rsid w:val="007358CB"/>
    <w:rsid w:val="00764461"/>
    <w:rsid w:val="00764483"/>
    <w:rsid w:val="00771C46"/>
    <w:rsid w:val="00777207"/>
    <w:rsid w:val="00786370"/>
    <w:rsid w:val="007A0780"/>
    <w:rsid w:val="007A0FFC"/>
    <w:rsid w:val="007B662A"/>
    <w:rsid w:val="007C31BE"/>
    <w:rsid w:val="007C3623"/>
    <w:rsid w:val="007F20EF"/>
    <w:rsid w:val="00807F10"/>
    <w:rsid w:val="008104B4"/>
    <w:rsid w:val="008120F2"/>
    <w:rsid w:val="00812B7A"/>
    <w:rsid w:val="00815E8C"/>
    <w:rsid w:val="0082132E"/>
    <w:rsid w:val="00826B84"/>
    <w:rsid w:val="00833FF8"/>
    <w:rsid w:val="008372EB"/>
    <w:rsid w:val="008428D9"/>
    <w:rsid w:val="008453FB"/>
    <w:rsid w:val="00857E72"/>
    <w:rsid w:val="008779C1"/>
    <w:rsid w:val="00880DC3"/>
    <w:rsid w:val="00894D35"/>
    <w:rsid w:val="008A1132"/>
    <w:rsid w:val="008A253F"/>
    <w:rsid w:val="008C7EB5"/>
    <w:rsid w:val="008E152D"/>
    <w:rsid w:val="008F58BE"/>
    <w:rsid w:val="008F593C"/>
    <w:rsid w:val="0091136E"/>
    <w:rsid w:val="00914619"/>
    <w:rsid w:val="00943B10"/>
    <w:rsid w:val="009472F4"/>
    <w:rsid w:val="009710DF"/>
    <w:rsid w:val="009802FC"/>
    <w:rsid w:val="00983ABC"/>
    <w:rsid w:val="00987BA7"/>
    <w:rsid w:val="009B44B4"/>
    <w:rsid w:val="009C2C0B"/>
    <w:rsid w:val="009D6C3B"/>
    <w:rsid w:val="009E0751"/>
    <w:rsid w:val="009E2273"/>
    <w:rsid w:val="009F625E"/>
    <w:rsid w:val="00A06FFF"/>
    <w:rsid w:val="00A120F9"/>
    <w:rsid w:val="00A1725A"/>
    <w:rsid w:val="00A30B19"/>
    <w:rsid w:val="00A401FC"/>
    <w:rsid w:val="00A45DA9"/>
    <w:rsid w:val="00A6508D"/>
    <w:rsid w:val="00A662BA"/>
    <w:rsid w:val="00A70597"/>
    <w:rsid w:val="00A718ED"/>
    <w:rsid w:val="00A834EB"/>
    <w:rsid w:val="00A847F9"/>
    <w:rsid w:val="00A85CF8"/>
    <w:rsid w:val="00A962BF"/>
    <w:rsid w:val="00AB1992"/>
    <w:rsid w:val="00AB30CD"/>
    <w:rsid w:val="00AB5F1A"/>
    <w:rsid w:val="00AC1D40"/>
    <w:rsid w:val="00AC2AE5"/>
    <w:rsid w:val="00AD478C"/>
    <w:rsid w:val="00AE3930"/>
    <w:rsid w:val="00AE66AB"/>
    <w:rsid w:val="00AF652D"/>
    <w:rsid w:val="00AF6E16"/>
    <w:rsid w:val="00B01D80"/>
    <w:rsid w:val="00B0735B"/>
    <w:rsid w:val="00B230B0"/>
    <w:rsid w:val="00B24E65"/>
    <w:rsid w:val="00B3057C"/>
    <w:rsid w:val="00B360DD"/>
    <w:rsid w:val="00B67D01"/>
    <w:rsid w:val="00B72750"/>
    <w:rsid w:val="00B73428"/>
    <w:rsid w:val="00B825C0"/>
    <w:rsid w:val="00BB1ADA"/>
    <w:rsid w:val="00BB1C02"/>
    <w:rsid w:val="00BB27FF"/>
    <w:rsid w:val="00BC1DFA"/>
    <w:rsid w:val="00BD3ACE"/>
    <w:rsid w:val="00BE4A55"/>
    <w:rsid w:val="00C0222E"/>
    <w:rsid w:val="00C04EAE"/>
    <w:rsid w:val="00C160D2"/>
    <w:rsid w:val="00C2131D"/>
    <w:rsid w:val="00C22EAC"/>
    <w:rsid w:val="00C241E6"/>
    <w:rsid w:val="00C31BB2"/>
    <w:rsid w:val="00C34836"/>
    <w:rsid w:val="00C40094"/>
    <w:rsid w:val="00C41944"/>
    <w:rsid w:val="00C41BD6"/>
    <w:rsid w:val="00C520D9"/>
    <w:rsid w:val="00C600BB"/>
    <w:rsid w:val="00C740E3"/>
    <w:rsid w:val="00C92E25"/>
    <w:rsid w:val="00CB4350"/>
    <w:rsid w:val="00CB602C"/>
    <w:rsid w:val="00CD5DC9"/>
    <w:rsid w:val="00CF2559"/>
    <w:rsid w:val="00CF42E8"/>
    <w:rsid w:val="00D04A1A"/>
    <w:rsid w:val="00D072B5"/>
    <w:rsid w:val="00D11A93"/>
    <w:rsid w:val="00D16331"/>
    <w:rsid w:val="00D42AC5"/>
    <w:rsid w:val="00D4689A"/>
    <w:rsid w:val="00D52417"/>
    <w:rsid w:val="00D62CAA"/>
    <w:rsid w:val="00D64949"/>
    <w:rsid w:val="00D7392C"/>
    <w:rsid w:val="00D8708A"/>
    <w:rsid w:val="00D9387C"/>
    <w:rsid w:val="00DD42B8"/>
    <w:rsid w:val="00DE30A6"/>
    <w:rsid w:val="00DE6988"/>
    <w:rsid w:val="00DF1343"/>
    <w:rsid w:val="00DF3F81"/>
    <w:rsid w:val="00DF5F56"/>
    <w:rsid w:val="00E14079"/>
    <w:rsid w:val="00E15910"/>
    <w:rsid w:val="00E40C42"/>
    <w:rsid w:val="00E5273A"/>
    <w:rsid w:val="00E53339"/>
    <w:rsid w:val="00E55376"/>
    <w:rsid w:val="00E62C43"/>
    <w:rsid w:val="00E75A64"/>
    <w:rsid w:val="00E96818"/>
    <w:rsid w:val="00EA06F1"/>
    <w:rsid w:val="00EB598A"/>
    <w:rsid w:val="00EC0BF1"/>
    <w:rsid w:val="00EC3BE6"/>
    <w:rsid w:val="00EC3FF1"/>
    <w:rsid w:val="00EC61A2"/>
    <w:rsid w:val="00ED7145"/>
    <w:rsid w:val="00EF43EA"/>
    <w:rsid w:val="00F05865"/>
    <w:rsid w:val="00F0646F"/>
    <w:rsid w:val="00F21ED3"/>
    <w:rsid w:val="00F372E1"/>
    <w:rsid w:val="00F420B3"/>
    <w:rsid w:val="00F43828"/>
    <w:rsid w:val="00F50164"/>
    <w:rsid w:val="00F51D66"/>
    <w:rsid w:val="00F5457C"/>
    <w:rsid w:val="00F57CE9"/>
    <w:rsid w:val="00F751C0"/>
    <w:rsid w:val="00FA382A"/>
    <w:rsid w:val="00FB3638"/>
    <w:rsid w:val="00FB36F1"/>
    <w:rsid w:val="00FB463E"/>
    <w:rsid w:val="00FC76D2"/>
    <w:rsid w:val="00FD72C3"/>
    <w:rsid w:val="00FE2728"/>
    <w:rsid w:val="00FE4E95"/>
    <w:rsid w:val="00FE5168"/>
    <w:rsid w:val="00FF33E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1A67BDA9"/>
  <w15:docId w15:val="{6E0F6F99-79A0-4EB2-A552-4628EF4420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0B1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D42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E08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E08D9"/>
  </w:style>
  <w:style w:type="paragraph" w:styleId="Footer">
    <w:name w:val="footer"/>
    <w:basedOn w:val="Normal"/>
    <w:link w:val="FooterChar"/>
    <w:uiPriority w:val="99"/>
    <w:unhideWhenUsed/>
    <w:rsid w:val="003E08D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E08D9"/>
  </w:style>
  <w:style w:type="paragraph" w:styleId="ListParagraph">
    <w:name w:val="List Paragraph"/>
    <w:basedOn w:val="Normal"/>
    <w:uiPriority w:val="34"/>
    <w:qFormat/>
    <w:rsid w:val="0046154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C61A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C61A2"/>
    <w:rPr>
      <w:rFonts w:ascii="Segoe UI" w:hAnsi="Segoe UI" w:cs="Segoe UI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641B4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1B4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1B4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1B4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1B47"/>
    <w:rPr>
      <w:b/>
      <w:bCs/>
      <w:sz w:val="20"/>
      <w:szCs w:val="20"/>
    </w:rPr>
  </w:style>
  <w:style w:type="paragraph" w:customStyle="1" w:styleId="Default">
    <w:name w:val="Default"/>
    <w:rsid w:val="008779C1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8879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214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31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5D7E221-A5EA-414C-99D1-B2EF51ADC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279</Words>
  <Characters>1593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2" baseType="lpstr">
      <vt:lpstr/>
      <vt:lpstr/>
    </vt:vector>
  </TitlesOfParts>
  <Company>KPMG</Company>
  <LinksUpToDate>false</LinksUpToDate>
  <CharactersWithSpaces>1869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nibrahim</dc:creator>
  <cp:lastModifiedBy>ALAA</cp:lastModifiedBy>
  <cp:revision>2</cp:revision>
  <cp:lastPrinted>2022-07-17T11:01:00Z</cp:lastPrinted>
  <dcterms:created xsi:type="dcterms:W3CDTF">2022-07-18T23:15:00Z</dcterms:created>
  <dcterms:modified xsi:type="dcterms:W3CDTF">2022-07-18T23:15:00Z</dcterms:modified>
</cp:coreProperties>
</file>