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E32C" w14:textId="77777777" w:rsidR="005F7191" w:rsidRDefault="005F7191">
      <w:pPr>
        <w:rPr>
          <w:rtl/>
        </w:rPr>
      </w:pPr>
    </w:p>
    <w:p w14:paraId="20CF6A81" w14:textId="77777777" w:rsidR="005F7191" w:rsidRDefault="005F7191">
      <w:pPr>
        <w:rPr>
          <w:rtl/>
        </w:rPr>
      </w:pPr>
    </w:p>
    <w:p w14:paraId="3DD3AF09" w14:textId="77777777" w:rsidR="005F7191" w:rsidRPr="005F7191" w:rsidRDefault="005F7191" w:rsidP="005F7191">
      <w:pPr>
        <w:widowControl w:val="0"/>
        <w:bidi/>
        <w:spacing w:after="100"/>
        <w:jc w:val="center"/>
        <w:rPr>
          <w:rFonts w:cs="Sultan bold"/>
          <w:color w:val="010100"/>
          <w:sz w:val="32"/>
          <w:szCs w:val="32"/>
        </w:rPr>
      </w:pPr>
      <w:r w:rsidRPr="005F7191">
        <w:rPr>
          <w:rFonts w:cs="Sultan bold" w:hint="cs"/>
          <w:color w:val="010100"/>
          <w:sz w:val="32"/>
          <w:szCs w:val="32"/>
          <w:rtl/>
        </w:rPr>
        <w:t>منهج القانون وسلوكيات مزاولي مهنة المحاسبة والمراجعة</w:t>
      </w:r>
    </w:p>
    <w:p w14:paraId="7CEEAF07" w14:textId="6C58E7E1" w:rsidR="005F7191" w:rsidRPr="005F7191" w:rsidRDefault="005F7191" w:rsidP="005F7191">
      <w:pPr>
        <w:widowControl w:val="0"/>
        <w:bidi/>
        <w:spacing w:after="100"/>
        <w:jc w:val="center"/>
        <w:rPr>
          <w:rFonts w:cs="Sultan bold"/>
          <w:color w:val="010100"/>
          <w:sz w:val="32"/>
          <w:szCs w:val="32"/>
        </w:rPr>
      </w:pPr>
      <w:r w:rsidRPr="005F7191">
        <w:rPr>
          <w:rFonts w:cs="Sultan bold" w:hint="cs"/>
          <w:color w:val="010100"/>
          <w:sz w:val="32"/>
          <w:szCs w:val="32"/>
          <w:rtl/>
        </w:rPr>
        <w:t>أولا:</w:t>
      </w:r>
      <w:r w:rsidRPr="005F7191">
        <w:rPr>
          <w:rFonts w:cs="Sultan bold" w:hint="cs"/>
          <w:color w:val="010100"/>
          <w:sz w:val="32"/>
          <w:szCs w:val="32"/>
          <w:rtl/>
        </w:rPr>
        <w:t xml:space="preserve"> القانون</w:t>
      </w:r>
    </w:p>
    <w:p w14:paraId="6BBD99AC" w14:textId="77777777" w:rsidR="005F7191" w:rsidRDefault="005F7191" w:rsidP="005F7191">
      <w:pPr>
        <w:widowControl w:val="0"/>
        <w:bidi/>
        <w:spacing w:after="10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7191">
        <w:rPr>
          <w:rFonts w:asciiTheme="majorBidi" w:hAnsiTheme="majorBidi" w:cstheme="majorBidi"/>
          <w:b/>
          <w:bCs/>
          <w:sz w:val="28"/>
          <w:szCs w:val="28"/>
          <w:rtl/>
        </w:rPr>
        <w:t>ينطوي المحتوى العلمي لمادة القانون: ما يتعلق بالقوانين التالية</w:t>
      </w:r>
    </w:p>
    <w:p w14:paraId="1647D785" w14:textId="77777777" w:rsidR="005F7191" w:rsidRPr="005F7191" w:rsidRDefault="005F7191" w:rsidP="005F7191">
      <w:pPr>
        <w:widowControl w:val="0"/>
        <w:bidi/>
        <w:spacing w:after="100"/>
        <w:rPr>
          <w:rFonts w:asciiTheme="majorBidi" w:hAnsiTheme="majorBidi" w:cstheme="majorBidi"/>
          <w:b/>
          <w:bCs/>
          <w:sz w:val="28"/>
          <w:szCs w:val="28"/>
        </w:rPr>
      </w:pPr>
    </w:p>
    <w:p w14:paraId="63BD5EAF" w14:textId="201314AA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hAnsiTheme="majorBidi" w:cstheme="majorBidi"/>
          <w:sz w:val="28"/>
          <w:szCs w:val="28"/>
        </w:rPr>
      </w:pPr>
      <w:r w:rsidRPr="005F7191">
        <w:rPr>
          <w:rFonts w:asciiTheme="majorBidi" w:hAnsiTheme="majorBidi" w:cstheme="majorBidi"/>
          <w:sz w:val="28"/>
          <w:szCs w:val="28"/>
          <w:rtl/>
          <w:lang w:bidi="fa-IR"/>
        </w:rPr>
        <w:t>۱</w:t>
      </w:r>
      <w:r w:rsidRPr="005F7191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5F7191">
        <w:rPr>
          <w:rFonts w:asciiTheme="majorBidi" w:hAnsiTheme="majorBidi" w:cstheme="majorBidi"/>
          <w:sz w:val="28"/>
          <w:szCs w:val="28"/>
          <w:rtl/>
        </w:rPr>
        <w:t>قانون مزاولة مهنة المحاسبة والمراجعة ، وتعديلاته.</w:t>
      </w:r>
    </w:p>
    <w:p w14:paraId="72E63B82" w14:textId="2A9B50DE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٢- قانون </w:t>
      </w:r>
      <w:r w:rsidRPr="005F7191">
        <w:rPr>
          <w:rFonts w:asciiTheme="majorBidi" w:eastAsia="Times New Roman" w:hAnsiTheme="majorBidi" w:cstheme="majorBidi" w:hint="cs"/>
          <w:sz w:val="28"/>
          <w:szCs w:val="28"/>
          <w:rtl/>
        </w:rPr>
        <w:t>التجارة،</w:t>
      </w: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 ولائحته التنفيذية، وتعديلاتهما</w:t>
      </w:r>
    </w:p>
    <w:p w14:paraId="0585E590" w14:textId="28F62D4C" w:rsidR="005F7191" w:rsidRPr="005F7191" w:rsidRDefault="00320AB3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>3</w:t>
      </w:r>
      <w:r w:rsidR="005F7191"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- قانون </w:t>
      </w:r>
      <w:r w:rsidR="005F7191" w:rsidRPr="005F7191">
        <w:rPr>
          <w:rFonts w:asciiTheme="majorBidi" w:eastAsia="Times New Roman" w:hAnsiTheme="majorBidi" w:cstheme="majorBidi" w:hint="cs"/>
          <w:sz w:val="28"/>
          <w:szCs w:val="28"/>
          <w:rtl/>
        </w:rPr>
        <w:t>الشركات،</w:t>
      </w:r>
      <w:r w:rsidR="005F7191"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 ولائحته التنفيذية، وتعديلاتهما</w:t>
      </w:r>
    </w:p>
    <w:p w14:paraId="7CC4782F" w14:textId="181FADA3" w:rsidR="005F7191" w:rsidRPr="005F7191" w:rsidRDefault="00320AB3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4- </w:t>
      </w:r>
      <w:r w:rsidR="005F7191" w:rsidRPr="005F7191">
        <w:rPr>
          <w:rFonts w:asciiTheme="majorBidi" w:eastAsia="Times New Roman" w:hAnsiTheme="majorBidi" w:cstheme="majorBidi"/>
          <w:sz w:val="28"/>
          <w:szCs w:val="28"/>
          <w:rtl/>
        </w:rPr>
        <w:t>قانون الاستثمار، ولائحته التنفيذية، وتعديلاتهما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>.</w:t>
      </w:r>
    </w:p>
    <w:p w14:paraId="1843B018" w14:textId="08B91A97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٥ - قانون البنوك </w:t>
      </w:r>
      <w:r w:rsidRPr="005F7191">
        <w:rPr>
          <w:rFonts w:asciiTheme="majorBidi" w:eastAsia="Times New Roman" w:hAnsiTheme="majorBidi" w:cstheme="majorBidi" w:hint="cs"/>
          <w:sz w:val="28"/>
          <w:szCs w:val="28"/>
          <w:rtl/>
        </w:rPr>
        <w:t>والائتمان،</w:t>
      </w: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 ولائحته التنفيذية، وتعديلاتهما</w:t>
      </w:r>
    </w:p>
    <w:p w14:paraId="3082A5AA" w14:textId="782BE177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>٦ - قانون تنظيم الرقابة على الأسواق والأدوات المالية غير المصرفية ولائحته</w:t>
      </w:r>
      <w:r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>التنفيذية</w:t>
      </w:r>
    </w:p>
    <w:p w14:paraId="1F1A4A98" w14:textId="42E0CF57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7191">
        <w:rPr>
          <w:rFonts w:asciiTheme="majorBidi" w:eastAsia="Times New Roman" w:hAnsiTheme="majorBidi" w:cstheme="majorBidi" w:hint="cs"/>
          <w:sz w:val="28"/>
          <w:szCs w:val="28"/>
          <w:rtl/>
        </w:rPr>
        <w:t>7</w:t>
      </w: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 - قانون سوق رأس المال، ولائحته التنفيذية، وتعديلاتهما</w:t>
      </w:r>
    </w:p>
    <w:p w14:paraId="4EAC68E8" w14:textId="31A2871A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hAnsiTheme="majorBidi" w:cstheme="majorBidi"/>
          <w:sz w:val="28"/>
          <w:szCs w:val="28"/>
        </w:rPr>
      </w:pPr>
      <w:r w:rsidRPr="005F7191">
        <w:rPr>
          <w:rFonts w:asciiTheme="majorBidi" w:hAnsiTheme="majorBidi" w:cstheme="majorBidi" w:hint="cs"/>
          <w:sz w:val="28"/>
          <w:szCs w:val="28"/>
          <w:rtl/>
        </w:rPr>
        <w:t xml:space="preserve">8 - </w:t>
      </w:r>
      <w:r w:rsidRPr="005F7191">
        <w:rPr>
          <w:rFonts w:asciiTheme="majorBidi" w:hAnsiTheme="majorBidi" w:cstheme="majorBidi"/>
          <w:sz w:val="28"/>
          <w:szCs w:val="28"/>
          <w:rtl/>
        </w:rPr>
        <w:t>ايه موضوعات أخرى ذات صلة</w:t>
      </w:r>
    </w:p>
    <w:p w14:paraId="47417541" w14:textId="77777777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b/>
          <w:sz w:val="28"/>
          <w:szCs w:val="28"/>
        </w:rPr>
      </w:pPr>
      <w:r w:rsidRPr="005F7191">
        <w:rPr>
          <w:rFonts w:asciiTheme="majorBidi" w:eastAsia="Times New Roman" w:hAnsiTheme="majorBidi" w:cstheme="majorBidi"/>
          <w:b/>
          <w:sz w:val="28"/>
          <w:szCs w:val="28"/>
          <w:rtl/>
        </w:rPr>
        <w:t>علي سبيل المثال</w:t>
      </w:r>
    </w:p>
    <w:p w14:paraId="353C2AD0" w14:textId="77777777" w:rsidR="005F7191" w:rsidRPr="005F7191" w:rsidRDefault="005F7191" w:rsidP="00320AB3">
      <w:pPr>
        <w:widowControl w:val="0"/>
        <w:bidi/>
        <w:spacing w:after="100" w:line="48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 xml:space="preserve">قواعد القيد والشطب بالبورصة ... اتفاقية التجارة الحرة </w:t>
      </w:r>
      <w:r w:rsidRPr="005F7191">
        <w:rPr>
          <w:rFonts w:asciiTheme="majorBidi" w:eastAsia="Times New Roman" w:hAnsiTheme="majorBidi" w:cstheme="majorBidi"/>
          <w:sz w:val="28"/>
          <w:szCs w:val="28"/>
        </w:rPr>
        <w:t>"</w:t>
      </w:r>
      <w:r w:rsidRPr="005F7191">
        <w:rPr>
          <w:rFonts w:asciiTheme="majorBidi" w:eastAsia="Times New Roman" w:hAnsiTheme="majorBidi" w:cstheme="majorBidi"/>
          <w:sz w:val="28"/>
          <w:szCs w:val="28"/>
          <w:rtl/>
        </w:rPr>
        <w:t>الجات" .... الخ</w:t>
      </w:r>
    </w:p>
    <w:p w14:paraId="3624E26F" w14:textId="0C12A66E" w:rsidR="00320AB3" w:rsidRDefault="00320AB3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2F31AB25" w14:textId="486F63AD" w:rsidR="00320AB3" w:rsidRPr="00320AB3" w:rsidRDefault="00320AB3" w:rsidP="00320AB3">
      <w:pPr>
        <w:widowControl w:val="0"/>
        <w:bidi/>
        <w:spacing w:after="100"/>
        <w:jc w:val="center"/>
        <w:rPr>
          <w:rFonts w:cs="Sultan bold"/>
          <w:color w:val="000000"/>
          <w:sz w:val="32"/>
          <w:szCs w:val="32"/>
        </w:rPr>
      </w:pPr>
      <w:r w:rsidRPr="00320AB3">
        <w:rPr>
          <w:rFonts w:cs="Sultan bold" w:hint="cs"/>
          <w:color w:val="000000"/>
          <w:sz w:val="32"/>
          <w:szCs w:val="32"/>
          <w:rtl/>
        </w:rPr>
        <w:lastRenderedPageBreak/>
        <w:t>ثانيا: سلوكيات مزاولي مهنة المحاسبة والمراجعة</w:t>
      </w:r>
    </w:p>
    <w:p w14:paraId="1F7F7A3E" w14:textId="328316BB" w:rsidR="00320AB3" w:rsidRPr="00320AB3" w:rsidRDefault="00320AB3" w:rsidP="00320AB3">
      <w:pPr>
        <w:widowControl w:val="0"/>
        <w:bidi/>
        <w:spacing w:after="100"/>
        <w:jc w:val="center"/>
        <w:rPr>
          <w:rFonts w:cs="Sultan bold"/>
          <w:color w:val="070700"/>
          <w:sz w:val="32"/>
          <w:szCs w:val="32"/>
        </w:rPr>
      </w:pPr>
      <w:r w:rsidRPr="00320AB3">
        <w:rPr>
          <w:rFonts w:cs="Sultan bold" w:hint="cs"/>
          <w:color w:val="070700"/>
          <w:sz w:val="32"/>
          <w:szCs w:val="32"/>
          <w:rtl/>
        </w:rPr>
        <w:t xml:space="preserve">الجزء </w:t>
      </w:r>
      <w:r w:rsidRPr="00320AB3">
        <w:rPr>
          <w:rFonts w:cs="Sultan bold" w:hint="cs"/>
          <w:color w:val="070700"/>
          <w:sz w:val="32"/>
          <w:szCs w:val="32"/>
          <w:rtl/>
        </w:rPr>
        <w:t>الاول:</w:t>
      </w:r>
      <w:r w:rsidRPr="00320AB3">
        <w:rPr>
          <w:rFonts w:cs="Sultan bold" w:hint="cs"/>
          <w:color w:val="070700"/>
          <w:sz w:val="32"/>
          <w:szCs w:val="32"/>
          <w:rtl/>
        </w:rPr>
        <w:t xml:space="preserve"> التطبيق العام للميثاق</w:t>
      </w:r>
    </w:p>
    <w:p w14:paraId="78816128" w14:textId="77777777" w:rsidR="00320AB3" w:rsidRDefault="00320AB3" w:rsidP="00320AB3">
      <w:pPr>
        <w:widowControl w:val="0"/>
        <w:spacing w:after="100"/>
        <w:rPr>
          <w:rFonts w:ascii="Times New Roman" w:eastAsia="Times New Roman" w:hAnsi="Times New Roman" w:cs="Times New Roman"/>
          <w:color w:val="0A0A00"/>
          <w:sz w:val="18"/>
          <w:szCs w:val="18"/>
        </w:rPr>
      </w:pPr>
      <w:r>
        <w:rPr>
          <w:rFonts w:ascii="Times New Roman" w:eastAsia="Times New Roman" w:hAnsi="Times New Roman" w:cs="Times New Roman"/>
          <w:color w:val="0A0A00"/>
          <w:sz w:val="18"/>
          <w:szCs w:val="18"/>
        </w:rPr>
        <w:t>.</w:t>
      </w:r>
    </w:p>
    <w:p w14:paraId="1679240F" w14:textId="77777777" w:rsidR="00320AB3" w:rsidRDefault="00320AB3" w:rsidP="00320AB3">
      <w:pPr>
        <w:widowControl w:val="0"/>
        <w:spacing w:after="100"/>
        <w:rPr>
          <w:rFonts w:ascii="Times New Roman" w:eastAsia="Times New Roman" w:hAnsi="Times New Roman" w:cs="Times New Roman"/>
          <w:color w:val="090900"/>
          <w:sz w:val="18"/>
          <w:szCs w:val="18"/>
        </w:rPr>
      </w:pPr>
      <w:r>
        <w:rPr>
          <w:rFonts w:ascii="Times New Roman" w:eastAsia="Times New Roman" w:hAnsi="Times New Roman" w:cs="Times New Roman"/>
          <w:color w:val="090900"/>
          <w:sz w:val="18"/>
          <w:szCs w:val="18"/>
        </w:rPr>
        <w:t>.</w:t>
      </w:r>
    </w:p>
    <w:p w14:paraId="406915E9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b/>
          <w:color w:val="0A0A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b/>
          <w:color w:val="0A0A00"/>
          <w:sz w:val="28"/>
          <w:szCs w:val="28"/>
          <w:rtl/>
        </w:rPr>
        <w:t>المقدمة والمبادئ الأساسية</w:t>
      </w:r>
    </w:p>
    <w:p w14:paraId="1A7A69E8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color w:val="0D0D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D0D00"/>
          <w:sz w:val="28"/>
          <w:szCs w:val="28"/>
          <w:rtl/>
        </w:rPr>
        <w:t>النزاهة</w:t>
      </w:r>
    </w:p>
    <w:p w14:paraId="653DB016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color w:val="0F0F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F0F00"/>
          <w:sz w:val="28"/>
          <w:szCs w:val="28"/>
          <w:rtl/>
        </w:rPr>
        <w:t>الموضوعية</w:t>
      </w:r>
    </w:p>
    <w:p w14:paraId="0A992EC9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color w:val="0909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90900"/>
          <w:sz w:val="28"/>
          <w:szCs w:val="28"/>
          <w:rtl/>
        </w:rPr>
        <w:t>الكفاءة المهنية والعناية الواجبة</w:t>
      </w:r>
    </w:p>
    <w:p w14:paraId="31A492FD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color w:val="0404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40400"/>
          <w:sz w:val="28"/>
          <w:szCs w:val="28"/>
          <w:rtl/>
        </w:rPr>
        <w:t>السرية</w:t>
      </w:r>
    </w:p>
    <w:p w14:paraId="11A7AFB5" w14:textId="77777777" w:rsidR="00320AB3" w:rsidRPr="00320AB3" w:rsidRDefault="00320AB3" w:rsidP="00320AB3">
      <w:pPr>
        <w:pStyle w:val="a6"/>
        <w:widowControl w:val="0"/>
        <w:numPr>
          <w:ilvl w:val="0"/>
          <w:numId w:val="1"/>
        </w:numPr>
        <w:bidi/>
        <w:spacing w:after="100"/>
        <w:rPr>
          <w:rFonts w:ascii="Times New Roman" w:eastAsia="Times New Roman" w:hAnsi="Times New Roman" w:cs="Times New Roman"/>
          <w:color w:val="0707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70700"/>
          <w:sz w:val="28"/>
          <w:szCs w:val="28"/>
          <w:rtl/>
        </w:rPr>
        <w:t>السلوك المهني</w:t>
      </w:r>
    </w:p>
    <w:p w14:paraId="690C6448" w14:textId="62EED61E" w:rsidR="00320AB3" w:rsidRPr="00320AB3" w:rsidRDefault="00320AB3" w:rsidP="00320AB3">
      <w:pPr>
        <w:widowControl w:val="0"/>
        <w:bidi/>
        <w:spacing w:after="100"/>
        <w:jc w:val="center"/>
        <w:rPr>
          <w:rFonts w:cs="Sultan bold"/>
          <w:color w:val="070700"/>
          <w:sz w:val="32"/>
          <w:szCs w:val="32"/>
        </w:rPr>
      </w:pPr>
      <w:r w:rsidRPr="00320AB3">
        <w:rPr>
          <w:rFonts w:cs="Sultan bold" w:hint="cs"/>
          <w:color w:val="070700"/>
          <w:sz w:val="32"/>
          <w:szCs w:val="32"/>
          <w:rtl/>
        </w:rPr>
        <w:t xml:space="preserve">الجزء </w:t>
      </w:r>
      <w:r w:rsidRPr="00320AB3">
        <w:rPr>
          <w:rFonts w:cs="Sultan bold" w:hint="cs"/>
          <w:color w:val="070700"/>
          <w:sz w:val="32"/>
          <w:szCs w:val="32"/>
          <w:rtl/>
        </w:rPr>
        <w:t>الثاني:</w:t>
      </w:r>
      <w:r w:rsidRPr="00320AB3">
        <w:rPr>
          <w:rFonts w:cs="Sultan bold" w:hint="cs"/>
          <w:color w:val="070700"/>
          <w:sz w:val="32"/>
          <w:szCs w:val="32"/>
          <w:rtl/>
        </w:rPr>
        <w:t xml:space="preserve"> المحاسب المهني المزاول</w:t>
      </w:r>
    </w:p>
    <w:p w14:paraId="1B6FFA78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color w:val="6969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696900"/>
          <w:sz w:val="28"/>
          <w:szCs w:val="28"/>
          <w:rtl/>
        </w:rPr>
        <w:t>المقدمة</w:t>
      </w:r>
    </w:p>
    <w:p w14:paraId="31E89F0B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b/>
          <w:color w:val="1111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b/>
          <w:color w:val="111100"/>
          <w:sz w:val="28"/>
          <w:szCs w:val="28"/>
          <w:rtl/>
        </w:rPr>
        <w:t>التعيين المهني تعارض المصالح</w:t>
      </w:r>
    </w:p>
    <w:p w14:paraId="442A2D7B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color w:val="3838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383800"/>
          <w:sz w:val="28"/>
          <w:szCs w:val="28"/>
          <w:rtl/>
        </w:rPr>
        <w:t>الحاجة إلى رأي ثان</w:t>
      </w:r>
    </w:p>
    <w:p w14:paraId="211FA246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color w:val="0A0A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A0A00"/>
          <w:sz w:val="28"/>
          <w:szCs w:val="28"/>
          <w:rtl/>
        </w:rPr>
        <w:t>الأتعاب والأنواع الأخرى لمقابل الخدمات</w:t>
      </w:r>
    </w:p>
    <w:p w14:paraId="55A1220F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color w:val="0C0C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0C0C00"/>
          <w:sz w:val="28"/>
          <w:szCs w:val="28"/>
          <w:rtl/>
        </w:rPr>
        <w:t>تسويق الخدمات المهنية</w:t>
      </w:r>
    </w:p>
    <w:p w14:paraId="21A46FFE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b/>
          <w:color w:val="0707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b/>
          <w:color w:val="070700"/>
          <w:sz w:val="28"/>
          <w:szCs w:val="28"/>
          <w:rtl/>
        </w:rPr>
        <w:t>الهدايا والضيافة</w:t>
      </w:r>
    </w:p>
    <w:p w14:paraId="3C69353F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b/>
          <w:color w:val="1212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b/>
          <w:color w:val="121200"/>
          <w:sz w:val="28"/>
          <w:szCs w:val="28"/>
          <w:rtl/>
        </w:rPr>
        <w:t>حيازة أصول العملاء</w:t>
      </w:r>
    </w:p>
    <w:p w14:paraId="2B2C80CA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color w:val="0C0C00"/>
          <w:sz w:val="28"/>
          <w:szCs w:val="28"/>
        </w:rPr>
      </w:pPr>
      <w:r w:rsidRPr="00320AB3">
        <w:rPr>
          <w:rFonts w:hint="cs"/>
          <w:color w:val="0C0C00"/>
          <w:sz w:val="28"/>
          <w:szCs w:val="28"/>
          <w:rtl/>
        </w:rPr>
        <w:t>الموضوعية - كافة الخدمات</w:t>
      </w:r>
    </w:p>
    <w:p w14:paraId="6555831F" w14:textId="77777777" w:rsidR="00320AB3" w:rsidRPr="00320AB3" w:rsidRDefault="00320AB3" w:rsidP="00320AB3">
      <w:pPr>
        <w:pStyle w:val="a6"/>
        <w:widowControl w:val="0"/>
        <w:numPr>
          <w:ilvl w:val="0"/>
          <w:numId w:val="2"/>
        </w:numPr>
        <w:bidi/>
        <w:spacing w:after="100"/>
        <w:rPr>
          <w:rFonts w:ascii="Times New Roman" w:eastAsia="Times New Roman" w:hAnsi="Times New Roman" w:cs="Times New Roman"/>
          <w:color w:val="363600"/>
          <w:sz w:val="28"/>
          <w:szCs w:val="28"/>
        </w:rPr>
      </w:pPr>
      <w:r w:rsidRPr="00320AB3">
        <w:rPr>
          <w:rFonts w:ascii="Times New Roman" w:eastAsia="Times New Roman" w:hAnsi="Times New Roman" w:cs="Times New Roman"/>
          <w:color w:val="363600"/>
          <w:sz w:val="28"/>
          <w:szCs w:val="28"/>
          <w:rtl/>
        </w:rPr>
        <w:t>الاستقلالية - عمليات خدمة التأكد</w:t>
      </w:r>
    </w:p>
    <w:p w14:paraId="428790B2" w14:textId="77777777" w:rsidR="005F7191" w:rsidRPr="005F7191" w:rsidRDefault="005F7191" w:rsidP="005F7191">
      <w:pPr>
        <w:bidi/>
      </w:pPr>
    </w:p>
    <w:sectPr w:rsidR="005F7191" w:rsidRPr="005F7191" w:rsidSect="00B32E4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87F7E" w14:textId="77777777" w:rsidR="00CD4C98" w:rsidRDefault="00CD4C98" w:rsidP="005F7191">
      <w:pPr>
        <w:spacing w:line="240" w:lineRule="auto"/>
      </w:pPr>
      <w:r>
        <w:separator/>
      </w:r>
    </w:p>
  </w:endnote>
  <w:endnote w:type="continuationSeparator" w:id="0">
    <w:p w14:paraId="20A63EF8" w14:textId="77777777" w:rsidR="00CD4C98" w:rsidRDefault="00CD4C98" w:rsidP="005F7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0" w:type="auto"/>
      <w:tblInd w:w="-570" w:type="dxa"/>
      <w:tblLook w:val="04A0" w:firstRow="1" w:lastRow="0" w:firstColumn="1" w:lastColumn="0" w:noHBand="0" w:noVBand="1"/>
    </w:tblPr>
    <w:tblGrid>
      <w:gridCol w:w="709"/>
      <w:gridCol w:w="9211"/>
    </w:tblGrid>
    <w:tr w:rsidR="005F7191" w14:paraId="3ABE7B84" w14:textId="77777777" w:rsidTr="008F44A1">
      <w:trPr>
        <w:trHeight w:val="558"/>
      </w:trPr>
      <w:tc>
        <w:tcPr>
          <w:tcW w:w="709" w:type="dxa"/>
        </w:tcPr>
        <w:p w14:paraId="1E55D4B4" w14:textId="091355F0" w:rsidR="005F7191" w:rsidRPr="005F7191" w:rsidRDefault="008F44A1" w:rsidP="005F7191">
          <w:pPr>
            <w:pStyle w:val="a3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 w:hint="cs"/>
              <w:noProof/>
              <w:sz w:val="28"/>
              <w:szCs w:val="28"/>
              <w:rtl/>
              <w:lang w:val="ar-SA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D48718" wp14:editId="12F1C9C1">
                    <wp:simplePos x="0" y="0"/>
                    <wp:positionH relativeFrom="column">
                      <wp:posOffset>-40640</wp:posOffset>
                    </wp:positionH>
                    <wp:positionV relativeFrom="paragraph">
                      <wp:posOffset>9525</wp:posOffset>
                    </wp:positionV>
                    <wp:extent cx="390525" cy="323850"/>
                    <wp:effectExtent l="0" t="0" r="9525" b="0"/>
                    <wp:wrapNone/>
                    <wp:docPr id="1596757224" name="مربع نص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5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E17C05" w14:textId="3A314212" w:rsidR="008F44A1" w:rsidRDefault="008E547F">
                                <w:r>
                                  <w:rPr>
                                    <w:rtl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tl/>
                                    <w:lang w:val="ar-SA"/>
                                  </w:rPr>
                                  <w:t>1</w:t>
                                </w:r>
                                <w:r>
                                  <w:rPr>
                                    <w:rtl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5D48718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2" o:spid="_x0000_s1026" type="#_x0000_t202" style="position:absolute;margin-left:-3.2pt;margin-top:.75pt;width:30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" fillcolor="white [3201]" stroked="f" strokeweight=".5pt">
                    <v:textbox>
                      <w:txbxContent>
                        <w:p w14:paraId="53E17C05" w14:textId="3A314212" w:rsidR="008F44A1" w:rsidRDefault="008E547F">
                          <w:r>
                            <w:rPr>
                              <w:rtl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tl/>
                              <w:lang w:val="ar-SA"/>
                            </w:rPr>
                            <w:t>1</w:t>
                          </w:r>
                          <w:r>
                            <w:rPr>
                              <w:rtl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1</w:t>
          </w:r>
        </w:p>
      </w:tc>
      <w:tc>
        <w:tcPr>
          <w:tcW w:w="9211" w:type="dxa"/>
        </w:tcPr>
        <w:p w14:paraId="5DCDC9AB" w14:textId="174C8E00" w:rsidR="005F7191" w:rsidRPr="005F7191" w:rsidRDefault="005F7191" w:rsidP="005F7191">
          <w:pPr>
            <w:pStyle w:val="a3"/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المستوي المتوسط </w:t>
          </w:r>
        </w:p>
      </w:tc>
    </w:tr>
  </w:tbl>
  <w:p w14:paraId="5F7CBA56" w14:textId="77777777" w:rsidR="005F7191" w:rsidRPr="005F7191" w:rsidRDefault="005F7191" w:rsidP="005F719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B4160" w14:textId="77777777" w:rsidR="00CD4C98" w:rsidRDefault="00CD4C98" w:rsidP="005F7191">
      <w:pPr>
        <w:spacing w:line="240" w:lineRule="auto"/>
      </w:pPr>
      <w:r>
        <w:separator/>
      </w:r>
    </w:p>
  </w:footnote>
  <w:footnote w:type="continuationSeparator" w:id="0">
    <w:p w14:paraId="0E92E059" w14:textId="77777777" w:rsidR="00CD4C98" w:rsidRDefault="00CD4C98" w:rsidP="005F71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0" w:type="auto"/>
      <w:tblInd w:w="-570" w:type="dxa"/>
      <w:tblLook w:val="04A0" w:firstRow="1" w:lastRow="0" w:firstColumn="1" w:lastColumn="0" w:noHBand="0" w:noVBand="1"/>
    </w:tblPr>
    <w:tblGrid>
      <w:gridCol w:w="3827"/>
      <w:gridCol w:w="6093"/>
    </w:tblGrid>
    <w:tr w:rsidR="005F7191" w14:paraId="30F01E3F" w14:textId="77777777" w:rsidTr="005F7191">
      <w:tc>
        <w:tcPr>
          <w:tcW w:w="3827" w:type="dxa"/>
        </w:tcPr>
        <w:p w14:paraId="1830BA32" w14:textId="72F1CC18" w:rsidR="005F7191" w:rsidRPr="005F7191" w:rsidRDefault="005F7191">
          <w:pPr>
            <w:pStyle w:val="a3"/>
            <w:rPr>
              <w:rFonts w:asciiTheme="majorBidi" w:hAnsiTheme="majorBidi" w:cstheme="majorBidi"/>
              <w:sz w:val="28"/>
              <w:szCs w:val="28"/>
              <w:rtl/>
            </w:rPr>
          </w:pPr>
          <w:r w:rsidRPr="005F7191">
            <w:rPr>
              <w:rFonts w:asciiTheme="majorBidi" w:hAnsiTheme="majorBidi" w:cstheme="majorBidi"/>
              <w:sz w:val="28"/>
              <w:szCs w:val="28"/>
              <w:rtl/>
            </w:rPr>
            <w:t xml:space="preserve">جمعية المحاسبين والمراجعين المصرية </w:t>
          </w:r>
        </w:p>
      </w:tc>
      <w:tc>
        <w:tcPr>
          <w:tcW w:w="6093" w:type="dxa"/>
        </w:tcPr>
        <w:p w14:paraId="2063D507" w14:textId="7A0FF31B" w:rsidR="005F7191" w:rsidRPr="005F7191" w:rsidRDefault="005F7191">
          <w:pPr>
            <w:pStyle w:val="a3"/>
            <w:rPr>
              <w:rFonts w:asciiTheme="majorBidi" w:hAnsiTheme="majorBidi" w:cstheme="majorBidi"/>
              <w:sz w:val="28"/>
              <w:szCs w:val="28"/>
              <w:rtl/>
            </w:rPr>
          </w:pPr>
          <w:r w:rsidRPr="005F7191">
            <w:rPr>
              <w:rFonts w:asciiTheme="majorBidi" w:hAnsiTheme="majorBidi" w:cstheme="majorBidi"/>
              <w:sz w:val="28"/>
              <w:szCs w:val="28"/>
              <w:rtl/>
            </w:rPr>
            <w:t xml:space="preserve">منهج قانون وسلوكيات مزاولي مهنة المحاسبة والمراجعة </w:t>
          </w:r>
        </w:p>
      </w:tc>
    </w:tr>
  </w:tbl>
  <w:p w14:paraId="6FB36482" w14:textId="77777777" w:rsidR="005F7191" w:rsidRDefault="005F71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67"/>
    <w:multiLevelType w:val="hybridMultilevel"/>
    <w:tmpl w:val="899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A0205"/>
    <w:multiLevelType w:val="hybridMultilevel"/>
    <w:tmpl w:val="6406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23120">
    <w:abstractNumId w:val="0"/>
  </w:num>
  <w:num w:numId="2" w16cid:durableId="11016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91"/>
    <w:rsid w:val="00320AB3"/>
    <w:rsid w:val="005F7191"/>
    <w:rsid w:val="008E547F"/>
    <w:rsid w:val="008F44A1"/>
    <w:rsid w:val="00B32E4E"/>
    <w:rsid w:val="00C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966DB9"/>
  <w15:chartTrackingRefBased/>
  <w15:docId w15:val="{8C321D7B-8733-4064-942F-0B27C6DA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191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191"/>
    <w:pPr>
      <w:tabs>
        <w:tab w:val="center" w:pos="4680"/>
        <w:tab w:val="right" w:pos="9360"/>
      </w:tabs>
      <w:bidi/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har">
    <w:name w:val="رأس الصفحة Char"/>
    <w:basedOn w:val="a0"/>
    <w:link w:val="a3"/>
    <w:uiPriority w:val="99"/>
    <w:rsid w:val="005F7191"/>
  </w:style>
  <w:style w:type="paragraph" w:styleId="a4">
    <w:name w:val="footer"/>
    <w:basedOn w:val="a"/>
    <w:link w:val="Char0"/>
    <w:uiPriority w:val="99"/>
    <w:unhideWhenUsed/>
    <w:rsid w:val="005F7191"/>
    <w:pPr>
      <w:tabs>
        <w:tab w:val="center" w:pos="4680"/>
        <w:tab w:val="right" w:pos="9360"/>
      </w:tabs>
      <w:bidi/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Char0">
    <w:name w:val="تذييل الصفحة Char"/>
    <w:basedOn w:val="a0"/>
    <w:link w:val="a4"/>
    <w:uiPriority w:val="99"/>
    <w:rsid w:val="005F7191"/>
  </w:style>
  <w:style w:type="table" w:styleId="a5">
    <w:name w:val="Table Grid"/>
    <w:basedOn w:val="a1"/>
    <w:uiPriority w:val="39"/>
    <w:rsid w:val="005F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aghanem</dc:creator>
  <cp:keywords/>
  <dc:description/>
  <cp:lastModifiedBy>aghanem</cp:lastModifiedBy>
  <cp:revision>2</cp:revision>
  <cp:lastPrinted>2023-08-21T09:47:00Z</cp:lastPrinted>
  <dcterms:created xsi:type="dcterms:W3CDTF">2023-08-21T09:30:00Z</dcterms:created>
  <dcterms:modified xsi:type="dcterms:W3CDTF">2023-08-21T09:52:00Z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2023-08-21T09:46:10Z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4110f0f8-f41b-4102-b006-a49a6a754f4b</vt:lpwstr>
  </property>
  <property fmtid="{D5CDD505-2E9C-101B-9397-08002B2CF9AE}" pid="7" name="MSIP_Label_defa4170-0d19-0005-0004-bc88714345d2_ActionId">
    <vt:lpwstr>664d6d5d-8a1a-4df1-8683-bfe1aea00ed9</vt:lpwstr>
  </property>
  <property fmtid="{D5CDD505-2E9C-101B-9397-08002B2CF9AE}" pid="8" name="MSIP_Label_defa4170-0d19-0005-0004-bc88714345d2_ContentBits">
    <vt:lpwstr>0</vt:lpwstr>
  </property>
</Properties>
</file>