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Sección 02: Mantenimiento de Proyectos</w:t>
      </w:r>
    </w:p>
    <w:p>
      <w:pPr>
        <w:pStyle w:val="Heading2"/>
      </w:pPr>
      <w:r>
        <w:t xml:space="preserve">Gestión de Datos Maestros</w:t>
      </w:r>
    </w:p>
    <w:p>
      <w:r>
        <w:t xml:space="preserve">El módulo de </w:t>
      </w:r>
      <w:r>
        <w:rPr>
          <w:b/>
          <w:bCs/>
        </w:rPr>
        <w:t xml:space="preserve">Mantenimiento de Proyectos</w:t>
      </w:r>
      <w:r>
        <w:t xml:space="preserve"> es donde se registran y actualizan centralizadamente los datos que luego se usarán en todos los reportes (ACT-122, ACT-117, etc.).</w:t>
      </w:r>
    </w:p>
    <w:p/>
    <w:p>
      <w:pPr>
        <w:pStyle w:val="Heading3"/>
      </w:pPr>
      <w:r>
        <w:t xml:space="preserve">Secciones de Datos Principales:</w:t>
      </w:r>
    </w:p>
    <w:p/>
    <w:p>
      <w:r>
        <w:t xml:space="preserve">1.  </w:t>
      </w:r>
      <w:r>
        <w:rPr>
          <w:b/>
          <w:bCs/>
        </w:rPr>
        <w:t xml:space="preserve">Datos Generales (Header):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**Project Name:** Nombre completo como aparece en el contrato.</w:t>
      </w:r>
    </w:p>
    <w:p>
      <w:pPr>
        <w:pStyle w:val="ListParagraph"/>
        <w:numPr>
          <w:ilvl w:val="0"/>
          <w:numId w:val="1"/>
        </w:numPr>
      </w:pPr>
      <w:r>
        <w:t xml:space="preserve">**Project IDs:** Project No., Oracle No., Federal No., OCPR.</w:t>
      </w:r>
    </w:p>
    <w:p>
      <w:pPr>
        <w:pStyle w:val="ListParagraph"/>
        <w:numPr>
          <w:ilvl w:val="0"/>
          <w:numId w:val="1"/>
        </w:numPr>
      </w:pPr>
      <w:r>
        <w:t xml:space="preserve">**Números de Cuenta (Account No.):** Vital para el FMIS y depósitos.</w:t>
      </w:r>
    </w:p>
    <w:p/>
    <w:p>
      <w:r>
        <w:t xml:space="preserve">2.  </w:t>
      </w:r>
      <w:r>
        <w:rPr>
          <w:b/>
          <w:bCs/>
        </w:rPr>
        <w:t xml:space="preserve">Fechas Críticas: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**Date Original Completion:** Fecha original pactada en el contrato.</w:t>
      </w:r>
    </w:p>
    <w:p>
      <w:pPr>
        <w:pStyle w:val="ListParagraph"/>
        <w:numPr>
          <w:ilvl w:val="0"/>
          <w:numId w:val="1"/>
        </w:numPr>
      </w:pPr>
      <w:r>
        <w:t xml:space="preserve">**Revised Completion Date:** Calculada automáticamente por el sistema sumando las extensiones de tiempo de todas las CHOs aprobadas.</w:t>
      </w:r>
    </w:p>
    <w:p>
      <w:pPr>
        <w:pStyle w:val="ListParagraph"/>
        <w:numPr>
          <w:ilvl w:val="0"/>
          <w:numId w:val="1"/>
        </w:numPr>
      </w:pPr>
      <w:r>
        <w:t xml:space="preserve">**Administrative Term Date (Contralor):** Nueva fecha límite de vigencia administrativa, extendida generalmente 2 años después de la fecha de terminación técnica.</w:t>
      </w:r>
    </w:p>
    <w:p/>
    <w:p>
      <w:r>
        <w:t xml:space="preserve">3.  </w:t>
      </w:r>
      <w:r>
        <w:rPr>
          <w:b/>
          <w:bCs/>
        </w:rPr>
        <w:t xml:space="preserve">Contratistas y Personal (Personnel):</w:t>
      </w:r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**Contractor Name (Oficial):** El nombre legal que firmará los documentos.</w:t>
      </w:r>
    </w:p>
    <w:p>
      <w:pPr>
        <w:pStyle w:val="ListParagraph"/>
        <w:numPr>
          <w:ilvl w:val="0"/>
          <w:numId w:val="1"/>
        </w:numPr>
      </w:pPr>
      <w:r>
        <w:t xml:space="preserve">**Residente de Proyecto (Resident Engineer):** Responsable técnico del proyecto.</w:t>
      </w:r>
    </w:p>
    <w:p>
      <w:pPr>
        <w:pStyle w:val="ListParagraph"/>
        <w:numPr>
          <w:ilvl w:val="0"/>
          <w:numId w:val="1"/>
        </w:numPr>
      </w:pPr>
      <w:r>
        <w:t xml:space="preserve">**Director Ejecutivo y PM:** Personal de supervisión de la ACT.</w:t>
      </w:r>
    </w:p>
    <w:p/>
    <w:p>
      <w:r>
        <w:t xml:space="preserve">---</w:t>
      </w:r>
    </w:p>
    <w:p>
      <w:pPr>
        <w:pStyle w:val="Heading3"/>
      </w:pPr>
      <w:r>
        <w:t xml:space="preserve">Gestión de la Lista de Partidas (Contract Items):</w:t>
      </w:r>
    </w:p>
    <w:p/>
    <w:p>
      <w:r>
        <w:t xml:space="preserve">Desde esta sección se pueden agregar todas las </w:t>
      </w:r>
      <w:r>
        <w:rPr>
          <w:b/>
          <w:bCs/>
        </w:rPr>
        <w:t xml:space="preserve">Partidas Originales</w:t>
      </w:r>
      <w:r>
        <w:t xml:space="preserve"> del Proyecto Agreement:</w:t>
      </w:r>
    </w:p>
    <w:p>
      <w:r>
        <w:t xml:space="preserve">1.  Introduzca el </w:t>
      </w:r>
      <w:r>
        <w:rPr>
          <w:b/>
          <w:bCs/>
        </w:rPr>
        <w:t xml:space="preserve">Item No.</w:t>
      </w:r>
      <w:r>
        <w:t xml:space="preserve"> oficial.</w:t>
      </w:r>
    </w:p>
    <w:p>
      <w:r>
        <w:t xml:space="preserve">2.  El sistema autocompletará la descripción y unidad si el ítem ya existe en la base de datos histórica de la ACT (Historial de Precios).</w:t>
      </w:r>
    </w:p>
    <w:p>
      <w:r>
        <w:t xml:space="preserve">3.  Defina la </w:t>
      </w:r>
      <w:r>
        <w:rPr>
          <w:b/>
          <w:bCs/>
        </w:rPr>
        <w:t xml:space="preserve">Cantidad Original</w:t>
      </w:r>
      <w:r>
        <w:t xml:space="preserve"> y el </w:t>
      </w:r>
      <w:r>
        <w:rPr>
          <w:b/>
          <w:bCs/>
        </w:rPr>
        <w:t xml:space="preserve">Precio Unitario</w:t>
      </w:r>
      <w:r>
        <w:t xml:space="preserve">.</w:t>
      </w:r>
    </w:p>
    <w:p>
      <w:r>
        <w:t xml:space="preserve">4.  Especifique el </w:t>
      </w:r>
      <w:r>
        <w:rPr>
          <w:b/>
          <w:bCs/>
        </w:rPr>
        <w:t xml:space="preserve">Origen de Fondos (Federal % / State %)</w:t>
      </w:r>
      <w:r>
        <w:t xml:space="preserve"> para cada partida.</w:t>
      </w:r>
    </w:p>
    <w:p/>
    <w:p>
      <w:pPr>
        <w:pStyle w:val="Heading3"/>
      </w:pPr>
      <w:r>
        <w:t xml:space="preserve">Cómo Usarlo:</w:t>
      </w:r>
    </w:p>
    <w:p>
      <w:pPr>
        <w:pStyle w:val="ListParagraph"/>
        <w:numPr>
          <w:ilvl w:val="0"/>
          <w:numId w:val="1"/>
        </w:numPr>
      </w:pPr>
      <w:r>
        <w:t xml:space="preserve">Acceda desde el menú lateral (icono de engranaje o martillo).</w:t>
      </w:r>
    </w:p>
    <w:p>
      <w:pPr>
        <w:pStyle w:val="ListParagraph"/>
        <w:numPr>
          <w:ilvl w:val="0"/>
          <w:numId w:val="1"/>
        </w:numPr>
      </w:pPr>
      <w:r>
        <w:t xml:space="preserve">Seleccione un proyecto de la lista desplegable.</w:t>
      </w:r>
    </w:p>
    <w:p>
      <w:pPr>
        <w:pStyle w:val="ListParagraph"/>
        <w:numPr>
          <w:ilvl w:val="0"/>
          <w:numId w:val="1"/>
        </w:numPr>
      </w:pPr>
      <w:r>
        <w:t xml:space="preserve">Los campos resaltados en **verde** (#66FF99) son obligatorios. El sistema le avisará si falta alguno esencial para los cálculos financieros.</w:t>
      </w:r>
    </w:p>
    <w:p/>
    <w:p>
      <w:r>
        <w:t xml:space="preserve">---</w:t>
      </w:r>
    </w:p>
    <w:p>
      <w:r>
        <w:t xml:space="preserve">&gt; [!IMPORTANT]</w:t>
      </w:r>
    </w:p>
    <w:p>
      <w:r>
        <w:t xml:space="preserve">&gt; Un cambio en esta sección afectará todos los reportes generados a partir de ese momento. Verifique que los nombres y números Oracle sean exactos.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2026-03-29T22:39:01.096Z</dcterms:created>
  <dcterms:modified xsi:type="dcterms:W3CDTF">2026-03-29T22:39:01.096Z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