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Arial" w:hAnsi="Arial"/>
          <w:b/>
          <w:color w:val="1F4E78"/>
          <w:sz w:val="44"/>
        </w:rPr>
        <w:t>DIAGRAMAS DE FLUJO DE PROCESOS (FLOWCHARTS)</w:t>
      </w:r>
    </w:p>
    <w:p>
      <w:pPr>
        <w:spacing w:before="0" w:after="280"/>
        <w:jc w:val="center"/>
      </w:pPr>
      <w:r>
        <w:rPr>
          <w:rFonts w:ascii="Arial" w:hAnsi="Arial"/>
          <w:i/>
          <w:color w:val="595959"/>
          <w:sz w:val="24"/>
        </w:rPr>
        <w:t>Manual de Flujos de Trabajo para las Módulos Principales del Sistema PACT</w:t>
        <w:br/>
        <w:t>Programa de Administración de Contratos y Control de Obra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1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8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F4E78"/>
                <w:sz w:val="22"/>
              </w:rPr>
              <w:t>📌 SOBRE EL DISEÑO DE PROCESOS PACT</w:t>
              <w:br/>
            </w:r>
            <w:r>
              <w:rPr>
                <w:rFonts w:ascii="Arial" w:hAnsi="Arial"/>
                <w:color w:val="333333"/>
                <w:sz w:val="20"/>
              </w:rPr>
              <w:t>Los diagramas de flujo presentados en este documento representan la arquitectura funcional de negocio del sistema PACT. Fueron concebidos y diseñados por el Ing. Enrique Saavedra Sada, PE, para normar y automatizar los procesos de auditoría, entrada de datos de campo, fiscalización laboral, control de manufactura BABA, certificación mensual de pagos y gestión de órdenes de cambio en proyectos de la Autoridad de Carreteras y Transportación (ACT / PRHTA) y la FHWA.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F4E78"/>
          <w:sz w:val="26"/>
        </w:rPr>
        <w:t>1. SECCIÓN: RESUMEN (DASHBOARD &amp; CONSOLIDACIÓN EJECUTIVA)</w:t>
      </w:r>
    </w:p>
    <w:p>
      <w:pPr>
        <w:spacing w:before="0" w:after="160" w:line="276" w:lineRule="auto"/>
        <w:jc w:val="both"/>
      </w:pPr>
      <w:r>
        <w:rPr>
          <w:rFonts w:ascii="Arial" w:hAnsi="Arial"/>
          <w:color w:val="333333"/>
          <w:sz w:val="20"/>
        </w:rPr>
        <w:t>El módulo de Resumen centraliza los datos maestros del contrato, consolidando el progreso físico de campo (ACT-45), los desembolsos acumulados (ACT-117C) y las modificaciones contractuales (CHO) para alimentar los indicadores ejecutivos (KPIs) y el informe maestro ACT-32.</w:t>
      </w:r>
    </w:p>
    <w:p>
      <w:pPr>
        <w:spacing w:before="80" w:after="80"/>
      </w:pPr>
      <w:r>
        <w:rPr>
          <w:rFonts w:ascii="Arial" w:hAnsi="Arial"/>
          <w:b/>
          <w:color w:val="2F5597"/>
          <w:sz w:val="20"/>
        </w:rPr>
        <w:t>Secuencia Lógica del Diagrama de Flujo (Pasos del Proceso):</w:t>
      </w:r>
    </w:p>
    <w:p>
      <w:pPr>
        <w:pStyle w:val="ListBullet"/>
        <w:spacing w:after="60"/>
      </w:pPr>
      <w:r>
        <w:rPr>
          <w:b/>
          <w:color w:val="1F4E78"/>
        </w:rPr>
        <w:t xml:space="preserve">Inicio: </w:t>
      </w:r>
      <w:r>
        <w:t>Carga inicial de los datos contractuales y partidas del proyecto.</w:t>
      </w:r>
    </w:p>
    <w:p>
      <w:pPr>
        <w:pStyle w:val="ListBullet"/>
        <w:spacing w:after="60"/>
      </w:pPr>
      <w:r>
        <w:rPr>
          <w:b/>
          <w:color w:val="1F4E78"/>
        </w:rPr>
        <w:t xml:space="preserve">Lectura de Datos: </w:t>
      </w:r>
      <w:r>
        <w:t>Procesamiento del Contrato Original y Órdenes de Cambio (CHO) aprobadas.</w:t>
      </w:r>
    </w:p>
    <w:p>
      <w:pPr>
        <w:pStyle w:val="ListBullet"/>
        <w:spacing w:after="60"/>
      </w:pPr>
      <w:r>
        <w:rPr>
          <w:b/>
          <w:color w:val="1F4E78"/>
        </w:rPr>
        <w:t xml:space="preserve">Consolidación Acumulada: </w:t>
      </w:r>
      <w:r>
        <w:t>Integración tripartita de Progreso en Campo (ACT-45), Pagos Mensuales (ACT-117C) y Retenciones/MOS (ACT-117B).</w:t>
      </w:r>
    </w:p>
    <w:p>
      <w:pPr>
        <w:pStyle w:val="ListBullet"/>
        <w:spacing w:after="60"/>
      </w:pPr>
      <w:r>
        <w:rPr>
          <w:b/>
          <w:color w:val="1F4E78"/>
        </w:rPr>
        <w:t xml:space="preserve">Cálculo de KPIs: </w:t>
      </w:r>
      <w:r>
        <w:t>Generación instantánea de porcentajes de avance físico, avance financiero, balance por certificar y días ejecutados vs. plazo contractual.</w:t>
      </w:r>
    </w:p>
    <w:p>
      <w:pPr>
        <w:pStyle w:val="ListBullet"/>
        <w:spacing w:after="60"/>
      </w:pPr>
      <w:r>
        <w:rPr>
          <w:b/>
          <w:color w:val="1F4E78"/>
        </w:rPr>
        <w:t xml:space="preserve">Salida de Datos: </w:t>
      </w:r>
      <w:r>
        <w:t>Presentación en Tableros Visuales y exportación del Formulario Ejecutivo Maestro ACT-32.</w:t>
      </w:r>
    </w:p>
    <w:p>
      <w:pPr>
        <w:keepNext/>
        <w:spacing w:before="320" w:after="120"/>
      </w:pPr>
      <w:r>
        <w:rPr>
          <w:rFonts w:ascii="Arial" w:hAnsi="Arial"/>
          <w:b/>
          <w:color w:val="1F4E78"/>
          <w:sz w:val="26"/>
        </w:rPr>
        <w:t>2. SECCIÓN: ENTRADA DE DATOS (INFORMES DIARIOS ACT-45 E INSPECCIÓN ACT-96)</w:t>
      </w:r>
    </w:p>
    <w:p>
      <w:pPr>
        <w:spacing w:before="0" w:after="160" w:line="276" w:lineRule="auto"/>
        <w:jc w:val="both"/>
      </w:pPr>
      <w:r>
        <w:rPr>
          <w:rFonts w:ascii="Arial" w:hAnsi="Arial"/>
          <w:color w:val="333333"/>
          <w:sz w:val="20"/>
        </w:rPr>
        <w:t>Gobierna la recolección de evidencia primaria en el sitio de construcción. Captura las jornadas laborales, condiciones climáticas, recursos consumidos, cantidades ejecutadas por partida y hallazgos ambientales/seguridad (ACT-96).</w:t>
      </w:r>
    </w:p>
    <w:p>
      <w:pPr>
        <w:spacing w:before="80" w:after="80"/>
      </w:pPr>
      <w:r>
        <w:rPr>
          <w:rFonts w:ascii="Arial" w:hAnsi="Arial"/>
          <w:b/>
          <w:color w:val="2F5597"/>
          <w:sz w:val="20"/>
        </w:rPr>
        <w:t>Secuencia Lógica del Diagrama de Flujo (Pasos del Proceso):</w:t>
      </w:r>
    </w:p>
    <w:p>
      <w:pPr>
        <w:pStyle w:val="ListBullet"/>
        <w:spacing w:after="60"/>
      </w:pPr>
      <w:r>
        <w:rPr>
          <w:b/>
          <w:color w:val="1F4E78"/>
        </w:rPr>
        <w:t xml:space="preserve">Inicio de Jornada: </w:t>
      </w:r>
      <w:r>
        <w:t>Creación del Informe Diario de Inspección (ACT-45).</w:t>
      </w:r>
    </w:p>
    <w:p>
      <w:pPr>
        <w:pStyle w:val="ListBullet"/>
        <w:spacing w:after="60"/>
      </w:pPr>
      <w:r>
        <w:rPr>
          <w:b/>
          <w:color w:val="1F4E78"/>
        </w:rPr>
        <w:t xml:space="preserve">Registro Ambiental &amp; Recursos: </w:t>
      </w:r>
      <w:r>
        <w:t>Ingreso de temperatura, clima, personal de trabajo y equipo utilizado.</w:t>
      </w:r>
    </w:p>
    <w:p>
      <w:pPr>
        <w:pStyle w:val="ListBullet"/>
        <w:spacing w:after="60"/>
      </w:pPr>
      <w:r>
        <w:rPr>
          <w:b/>
          <w:color w:val="1F4E78"/>
        </w:rPr>
        <w:t xml:space="preserve">Selección de Partidas: </w:t>
      </w:r>
      <w:r>
        <w:t>Desplegable estricto de partidas activas del contrato original o CHO aprobadas.</w:t>
      </w:r>
    </w:p>
    <w:p>
      <w:pPr>
        <w:pStyle w:val="ListBullet"/>
        <w:spacing w:after="60"/>
      </w:pPr>
      <w:r>
        <w:rPr>
          <w:b/>
          <w:color w:val="1F4E78"/>
        </w:rPr>
        <w:t xml:space="preserve">Ingreso de Cantidades: </w:t>
      </w:r>
      <w:r>
        <w:t>Registro de la producción física diaria por partida.</w:t>
      </w:r>
    </w:p>
    <w:p>
      <w:pPr>
        <w:pStyle w:val="ListBullet"/>
        <w:spacing w:after="60"/>
      </w:pPr>
      <w:r>
        <w:rPr>
          <w:b/>
          <w:color w:val="1F4E78"/>
        </w:rPr>
        <w:t xml:space="preserve">Evaluación de Incidencias: </w:t>
      </w:r>
      <w:r>
        <w:t>Si ocurren eventos especiales o inspecciones de agencias externas (EPA, OSHA, ACT, DNER), se abre y vincula el reporte ACT-96.</w:t>
      </w:r>
    </w:p>
    <w:p>
      <w:pPr>
        <w:pStyle w:val="ListBullet"/>
        <w:spacing w:after="60"/>
      </w:pPr>
      <w:r>
        <w:rPr>
          <w:b/>
          <w:color w:val="1F4E78"/>
        </w:rPr>
        <w:t xml:space="preserve">Evidencia Fotográfica: </w:t>
      </w:r>
      <w:r>
        <w:t>Anclaje de fotos fehacientes a la fecha y partida trabajada.</w:t>
      </w:r>
    </w:p>
    <w:p>
      <w:pPr>
        <w:pStyle w:val="ListBullet"/>
        <w:spacing w:after="60"/>
      </w:pPr>
      <w:r>
        <w:rPr>
          <w:b/>
          <w:color w:val="1F4E78"/>
        </w:rPr>
        <w:t xml:space="preserve">Cierre &amp; Validación: </w:t>
      </w:r>
      <w:r>
        <w:t>Firma digital del Inspector y actualización automática del 'Progreso en Campo' en PACT.</w:t>
      </w:r>
    </w:p>
    <w:p>
      <w:pPr>
        <w:keepNext/>
        <w:spacing w:before="320" w:after="120"/>
      </w:pPr>
      <w:r>
        <w:rPr>
          <w:rFonts w:ascii="Arial" w:hAnsi="Arial"/>
          <w:b/>
          <w:color w:val="1F4E78"/>
          <w:sz w:val="26"/>
        </w:rPr>
        <w:t>3. SECCIÓN: CUMPLIMIENTO LABORAL (CERTIFIED PAYROLL &amp; DAVIS-BACON)</w:t>
      </w:r>
    </w:p>
    <w:p>
      <w:pPr>
        <w:spacing w:before="0" w:after="160" w:line="276" w:lineRule="auto"/>
        <w:jc w:val="both"/>
      </w:pPr>
      <w:r>
        <w:rPr>
          <w:rFonts w:ascii="Arial" w:hAnsi="Arial"/>
          <w:color w:val="333333"/>
          <w:sz w:val="20"/>
        </w:rPr>
        <w:t>Módulo fiscalizador de la legislación laboral federal (Davis-Bacon Act) y estatal. Valida las clasificaciones de puestos, tarifas salariales por hora, pago de horas extra y retenciones de nómina de contratistas y subcontratistas.</w:t>
      </w:r>
    </w:p>
    <w:p>
      <w:pPr>
        <w:spacing w:before="80" w:after="80"/>
      </w:pPr>
      <w:r>
        <w:rPr>
          <w:rFonts w:ascii="Arial" w:hAnsi="Arial"/>
          <w:b/>
          <w:color w:val="2F5597"/>
          <w:sz w:val="20"/>
        </w:rPr>
        <w:t>Secuencia Lógica del Diagrama de Flujo (Pasos del Proceso):</w:t>
      </w:r>
    </w:p>
    <w:p>
      <w:pPr>
        <w:pStyle w:val="ListBullet"/>
        <w:spacing w:after="60"/>
      </w:pPr>
      <w:r>
        <w:rPr>
          <w:b/>
          <w:color w:val="1F4E78"/>
        </w:rPr>
        <w:t xml:space="preserve">Recepción de Nóminas: </w:t>
      </w:r>
      <w:r>
        <w:t>Carga de la nómina semanal certificada del contratista principal y subcontratistas.</w:t>
      </w:r>
    </w:p>
    <w:p>
      <w:pPr>
        <w:pStyle w:val="ListBullet"/>
        <w:spacing w:after="60"/>
      </w:pPr>
      <w:r>
        <w:rPr>
          <w:b/>
          <w:color w:val="1F4E78"/>
        </w:rPr>
        <w:t xml:space="preserve">Auditoría de Puestos: </w:t>
      </w:r>
      <w:r>
        <w:t>Verificación de las clasificaciones laborales (carpinteros, operadores, albañiles, etc.).</w:t>
      </w:r>
    </w:p>
    <w:p>
      <w:pPr>
        <w:pStyle w:val="ListBullet"/>
        <w:spacing w:after="60"/>
      </w:pPr>
      <w:r>
        <w:rPr>
          <w:b/>
          <w:color w:val="1F4E78"/>
        </w:rPr>
        <w:t xml:space="preserve">Verificación Salarial: </w:t>
      </w:r>
      <w:r>
        <w:t>Cruce automático de la tarifa pagada por hora contra la escala de salarios mínimos vigentes.</w:t>
      </w:r>
    </w:p>
    <w:p>
      <w:pPr>
        <w:pStyle w:val="ListBullet"/>
        <w:spacing w:after="60"/>
      </w:pPr>
      <w:r>
        <w:rPr>
          <w:b/>
          <w:color w:val="1F4E78"/>
        </w:rPr>
        <w:t xml:space="preserve">Control de Horas Extra: </w:t>
      </w:r>
      <w:r>
        <w:t>Auditoría de cálculo de pago de horas extra (Overtime) tras rebasar las horas legales diarias/semanales.</w:t>
      </w:r>
    </w:p>
    <w:p>
      <w:pPr>
        <w:pStyle w:val="ListBullet"/>
        <w:spacing w:after="60"/>
      </w:pPr>
      <w:r>
        <w:rPr>
          <w:b/>
          <w:color w:val="1F4E78"/>
        </w:rPr>
        <w:t xml:space="preserve">Validación Jurídica: </w:t>
      </w:r>
      <w:r>
        <w:t>Revisión de la Declaración Jurada adjunta al reporte de nómina.</w:t>
      </w:r>
    </w:p>
    <w:p>
      <w:pPr>
        <w:pStyle w:val="ListBullet"/>
        <w:spacing w:after="60"/>
      </w:pPr>
      <w:r>
        <w:rPr>
          <w:b/>
          <w:color w:val="1F4E78"/>
        </w:rPr>
        <w:t xml:space="preserve">Aprobación Laboral: </w:t>
      </w:r>
      <w:r>
        <w:t>Emisión de conformidad en PACT para habilitar el trámite de certificación de pago.</w:t>
      </w:r>
    </w:p>
    <w:p>
      <w:pPr>
        <w:keepNext/>
        <w:spacing w:before="320" w:after="120"/>
      </w:pPr>
      <w:r>
        <w:rPr>
          <w:rFonts w:ascii="Arial" w:hAnsi="Arial"/>
          <w:b/>
          <w:color w:val="1F4E78"/>
          <w:sz w:val="26"/>
        </w:rPr>
        <w:t>4. SECCIÓN: CERTIFICADOS DE MANUFACTURA (CM &amp; CUMPLIMIENTO BABA)</w:t>
      </w:r>
    </w:p>
    <w:p>
      <w:pPr>
        <w:spacing w:before="0" w:after="160" w:line="276" w:lineRule="auto"/>
        <w:jc w:val="both"/>
      </w:pPr>
      <w:r>
        <w:rPr>
          <w:rFonts w:ascii="Arial" w:hAnsi="Arial"/>
          <w:color w:val="333333"/>
          <w:sz w:val="20"/>
        </w:rPr>
        <w:t>Aplica la 'Regla de Oro' de PACT. Asegura que ninguna partida de hierro, acero o producto manufacturado BABA sea certifiable para cobro sin contar con el respaldo documental de procedencia y calidad cargado en el sistema.</w:t>
      </w:r>
    </w:p>
    <w:p>
      <w:pPr>
        <w:spacing w:before="80" w:after="80"/>
      </w:pPr>
      <w:r>
        <w:rPr>
          <w:rFonts w:ascii="Arial" w:hAnsi="Arial"/>
          <w:b/>
          <w:color w:val="2F5597"/>
          <w:sz w:val="20"/>
        </w:rPr>
        <w:t>Secuencia Lógica del Diagrama de Flujo (Pasos del Proceso):</w:t>
      </w:r>
    </w:p>
    <w:p>
      <w:pPr>
        <w:pStyle w:val="ListBullet"/>
        <w:spacing w:after="60"/>
      </w:pPr>
      <w:r>
        <w:rPr>
          <w:b/>
          <w:color w:val="1F4E78"/>
        </w:rPr>
        <w:t xml:space="preserve">Carga Documental: </w:t>
      </w:r>
      <w:r>
        <w:t>Ingreso del Certificado de Manufactura (MTR / BABA) emitido por el fabricante.</w:t>
      </w:r>
    </w:p>
    <w:p>
      <w:pPr>
        <w:pStyle w:val="ListBullet"/>
        <w:spacing w:after="60"/>
      </w:pPr>
      <w:r>
        <w:rPr>
          <w:b/>
          <w:color w:val="1F4E78"/>
        </w:rPr>
        <w:t xml:space="preserve">Asociación de Partidas: </w:t>
      </w:r>
      <w:r>
        <w:t>Vinculación directa a la partida o grupo de partidas amparadas.</w:t>
      </w:r>
    </w:p>
    <w:p>
      <w:pPr>
        <w:pStyle w:val="ListBullet"/>
        <w:spacing w:after="60"/>
      </w:pPr>
      <w:r>
        <w:rPr>
          <w:b/>
          <w:color w:val="1F4E78"/>
        </w:rPr>
        <w:t xml:space="preserve">Evaluación de Certificado Múltiple: </w:t>
      </w:r>
      <w:r>
        <w:t>Si el certificado cubre varias partidas, se activa la distribución por ítem y PACT expande automáticamente los registros en la base de datos.</w:t>
      </w:r>
    </w:p>
    <w:p>
      <w:pPr>
        <w:pStyle w:val="ListBullet"/>
        <w:spacing w:after="60"/>
      </w:pPr>
      <w:r>
        <w:rPr>
          <w:b/>
          <w:color w:val="1F4E78"/>
        </w:rPr>
        <w:t xml:space="preserve">Validación del Balance: </w:t>
      </w:r>
      <w:r>
        <w:t>Comprobación automática: Cantidad Total Certificada CM &gt;= Cantidad Acumulada a Pagar.</w:t>
      </w:r>
    </w:p>
    <w:p>
      <w:pPr>
        <w:pStyle w:val="ListBullet"/>
        <w:spacing w:after="60"/>
      </w:pPr>
      <w:r>
        <w:rPr>
          <w:b/>
          <w:color w:val="1F4E78"/>
        </w:rPr>
        <w:t xml:space="preserve">Detección de Incumplimiento: </w:t>
      </w:r>
      <w:r>
        <w:t>Si la cantidad es insuficiente, PACT despliega una alerta roja visual en el módulo de cobro.</w:t>
      </w:r>
    </w:p>
    <w:p>
      <w:pPr>
        <w:pStyle w:val="ListBullet"/>
        <w:spacing w:after="60"/>
      </w:pPr>
      <w:r>
        <w:rPr>
          <w:b/>
          <w:color w:val="1F4E78"/>
        </w:rPr>
        <w:t xml:space="preserve">Aprobación: </w:t>
      </w:r>
      <w:r>
        <w:t>Si se cumple el 100% del respaldo, la partida queda habilitada en verde para cobro auditado.</w:t>
      </w:r>
    </w:p>
    <w:p>
      <w:pPr>
        <w:keepNext/>
        <w:spacing w:before="320" w:after="120"/>
      </w:pPr>
      <w:r>
        <w:rPr>
          <w:rFonts w:ascii="Arial" w:hAnsi="Arial"/>
          <w:b/>
          <w:color w:val="1F4E78"/>
          <w:sz w:val="26"/>
        </w:rPr>
        <w:t>5. SECCIÓN: MONTHLY PAYMENT (CERTIFICACIÓN DE PAGO MENSUAL ACT-117C)</w:t>
      </w:r>
    </w:p>
    <w:p>
      <w:pPr>
        <w:spacing w:before="0" w:after="160" w:line="276" w:lineRule="auto"/>
        <w:jc w:val="both"/>
      </w:pPr>
      <w:r>
        <w:rPr>
          <w:rFonts w:ascii="Arial" w:hAnsi="Arial"/>
          <w:color w:val="333333"/>
          <w:sz w:val="20"/>
        </w:rPr>
        <w:t>Gestiona la liquidación financiera del periodo. Integra el progreso medido en campo, los respaldos de manufactura, el balance de Material On Site (ACT-117B) y aplica automáticamente la retención contractual.</w:t>
      </w:r>
    </w:p>
    <w:p>
      <w:pPr>
        <w:spacing w:before="80" w:after="80"/>
      </w:pPr>
      <w:r>
        <w:rPr>
          <w:rFonts w:ascii="Arial" w:hAnsi="Arial"/>
          <w:b/>
          <w:color w:val="2F5597"/>
          <w:sz w:val="20"/>
        </w:rPr>
        <w:t>Secuencia Lógica del Diagrama de Flujo (Pasos del Proceso):</w:t>
      </w:r>
    </w:p>
    <w:p>
      <w:pPr>
        <w:pStyle w:val="ListBullet"/>
        <w:spacing w:after="60"/>
      </w:pPr>
      <w:r>
        <w:rPr>
          <w:b/>
          <w:color w:val="1F4E78"/>
        </w:rPr>
        <w:t xml:space="preserve">Apertura de Periodo: </w:t>
      </w:r>
      <w:r>
        <w:t>Inicio de la Certificación Mensual de Pago (ACT-117C).</w:t>
      </w:r>
    </w:p>
    <w:p>
      <w:pPr>
        <w:pStyle w:val="ListBullet"/>
        <w:spacing w:after="60"/>
      </w:pPr>
      <w:r>
        <w:rPr>
          <w:b/>
          <w:color w:val="1F4E78"/>
        </w:rPr>
        <w:t xml:space="preserve">Conciliación de Campo: </w:t>
      </w:r>
      <w:r>
        <w:t>Carga del acumulado de cantidades trabajadas validadas por los informes ACT-45.</w:t>
      </w:r>
    </w:p>
    <w:p>
      <w:pPr>
        <w:pStyle w:val="ListBullet"/>
        <w:spacing w:after="60"/>
      </w:pPr>
      <w:r>
        <w:rPr>
          <w:b/>
          <w:color w:val="1F4E78"/>
        </w:rPr>
        <w:t xml:space="preserve">Verificación de Garantías: </w:t>
      </w:r>
      <w:r>
        <w:t>Confirmación de respaldos de Certificados de Manufactura en verde y adición de Material On Site (ACT-117B).</w:t>
      </w:r>
    </w:p>
    <w:p>
      <w:pPr>
        <w:pStyle w:val="ListBullet"/>
        <w:spacing w:after="60"/>
      </w:pPr>
      <w:r>
        <w:rPr>
          <w:b/>
          <w:color w:val="1F4E78"/>
        </w:rPr>
        <w:t xml:space="preserve">Cálculo Bruto &amp; Retención: </w:t>
      </w:r>
      <w:r>
        <w:t>Determinación del subtotal a pagar y aplicación automática del porcentaje de retención contractual (Retainage 5%/10%).</w:t>
      </w:r>
    </w:p>
    <w:p>
      <w:pPr>
        <w:pStyle w:val="ListBullet"/>
        <w:spacing w:after="60"/>
      </w:pPr>
      <w:r>
        <w:rPr>
          <w:b/>
          <w:color w:val="1F4E78"/>
        </w:rPr>
        <w:t xml:space="preserve">Determinación del Neto: </w:t>
      </w:r>
      <w:r>
        <w:t>Deducción de pagadurías anteriores y establecimiento del monto neto a desembolsar.</w:t>
      </w:r>
    </w:p>
    <w:p>
      <w:pPr>
        <w:pStyle w:val="ListBullet"/>
        <w:spacing w:after="60"/>
      </w:pPr>
      <w:r>
        <w:rPr>
          <w:b/>
          <w:color w:val="1F4E78"/>
        </w:rPr>
        <w:t xml:space="preserve">Aprobación &amp; Firma: </w:t>
      </w:r>
      <w:r>
        <w:t>Sello digital del Inspector, Ingeniero Residente y Asesor Legal.</w:t>
      </w:r>
    </w:p>
    <w:p>
      <w:pPr>
        <w:pStyle w:val="ListBullet"/>
        <w:spacing w:after="60"/>
      </w:pPr>
      <w:r>
        <w:rPr>
          <w:b/>
          <w:color w:val="1F4E78"/>
        </w:rPr>
        <w:t xml:space="preserve">Exportación Oficial: </w:t>
      </w:r>
      <w:r>
        <w:t>Emisión de reportes oficiales en Excel y PDF.</w:t>
      </w:r>
    </w:p>
    <w:p>
      <w:pPr>
        <w:keepNext/>
        <w:spacing w:before="320" w:after="120"/>
      </w:pPr>
      <w:r>
        <w:rPr>
          <w:rFonts w:ascii="Arial" w:hAnsi="Arial"/>
          <w:b/>
          <w:color w:val="1F4E78"/>
          <w:sz w:val="26"/>
        </w:rPr>
        <w:t>6. SECCIÓN: CHANGE ORDER (ÓRDENES DE CAMBIO CHO / ACT-122 / ACT-123)</w:t>
      </w:r>
    </w:p>
    <w:p>
      <w:pPr>
        <w:spacing w:before="0" w:after="160" w:line="276" w:lineRule="auto"/>
        <w:jc w:val="both"/>
      </w:pPr>
      <w:r>
        <w:rPr>
          <w:rFonts w:ascii="Arial" w:hAnsi="Arial"/>
          <w:color w:val="333333"/>
          <w:sz w:val="20"/>
        </w:rPr>
        <w:t>Mecanismo formal y legal para modificar el contrato original. Gestiona partidas extra, ajustes de cantidades, extensiones de plazo y validación presupuestaria federal/estatal.</w:t>
      </w:r>
    </w:p>
    <w:p>
      <w:pPr>
        <w:spacing w:before="80" w:after="80"/>
      </w:pPr>
      <w:r>
        <w:rPr>
          <w:rFonts w:ascii="Arial" w:hAnsi="Arial"/>
          <w:b/>
          <w:color w:val="2F5597"/>
          <w:sz w:val="20"/>
        </w:rPr>
        <w:t>Secuencia Lógica del Diagrama de Flujo (Pasos del Proceso):</w:t>
      </w:r>
    </w:p>
    <w:p>
      <w:pPr>
        <w:pStyle w:val="ListBullet"/>
        <w:spacing w:after="60"/>
      </w:pPr>
      <w:r>
        <w:rPr>
          <w:b/>
          <w:color w:val="1F4E78"/>
        </w:rPr>
        <w:t xml:space="preserve">Detección del Cambio: </w:t>
      </w:r>
      <w:r>
        <w:t>Identificación de imprevisto en campo, ajuste de diseño o trabajo adicional.</w:t>
      </w:r>
    </w:p>
    <w:p>
      <w:pPr>
        <w:pStyle w:val="ListBullet"/>
        <w:spacing w:after="60"/>
      </w:pPr>
      <w:r>
        <w:rPr>
          <w:b/>
          <w:color w:val="1F4E78"/>
        </w:rPr>
        <w:t xml:space="preserve">Elaboración del Borrador: </w:t>
      </w:r>
      <w:r>
        <w:t>Creación de la Orden de Cambio (CHO) mediante formulario ACT-122.</w:t>
      </w:r>
    </w:p>
    <w:p>
      <w:pPr>
        <w:pStyle w:val="ListBullet"/>
        <w:spacing w:after="60"/>
      </w:pPr>
      <w:r>
        <w:rPr>
          <w:b/>
          <w:color w:val="1F4E78"/>
        </w:rPr>
        <w:t xml:space="preserve">Desglose de Costos (ACT-123): </w:t>
      </w:r>
      <w:r>
        <w:t>Análisis detallado de mano de obra, equipo, materiales, subcontratos y tiempo adicional.</w:t>
      </w:r>
    </w:p>
    <w:p>
      <w:pPr>
        <w:pStyle w:val="ListBullet"/>
        <w:spacing w:after="60"/>
      </w:pPr>
      <w:r>
        <w:rPr>
          <w:b/>
          <w:color w:val="1F4E78"/>
        </w:rPr>
        <w:t xml:space="preserve">Verificación Presupuestaria: </w:t>
      </w:r>
      <w:r>
        <w:t>Validación en PACT de que el monto no sobrepase el techo de asignación de fondos federales/estatales.</w:t>
      </w:r>
    </w:p>
    <w:p>
      <w:pPr>
        <w:pStyle w:val="ListBullet"/>
        <w:spacing w:after="60"/>
      </w:pPr>
      <w:r>
        <w:rPr>
          <w:b/>
          <w:color w:val="1F4E78"/>
        </w:rPr>
        <w:t xml:space="preserve">Checklist de Cumplimiento (ACT-124): </w:t>
      </w:r>
      <w:r>
        <w:t>Verificación de endosos ambientales, legales y técnicos.</w:t>
      </w:r>
    </w:p>
    <w:p>
      <w:pPr>
        <w:pStyle w:val="ListBullet"/>
        <w:spacing w:after="60"/>
      </w:pPr>
      <w:r>
        <w:rPr>
          <w:b/>
          <w:color w:val="1F4E78"/>
        </w:rPr>
        <w:t xml:space="preserve">Aprobación &amp; Inyección: </w:t>
      </w:r>
      <w:r>
        <w:t>Firma de las partes e inyección automática de nuevas partidas y días de extensión al contrato activo en PACT.</w:t>
      </w:r>
    </w:p>
    <w:p>
      <w:r>
        <w:br w:type="page"/>
      </w:r>
    </w:p>
    <w:p>
      <w:pPr>
        <w:spacing w:before="280" w:after="120"/>
      </w:pPr>
      <w:r>
        <w:rPr>
          <w:rFonts w:ascii="Arial" w:hAnsi="Arial"/>
          <w:b/>
          <w:color w:val="1F4E78"/>
          <w:sz w:val="30"/>
        </w:rPr>
        <w:t>SECCIÓN ABOUT - CRÉDITOS Y RECONOCIMIENTO DE AUTORÍA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8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F4E78"/>
                <w:sz w:val="22"/>
              </w:rPr>
              <w:t>📌 SISTEMA PACT - AUTORÍA Y PROPIEDAD INTELECTUAL</w:t>
              <w:br/>
            </w:r>
            <w:r>
              <w:rPr>
                <w:rFonts w:ascii="Arial" w:hAnsi="Arial"/>
                <w:color w:val="333333"/>
                <w:sz w:val="20"/>
              </w:rPr>
              <w:t>El diseño de flujos de proceso, arquitectura de datos y diagramas funcionales del programa PACT ha sido desarrollado en su totalidad por el Ing. Enrique Saavedra Sada, PE.</w:t>
              <w:br/>
              <w:br/>
              <w:t>Esta documentación técnica de flujos de trabajo (Flowcharts) sirve como estándar oficial de operación para la administración, inspección y auditoría de proyectos de construcción bajo el sistema PACT.</w:t>
              <w:br/>
              <w:br/>
              <w:t>Diseñador del Software y Procesos: Ing. Enrique Saavedra Sada, PE</w:t>
              <w:br/>
              <w:t>Fecha de Publicación: Julio 2026</w:t>
              <w:br/>
              <w:t>Ubicación de Archivos: C:\Users\Enrique Saavedra\Documents\PROGRAMAS AI\Programa ACT\Documentos\Flowcharts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