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color w:val="0066B1"/>
          <w:sz w:val="40"/>
          <w:szCs w:val="40"/>
        </w:rPr>
        <w:t xml:space="preserve">Frontend UI/UX Planning Document</w:t>
      </w:r>
    </w:p>
    <w:p>
      <w:pPr>
        <w:spacing w:after="160"/>
      </w:pPr>
      <w:r>
        <w:rPr>
          <w:color w:val="3A3A3A"/>
          <w:sz w:val="22"/>
          <w:szCs w:val="22"/>
        </w:rPr>
        <w:t xml:space="preserve">Purpose: Define a modern, software-house level frontend for the BEV/PHEV Vehicle Type Prediction project. This document focuses on user experience, UI components, dashboard design and technologies.</w:t>
      </w:r>
    </w:p>
    <w:p>
      <w:pPr>
        <w:pStyle w:val="Heading1"/>
        <w:spacing w:after="200" w:before="300"/>
      </w:pPr>
      <w:r>
        <w:rPr>
          <w:b/>
          <w:bCs/>
          <w:color w:val="0066B1"/>
          <w:sz w:val="32"/>
          <w:szCs w:val="32"/>
        </w:rPr>
        <w:t xml:space="preserve">Selected Frontend Stack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40"/>
      </w:tblGrid>
      <w:tr>
        <w:tc>
          <w:tcPr>
            <w:tcW w:type="dxa" w:w="2800"/>
            <w:shd w:fill="0066B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Framework</w:t>
            </w:r>
          </w:p>
        </w:tc>
        <w:tc>
          <w:tcPr>
            <w:tcW w:type="dxa" w:w="67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React</w:t>
            </w:r>
          </w:p>
        </w:tc>
      </w:tr>
      <w:tr>
        <w:tc>
          <w:tcPr>
            <w:tcW w:type="dxa" w:w="2800"/>
            <w:shd w:fill="0066B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Language</w:t>
            </w:r>
          </w:p>
        </w:tc>
        <w:tc>
          <w:tcPr>
            <w:tcW w:type="dxa" w:w="67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JavaScript (can be migrated to TypeScript later)</w:t>
            </w:r>
          </w:p>
        </w:tc>
      </w:tr>
      <w:tr>
        <w:tc>
          <w:tcPr>
            <w:tcW w:type="dxa" w:w="2800"/>
            <w:shd w:fill="0066B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Styling</w:t>
            </w:r>
          </w:p>
        </w:tc>
        <w:tc>
          <w:tcPr>
            <w:tcW w:type="dxa" w:w="67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Tailwind CSS</w:t>
            </w:r>
          </w:p>
        </w:tc>
      </w:tr>
      <w:tr>
        <w:tc>
          <w:tcPr>
            <w:tcW w:type="dxa" w:w="2800"/>
            <w:shd w:fill="0066B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UI Components</w:t>
            </w:r>
          </w:p>
        </w:tc>
        <w:tc>
          <w:tcPr>
            <w:tcW w:type="dxa" w:w="67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shadcn/ui</w:t>
            </w:r>
          </w:p>
        </w:tc>
      </w:tr>
      <w:tr>
        <w:tc>
          <w:tcPr>
            <w:tcW w:type="dxa" w:w="2800"/>
            <w:shd w:fill="0066B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Icons</w:t>
            </w:r>
          </w:p>
        </w:tc>
        <w:tc>
          <w:tcPr>
            <w:tcW w:type="dxa" w:w="67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Lucide React</w:t>
            </w:r>
          </w:p>
        </w:tc>
      </w:tr>
      <w:tr>
        <w:tc>
          <w:tcPr>
            <w:tcW w:type="dxa" w:w="2800"/>
            <w:shd w:fill="0066B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Charts</w:t>
            </w:r>
          </w:p>
        </w:tc>
        <w:tc>
          <w:tcPr>
            <w:tcW w:type="dxa" w:w="67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Recharts / Chart.js</w:t>
            </w:r>
          </w:p>
        </w:tc>
      </w:tr>
      <w:tr>
        <w:tc>
          <w:tcPr>
            <w:tcW w:type="dxa" w:w="2800"/>
            <w:shd w:fill="0066B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Mapping</w:t>
            </w:r>
          </w:p>
        </w:tc>
        <w:tc>
          <w:tcPr>
            <w:tcW w:type="dxa" w:w="67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React-Leaflet / Mapbox GL (county-level EV distribution across Washington State)</w:t>
            </w:r>
          </w:p>
        </w:tc>
      </w:tr>
      <w:tr>
        <w:tc>
          <w:tcPr>
            <w:tcW w:type="dxa" w:w="2800"/>
            <w:shd w:fill="0066B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Animations</w:t>
            </w:r>
          </w:p>
        </w:tc>
        <w:tc>
          <w:tcPr>
            <w:tcW w:type="dxa" w:w="67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Framer Motion</w:t>
            </w:r>
          </w:p>
        </w:tc>
      </w:tr>
      <w:tr>
        <w:tc>
          <w:tcPr>
            <w:tcW w:type="dxa" w:w="2800"/>
            <w:shd w:fill="0066B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HTTP Client</w:t>
            </w:r>
          </w:p>
        </w:tc>
        <w:tc>
          <w:tcPr>
            <w:tcW w:type="dxa" w:w="67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Axios</w:t>
            </w:r>
          </w:p>
        </w:tc>
      </w:tr>
      <w:tr>
        <w:tc>
          <w:tcPr>
            <w:tcW w:type="dxa" w:w="2800"/>
            <w:shd w:fill="0066B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Routing</w:t>
            </w:r>
          </w:p>
        </w:tc>
        <w:tc>
          <w:tcPr>
            <w:tcW w:type="dxa" w:w="67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React Router</w:t>
            </w:r>
          </w:p>
        </w:tc>
      </w:tr>
      <w:tr>
        <w:tc>
          <w:tcPr>
            <w:tcW w:type="dxa" w:w="2800"/>
            <w:shd w:fill="0066B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Theme</w:t>
            </w:r>
          </w:p>
        </w:tc>
        <w:tc>
          <w:tcPr>
            <w:tcW w:type="dxa" w:w="67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Professional Light + Dark Mode</w:t>
            </w:r>
          </w:p>
        </w:tc>
      </w:tr>
    </w:tbl>
    <w:p>
      <w:pPr>
        <w:pStyle w:val="Heading1"/>
        <w:spacing w:after="200" w:before="300"/>
      </w:pPr>
      <w:r>
        <w:rPr>
          <w:b/>
          <w:bCs/>
          <w:color w:val="0066B1"/>
          <w:sz w:val="32"/>
          <w:szCs w:val="32"/>
        </w:rPr>
        <w:t xml:space="preserve">BEV/PHEV Vehicle Classification Dashboard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A3A3A"/>
          <w:sz w:val="22"/>
          <w:szCs w:val="22"/>
        </w:rPr>
        <w:t xml:space="preserve">Business/analytics dashboard layout for automotive &amp; energy stakeholders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A3A3A"/>
          <w:sz w:val="22"/>
          <w:szCs w:val="22"/>
        </w:rPr>
        <w:t xml:space="preserve">KPI cards: total vehicles, BEV count, PHEV count, average electric range, average base MSRP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A3A3A"/>
          <w:sz w:val="22"/>
          <w:szCs w:val="22"/>
        </w:rPr>
        <w:t xml:space="preserve">Vehicle search and lookup (by VIN, Make, Model, or County)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A3A3A"/>
          <w:sz w:val="22"/>
          <w:szCs w:val="22"/>
        </w:rPr>
        <w:t xml:space="preserve">Prediction panel: input vehicle specs and get a live BEV vs PHEV classification with confidence score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A3A3A"/>
          <w:sz w:val="22"/>
          <w:szCs w:val="22"/>
        </w:rPr>
        <w:t xml:space="preserve">Category cards (e.g. Long-Range BEV, Entry PHEV, Premium BEV, Legacy Low-Range)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A3A3A"/>
          <w:sz w:val="22"/>
          <w:szCs w:val="22"/>
        </w:rPr>
        <w:t xml:space="preserve">Feature importance chart (which specs drive the Random Forest / Decision Tree prediction)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A3A3A"/>
          <w:sz w:val="22"/>
          <w:szCs w:val="22"/>
        </w:rPr>
        <w:t xml:space="preserve">Confusion matrix heatmap and ROC curve for model evaluation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A3A3A"/>
          <w:sz w:val="22"/>
          <w:szCs w:val="22"/>
        </w:rPr>
        <w:t xml:space="preserve">Pie chart: BEV vs PHEV distribution across the population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A3A3A"/>
          <w:sz w:val="22"/>
          <w:szCs w:val="22"/>
        </w:rPr>
        <w:t xml:space="preserve">Bar chart: top manufacturers by registration volume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A3A3A"/>
          <w:sz w:val="22"/>
          <w:szCs w:val="22"/>
        </w:rPr>
        <w:t xml:space="preserve">Interactive map: geographic distribution of EVs by Washington County / Legislative District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A3A3A"/>
          <w:sz w:val="22"/>
          <w:szCs w:val="22"/>
        </w:rPr>
        <w:t xml:space="preserve">Filters: County, Make, Model Year range, CAFV eligibility, electric range range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A3A3A"/>
          <w:sz w:val="22"/>
          <w:szCs w:val="22"/>
        </w:rPr>
        <w:t xml:space="preserve">Export option (CSV / PDF report of predictions and filtered results)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A3A3A"/>
          <w:sz w:val="22"/>
          <w:szCs w:val="22"/>
        </w:rPr>
        <w:t xml:space="preserve">Responsive design across mobile, tablet, desktop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A3A3A"/>
          <w:sz w:val="22"/>
          <w:szCs w:val="22"/>
        </w:rPr>
        <w:t xml:space="preserve">Loading animation during classification/model calls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A3A3A"/>
          <w:sz w:val="22"/>
          <w:szCs w:val="22"/>
        </w:rPr>
        <w:t xml:space="preserve">Toast notifications for actions (export success, filter applied, errors)</w:t>
      </w:r>
    </w:p>
    <w:p>
      <w:pPr>
        <w:pStyle w:val="Heading1"/>
        <w:spacing w:after="200" w:before="300"/>
      </w:pPr>
      <w:r>
        <w:rPr>
          <w:b/>
          <w:bCs/>
          <w:color w:val="0066B1"/>
          <w:sz w:val="32"/>
          <w:szCs w:val="32"/>
        </w:rPr>
        <w:t xml:space="preserve">Common UI Components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A3A3A"/>
          <w:sz w:val="22"/>
          <w:szCs w:val="22"/>
        </w:rPr>
        <w:t xml:space="preserve">Responsive navigation sidebar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A3A3A"/>
          <w:sz w:val="22"/>
          <w:szCs w:val="22"/>
        </w:rPr>
        <w:t xml:space="preserve">Professional header with project branding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A3A3A"/>
          <w:sz w:val="22"/>
          <w:szCs w:val="22"/>
        </w:rPr>
        <w:t xml:space="preserve">Gradient cards for KPI summaries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A3A3A"/>
          <w:sz w:val="22"/>
          <w:szCs w:val="22"/>
        </w:rPr>
        <w:t xml:space="preserve">Rounded buttons with hover effects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A3A3A"/>
          <w:sz w:val="22"/>
          <w:szCs w:val="22"/>
        </w:rPr>
        <w:t xml:space="preserve">Glassmorphism sections for the map and feature-importance panels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A3A3A"/>
          <w:sz w:val="22"/>
          <w:szCs w:val="22"/>
        </w:rPr>
        <w:t xml:space="preserve">Loading spinners &amp; skeleton screens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A3A3A"/>
          <w:sz w:val="22"/>
          <w:szCs w:val="22"/>
        </w:rPr>
        <w:t xml:space="preserve">Error and success alerts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A3A3A"/>
          <w:sz w:val="22"/>
          <w:szCs w:val="22"/>
        </w:rPr>
        <w:t xml:space="preserve">Professional forms with validation (filter/search/prediction inputs)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A3A3A"/>
          <w:sz w:val="22"/>
          <w:szCs w:val="22"/>
        </w:rPr>
        <w:t xml:space="preserve">Mobile, tablet and desktop responsive layout</w:t>
      </w:r>
    </w:p>
    <w:p>
      <w:pPr>
        <w:pStyle w:val="Heading1"/>
        <w:spacing w:after="200" w:before="300"/>
      </w:pPr>
      <w:r>
        <w:rPr>
          <w:b/>
          <w:bCs/>
          <w:color w:val="0066B1"/>
          <w:sz w:val="32"/>
          <w:szCs w:val="32"/>
        </w:rPr>
        <w:t xml:space="preserve">Color Palette</w:t>
      </w:r>
    </w:p>
    <w:p>
      <w:pPr>
        <w:spacing w:after="160"/>
      </w:pPr>
      <w:r>
        <w:rPr>
          <w:color w:val="3A3A3A"/>
          <w:sz w:val="22"/>
          <w:szCs w:val="22"/>
        </w:rPr>
        <w:t xml:space="preserve">Inspired by the BMW brand identity — blue, white, and black — to give the dashboard an automotive, premium-engineering feel appropriate for a vehicle analytics product. Functional alert colors (success/warning/danger) are layered in for usability.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4140"/>
      </w:tblGrid>
      <w:tr>
        <w:tc>
          <w:tcPr>
            <w:tcW w:type="dxa" w:w="2600"/>
            <w:shd w:fill="0066B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  <w:tc>
          <w:tcPr>
            <w:tcW w:type="dxa" w:w="2800"/>
            <w:shd w:fill="0066B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Swatch</w:t>
            </w:r>
          </w:p>
        </w:tc>
        <w:tc>
          <w:tcPr>
            <w:tcW w:type="dxa" w:w="4140"/>
            <w:shd w:fill="0066B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Hex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Primary</w:t>
            </w:r>
          </w:p>
        </w:tc>
        <w:tc>
          <w:tcPr>
            <w:tcW w:type="dxa" w:w="2800"/>
            <w:shd w:fill="0066B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BMW Blue</w:t>
            </w:r>
          </w:p>
        </w:tc>
        <w:tc>
          <w:tcPr>
            <w:tcW w:type="dxa" w:w="41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#0066B1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Secondary</w:t>
            </w:r>
          </w:p>
        </w:tc>
        <w:tc>
          <w:tcPr>
            <w:tcW w:type="dxa" w:w="2800"/>
            <w:shd w:fill="1C69D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BMW Light Blue</w:t>
            </w:r>
          </w:p>
        </w:tc>
        <w:tc>
          <w:tcPr>
            <w:tcW w:type="dxa" w:w="41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#1C69D4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Success</w:t>
            </w:r>
          </w:p>
        </w:tc>
        <w:tc>
          <w:tcPr>
            <w:tcW w:type="dxa" w:w="2800"/>
            <w:shd w:fill="1E7A3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Signal Green</w:t>
            </w:r>
          </w:p>
        </w:tc>
        <w:tc>
          <w:tcPr>
            <w:tcW w:type="dxa" w:w="41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#1E7A3D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Warning</w:t>
            </w:r>
          </w:p>
        </w:tc>
        <w:tc>
          <w:tcPr>
            <w:tcW w:type="dxa" w:w="2800"/>
            <w:shd w:fill="D9A2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Amber</w:t>
            </w:r>
          </w:p>
        </w:tc>
        <w:tc>
          <w:tcPr>
            <w:tcW w:type="dxa" w:w="41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#D9A200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Danger</w:t>
            </w:r>
          </w:p>
        </w:tc>
        <w:tc>
          <w:tcPr>
            <w:tcW w:type="dxa" w:w="2800"/>
            <w:shd w:fill="B326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Signal Red</w:t>
            </w:r>
          </w:p>
        </w:tc>
        <w:tc>
          <w:tcPr>
            <w:tcW w:type="dxa" w:w="41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#B3261E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Neutral - Background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Pure White</w:t>
            </w:r>
          </w:p>
        </w:tc>
        <w:tc>
          <w:tcPr>
            <w:tcW w:type="dxa" w:w="41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#FFFFFF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Neutral - Surface</w:t>
            </w:r>
          </w:p>
        </w:tc>
        <w:tc>
          <w:tcPr>
            <w:tcW w:type="dxa" w:w="2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Light Gray</w:t>
            </w:r>
          </w:p>
        </w:tc>
        <w:tc>
          <w:tcPr>
            <w:tcW w:type="dxa" w:w="41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#F2F2F2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Neutral - Muted Text</w:t>
            </w:r>
          </w:p>
        </w:tc>
        <w:tc>
          <w:tcPr>
            <w:tcW w:type="dxa" w:w="2800"/>
            <w:shd w:fill="6B6B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Slate Gray</w:t>
            </w:r>
          </w:p>
        </w:tc>
        <w:tc>
          <w:tcPr>
            <w:tcW w:type="dxa" w:w="41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#6B6B6B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Neutral - Dark Text</w:t>
            </w:r>
          </w:p>
        </w:tc>
        <w:tc>
          <w:tcPr>
            <w:tcW w:type="dxa" w:w="2800"/>
            <w:shd w:fill="0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BMW Black</w:t>
            </w:r>
          </w:p>
        </w:tc>
        <w:tc>
          <w:tcPr>
            <w:tcW w:type="dxa" w:w="41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#000000</w:t>
            </w:r>
          </w:p>
        </w:tc>
      </w:tr>
    </w:tbl>
    <w:p>
      <w:pPr>
        <w:pStyle w:val="Heading1"/>
        <w:spacing w:after="200" w:before="300"/>
      </w:pPr>
      <w:r>
        <w:rPr>
          <w:b/>
          <w:bCs/>
          <w:color w:val="0066B1"/>
          <w:sz w:val="32"/>
          <w:szCs w:val="32"/>
        </w:rPr>
        <w:t xml:space="preserve">Software House Quality Standards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A3A3A"/>
          <w:sz w:val="22"/>
          <w:szCs w:val="22"/>
        </w:rPr>
        <w:t xml:space="preserve">Modern SaaS-style interface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A3A3A"/>
          <w:sz w:val="22"/>
          <w:szCs w:val="22"/>
        </w:rPr>
        <w:t xml:space="preserve">Consistent design system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A3A3A"/>
          <w:sz w:val="22"/>
          <w:szCs w:val="22"/>
        </w:rPr>
        <w:t xml:space="preserve">Accessible components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A3A3A"/>
          <w:sz w:val="22"/>
          <w:szCs w:val="22"/>
        </w:rPr>
        <w:t xml:space="preserve">Reusable React components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A3A3A"/>
          <w:sz w:val="22"/>
          <w:szCs w:val="22"/>
        </w:rPr>
        <w:t xml:space="preserve">Clean folder structure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A3A3A"/>
          <w:sz w:val="22"/>
          <w:szCs w:val="22"/>
        </w:rPr>
        <w:t xml:space="preserve">Fast loading experience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A3A3A"/>
          <w:sz w:val="22"/>
          <w:szCs w:val="22"/>
        </w:rPr>
        <w:t xml:space="preserve">Portfolio-quality appearance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A3A3A"/>
          <w:sz w:val="22"/>
          <w:szCs w:val="22"/>
        </w:rPr>
        <w:t xml:space="preserve">Production-ready UI architecture</w:t>
      </w:r>
    </w:p>
    <w:p>
      <w:pPr>
        <w:pStyle w:val="Heading1"/>
        <w:spacing w:after="200" w:before="300"/>
      </w:pPr>
      <w:r>
        <w:rPr>
          <w:b/>
          <w:bCs/>
          <w:color w:val="0066B1"/>
          <w:sz w:val="32"/>
          <w:szCs w:val="32"/>
        </w:rPr>
        <w:t xml:space="preserve">Final Goal</w:t>
      </w:r>
    </w:p>
    <w:p>
      <w:pPr>
        <w:spacing w:after="160"/>
      </w:pPr>
      <w:r>
        <w:rPr>
          <w:color w:val="3A3A3A"/>
          <w:sz w:val="22"/>
          <w:szCs w:val="22"/>
        </w:rPr>
        <w:t xml:space="preserve">The frontend should look like a commercial automotive-analytics product rather than a university assignment. It should provide an intuitive experience, premium BMW-inspired branding, an interactive geographic map, clear model-explainability visuals, and seamless integration with a backend serving the Random Forest / Decision Tree BEV-PHEV classification model.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2026-07-14T22:17:46.659Z</dcterms:created>
  <dcterms:modified xsi:type="dcterms:W3CDTF">2026-07-14T22:17:46.659Z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