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3E7DFB" w:rsidRPr="007F44D7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762DA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3E7DFB" w:rsidRPr="007F44D7">
                    <w:rPr>
                      <w:rStyle w:val="Strong"/>
                      <w:sz w:val="28"/>
                    </w:rPr>
                    <w:t xml:space="preserve"> 0</w:t>
                  </w:r>
                  <w:r w:rsidR="007F44D7">
                    <w:rPr>
                      <w:rStyle w:val="Strong"/>
                      <w:sz w:val="28"/>
                    </w:rPr>
                    <w:t>4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7F44D7">
                    <w:rPr>
                      <w:rStyle w:val="Strong"/>
                      <w:sz w:val="28"/>
                    </w:rPr>
                    <w:t>2</w:t>
                  </w:r>
                  <w:r w:rsidR="00762DA8">
                    <w:rPr>
                      <w:rStyle w:val="Strong"/>
                      <w:sz w:val="28"/>
                    </w:rPr>
                    <w:t>3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7F44D7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Thermomixer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0" w:name="OLE_LINK13"/>
      <w:bookmarkStart w:id="1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3E7DFB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>. Light peptides were quantified by amino acid analysis and aliquots were stored in 5% acetonitrile/0.1% formic acid at -80°C until use. Different</w:t>
      </w:r>
      <w:r w:rsidR="006F1310" w:rsidRPr="007F44D7">
        <w:rPr>
          <w:rFonts w:ascii="Arial" w:hAnsi="Arial" w:cs="Arial"/>
          <w:sz w:val="24"/>
          <w:szCs w:val="24"/>
        </w:rPr>
        <w:t xml:space="preserve"> light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 w:rsidR="00210BB0"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>.</w:t>
      </w:r>
      <w:r w:rsidR="006F1310" w:rsidRPr="007F44D7">
        <w:rPr>
          <w:rFonts w:ascii="Arial" w:hAnsi="Arial" w:cs="Arial"/>
          <w:sz w:val="24"/>
          <w:szCs w:val="24"/>
        </w:rPr>
        <w:t xml:space="preserve"> The stock </w:t>
      </w:r>
      <w:r w:rsidR="00C06FEE" w:rsidRPr="007F44D7">
        <w:rPr>
          <w:rFonts w:ascii="Arial" w:hAnsi="Arial" w:cs="Arial"/>
          <w:sz w:val="24"/>
          <w:szCs w:val="24"/>
        </w:rPr>
        <w:t xml:space="preserve">of </w:t>
      </w:r>
      <w:r w:rsidR="006F1310" w:rsidRPr="007F44D7">
        <w:rPr>
          <w:rFonts w:ascii="Arial" w:hAnsi="Arial" w:cs="Arial"/>
          <w:sz w:val="24"/>
          <w:szCs w:val="24"/>
        </w:rPr>
        <w:t xml:space="preserve">light internal standard was stored in -80 </w:t>
      </w:r>
      <w:r w:rsidR="00210BB0">
        <w:rPr>
          <w:rFonts w:ascii="Arial" w:hAnsi="Arial" w:cs="Arial"/>
          <w:sz w:val="24"/>
          <w:szCs w:val="24"/>
        </w:rPr>
        <w:t>ºC</w:t>
      </w:r>
      <w:r w:rsidR="00210BB0" w:rsidRPr="007F44D7">
        <w:rPr>
          <w:rFonts w:ascii="Arial" w:hAnsi="Arial" w:cs="Arial"/>
          <w:sz w:val="24"/>
          <w:szCs w:val="24"/>
        </w:rPr>
        <w:t xml:space="preserve"> </w:t>
      </w:r>
      <w:r w:rsidR="006F1310" w:rsidRPr="007F44D7">
        <w:rPr>
          <w:rFonts w:ascii="Arial" w:hAnsi="Arial" w:cs="Arial"/>
          <w:sz w:val="24"/>
          <w:szCs w:val="24"/>
        </w:rPr>
        <w:t xml:space="preserve">freezer. </w:t>
      </w:r>
      <w:r w:rsidR="003526A8" w:rsidRPr="007F44D7">
        <w:rPr>
          <w:rFonts w:ascii="Arial" w:hAnsi="Arial" w:cs="Arial"/>
          <w:sz w:val="24"/>
          <w:szCs w:val="24"/>
        </w:rPr>
        <w:t>Crude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210BB0"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="003526A8"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 w:rsidR="00210BB0">
        <w:rPr>
          <w:rFonts w:ascii="Arial" w:hAnsi="Arial" w:cs="Arial"/>
          <w:sz w:val="24"/>
          <w:szCs w:val="24"/>
        </w:rPr>
        <w:t xml:space="preserve">ration of pure light peptides. </w:t>
      </w:r>
    </w:p>
    <w:bookmarkEnd w:id="0"/>
    <w:bookmarkEnd w:id="1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</w:t>
      </w:r>
      <w:proofErr w:type="gramStart"/>
      <w:r w:rsidR="00210BB0">
        <w:rPr>
          <w:rFonts w:ascii="Arial" w:hAnsi="Arial" w:cs="Arial"/>
          <w:sz w:val="24"/>
          <w:szCs w:val="24"/>
        </w:rPr>
        <w:t>A</w:t>
      </w:r>
      <w:proofErr w:type="gramEnd"/>
      <w:r w:rsidR="00210BB0">
        <w:rPr>
          <w:rFonts w:ascii="Arial" w:hAnsi="Arial" w:cs="Arial"/>
          <w:sz w:val="24"/>
          <w:szCs w:val="24"/>
        </w:rPr>
        <w:t xml:space="preserve"> (0.1% FA) </w:t>
      </w:r>
      <w:bookmarkStart w:id="2" w:name="OLE_LINK15"/>
      <w:bookmarkStart w:id="3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0.25</w:t>
      </w:r>
      <w:r w:rsidR="00344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4D7">
        <w:rPr>
          <w:rFonts w:ascii="Arial" w:hAnsi="Arial" w:cs="Arial"/>
          <w:sz w:val="24"/>
          <w:szCs w:val="24"/>
        </w:rPr>
        <w:t>ug</w:t>
      </w:r>
      <w:proofErr w:type="spellEnd"/>
      <w:r w:rsidRPr="007F44D7">
        <w:rPr>
          <w:rFonts w:ascii="Arial" w:hAnsi="Arial" w:cs="Arial"/>
          <w:sz w:val="24"/>
          <w:szCs w:val="24"/>
        </w:rPr>
        <w:t>/</w:t>
      </w:r>
      <w:proofErr w:type="spellStart"/>
      <w:r w:rsidRPr="007F44D7">
        <w:rPr>
          <w:rFonts w:ascii="Arial" w:hAnsi="Arial" w:cs="Arial"/>
          <w:sz w:val="24"/>
          <w:szCs w:val="24"/>
        </w:rPr>
        <w:t>ul</w:t>
      </w:r>
      <w:bookmarkEnd w:id="2"/>
      <w:bookmarkEnd w:id="3"/>
      <w:proofErr w:type="spellEnd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</w:t>
      </w:r>
      <w:proofErr w:type="spellStart"/>
      <w:r w:rsidR="008C28DC" w:rsidRPr="007F44D7">
        <w:rPr>
          <w:rFonts w:ascii="Arial" w:hAnsi="Arial" w:cs="Arial"/>
          <w:sz w:val="24"/>
          <w:szCs w:val="24"/>
        </w:rPr>
        <w:t>aliquoted</w:t>
      </w:r>
      <w:proofErr w:type="spellEnd"/>
      <w:r w:rsidR="008C28DC" w:rsidRPr="007F44D7">
        <w:rPr>
          <w:rFonts w:ascii="Arial" w:hAnsi="Arial" w:cs="Arial"/>
          <w:sz w:val="24"/>
          <w:szCs w:val="24"/>
        </w:rPr>
        <w:t xml:space="preserve">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>
        <w:rPr>
          <w:rFonts w:ascii="Arial" w:hAnsi="Arial" w:cs="Arial"/>
          <w:sz w:val="24"/>
          <w:szCs w:val="24"/>
        </w:rPr>
        <w:t>9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</w:t>
      </w:r>
      <w:proofErr w:type="spellStart"/>
      <w:r w:rsidRPr="00210BB0">
        <w:rPr>
          <w:rFonts w:ascii="Arial" w:hAnsi="Arial" w:cs="Arial"/>
          <w:sz w:val="24"/>
          <w:szCs w:val="24"/>
        </w:rPr>
        <w:t>analyte</w:t>
      </w:r>
      <w:proofErr w:type="spellEnd"/>
      <w:r>
        <w:rPr>
          <w:rFonts w:ascii="Arial" w:hAnsi="Arial" w:cs="Arial"/>
          <w:sz w:val="24"/>
          <w:szCs w:val="24"/>
        </w:rPr>
        <w:t xml:space="preserve"> (crude heavy labelled peptides) and 1 </w:t>
      </w:r>
      <w:r w:rsidRPr="00210BB0">
        <w:rPr>
          <w:rFonts w:ascii="Arial" w:hAnsi="Arial" w:cs="Arial"/>
          <w:sz w:val="24"/>
          <w:szCs w:val="24"/>
        </w:rPr>
        <w:t xml:space="preserve">blank. </w:t>
      </w:r>
    </w:p>
    <w:p w:rsidR="00605DAC" w:rsidRP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stock crude heavy peptide mix is serially diluted with tissue digest matrix (0.25 </w:t>
      </w:r>
      <w:proofErr w:type="spellStart"/>
      <w:r>
        <w:rPr>
          <w:rFonts w:ascii="Arial" w:hAnsi="Arial" w:cs="Arial"/>
          <w:sz w:val="24"/>
          <w:szCs w:val="24"/>
        </w:rPr>
        <w:t>ug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95174">
        <w:rPr>
          <w:rFonts w:ascii="Arial" w:hAnsi="Arial" w:cs="Arial"/>
          <w:sz w:val="24"/>
          <w:szCs w:val="24"/>
        </w:rPr>
        <w:t xml:space="preserve"> in the following ratio: 1 (no dilution), 10, 100, 1000, 10000, 20000, 50000, 100000, </w:t>
      </w:r>
      <w:proofErr w:type="gramStart"/>
      <w:r w:rsidR="00095174">
        <w:rPr>
          <w:rFonts w:ascii="Arial" w:hAnsi="Arial" w:cs="Arial"/>
          <w:sz w:val="24"/>
          <w:szCs w:val="24"/>
        </w:rPr>
        <w:t>200000</w:t>
      </w:r>
      <w:proofErr w:type="gramEnd"/>
      <w:r w:rsidR="00095174">
        <w:rPr>
          <w:rFonts w:ascii="Arial" w:hAnsi="Arial" w:cs="Arial"/>
          <w:sz w:val="24"/>
          <w:szCs w:val="24"/>
        </w:rPr>
        <w:t xml:space="preserve">. </w:t>
      </w:r>
    </w:p>
    <w:p w:rsidR="00C06FEE" w:rsidRPr="00327059" w:rsidRDefault="00605DAC" w:rsidP="00327059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0BB0">
        <w:rPr>
          <w:rFonts w:ascii="Arial" w:hAnsi="Arial" w:cs="Arial"/>
          <w:sz w:val="24"/>
          <w:szCs w:val="24"/>
        </w:rPr>
        <w:t>2</w:t>
      </w:r>
      <w:r w:rsidR="000951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174">
        <w:rPr>
          <w:rFonts w:ascii="Arial" w:hAnsi="Arial" w:cs="Arial"/>
          <w:sz w:val="24"/>
          <w:szCs w:val="24"/>
        </w:rPr>
        <w:t>ul</w:t>
      </w:r>
      <w:proofErr w:type="spellEnd"/>
      <w:r w:rsidR="00095174">
        <w:rPr>
          <w:rFonts w:ascii="Arial" w:hAnsi="Arial" w:cs="Arial"/>
          <w:sz w:val="24"/>
          <w:szCs w:val="24"/>
        </w:rPr>
        <w:t xml:space="preserve"> of each concentration point of heavy mix is added to 36 </w:t>
      </w:r>
      <w:proofErr w:type="spellStart"/>
      <w:r w:rsidR="00095174">
        <w:rPr>
          <w:rFonts w:ascii="Arial" w:hAnsi="Arial" w:cs="Arial"/>
          <w:sz w:val="24"/>
          <w:szCs w:val="24"/>
        </w:rPr>
        <w:t>ul</w:t>
      </w:r>
      <w:proofErr w:type="spellEnd"/>
      <w:r w:rsidR="00095174">
        <w:rPr>
          <w:rFonts w:ascii="Arial" w:hAnsi="Arial" w:cs="Arial"/>
          <w:sz w:val="24"/>
          <w:szCs w:val="24"/>
        </w:rPr>
        <w:t xml:space="preserve"> of the digested tissue matrix. </w:t>
      </w:r>
      <w:r w:rsidR="00327059">
        <w:rPr>
          <w:rFonts w:ascii="Arial" w:hAnsi="Arial" w:cs="Arial"/>
          <w:sz w:val="24"/>
          <w:szCs w:val="24"/>
        </w:rPr>
        <w:t xml:space="preserve">4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buffer A is added to the 72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the digested tissue matrix, since more volume is needed for blank (9 runs).  </w:t>
      </w:r>
      <w:bookmarkStart w:id="4" w:name="_GoBack"/>
      <w:bookmarkEnd w:id="4"/>
    </w:p>
    <w:p w:rsidR="00095174" w:rsidRDefault="00095174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of light SIS mix is further added to each sample, which makes each sample a total volume of 40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. (By doing this, both heavy and light peptide standard only account for 5% of final total volume). </w:t>
      </w:r>
      <w:r w:rsidR="00327059">
        <w:rPr>
          <w:rFonts w:ascii="Arial" w:hAnsi="Arial" w:cs="Arial"/>
          <w:sz w:val="24"/>
          <w:szCs w:val="24"/>
        </w:rPr>
        <w:t xml:space="preserve">4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light SIS mix is spiked into blank sample.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095174">
        <w:rPr>
          <w:rFonts w:ascii="Arial" w:hAnsi="Arial" w:cs="Arial"/>
          <w:sz w:val="24"/>
          <w:szCs w:val="24"/>
        </w:rPr>
        <w:t>thermomixer</w:t>
      </w:r>
      <w:proofErr w:type="spellEnd"/>
      <w:r w:rsidR="00095174">
        <w:rPr>
          <w:rFonts w:ascii="Arial" w:hAnsi="Arial" w:cs="Arial"/>
          <w:sz w:val="24"/>
          <w:szCs w:val="24"/>
        </w:rPr>
        <w:t xml:space="preserve"> with 800 rpm, 4 ºC, </w:t>
      </w:r>
      <w:proofErr w:type="gramStart"/>
      <w:r w:rsidR="00095174">
        <w:rPr>
          <w:rFonts w:ascii="Arial" w:hAnsi="Arial" w:cs="Arial"/>
          <w:sz w:val="24"/>
          <w:szCs w:val="24"/>
        </w:rPr>
        <w:t>10</w:t>
      </w:r>
      <w:proofErr w:type="gramEnd"/>
      <w:r w:rsidR="00095174">
        <w:rPr>
          <w:rFonts w:ascii="Arial" w:hAnsi="Arial" w:cs="Arial"/>
          <w:sz w:val="24"/>
          <w:szCs w:val="24"/>
        </w:rPr>
        <w:t xml:space="preserve">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proofErr w:type="spellStart"/>
      <w:r>
        <w:rPr>
          <w:rFonts w:ascii="Arial" w:hAnsi="Arial" w:cs="Arial"/>
          <w:sz w:val="24"/>
          <w:szCs w:val="24"/>
        </w:rPr>
        <w:t>autosampler</w:t>
      </w:r>
      <w:proofErr w:type="spellEnd"/>
      <w:r>
        <w:rPr>
          <w:rFonts w:ascii="Arial" w:hAnsi="Arial" w:cs="Arial"/>
          <w:sz w:val="24"/>
          <w:szCs w:val="24"/>
        </w:rPr>
        <w:t xml:space="preserve">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batches.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67D" w:rsidRDefault="0084267D">
      <w:r>
        <w:separator/>
      </w:r>
    </w:p>
  </w:endnote>
  <w:endnote w:type="continuationSeparator" w:id="0">
    <w:p w:rsidR="0084267D" w:rsidRDefault="0084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62DA8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62DA8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67D" w:rsidRDefault="0084267D">
      <w:r>
        <w:separator/>
      </w:r>
    </w:p>
  </w:footnote>
  <w:footnote w:type="continuationSeparator" w:id="0">
    <w:p w:rsidR="0084267D" w:rsidRDefault="0084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57F0"/>
    <w:rsid w:val="005E0B36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226F0"/>
    <w:rsid w:val="00722B8C"/>
    <w:rsid w:val="00732B9E"/>
    <w:rsid w:val="00744EA5"/>
    <w:rsid w:val="00762DA8"/>
    <w:rsid w:val="007977CD"/>
    <w:rsid w:val="007F44D7"/>
    <w:rsid w:val="00816AD2"/>
    <w:rsid w:val="0084267D"/>
    <w:rsid w:val="00842B68"/>
    <w:rsid w:val="00886954"/>
    <w:rsid w:val="008B6CD8"/>
    <w:rsid w:val="008C28DC"/>
    <w:rsid w:val="008F0706"/>
    <w:rsid w:val="008F2E2B"/>
    <w:rsid w:val="00923A2D"/>
    <w:rsid w:val="009322FE"/>
    <w:rsid w:val="00947700"/>
    <w:rsid w:val="00952C63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6BA4"/>
    <w:rsid w:val="00C46F39"/>
    <w:rsid w:val="00C51477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A15A9"/>
    <w:rsid w:val="00FA5B70"/>
    <w:rsid w:val="00FB38E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9D294-5146-4940-AD5E-78CFA6F3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3709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Chaochao</cp:lastModifiedBy>
  <cp:revision>25</cp:revision>
  <cp:lastPrinted>2010-05-04T00:05:00Z</cp:lastPrinted>
  <dcterms:created xsi:type="dcterms:W3CDTF">2014-05-07T23:33:00Z</dcterms:created>
  <dcterms:modified xsi:type="dcterms:W3CDTF">2015-04-23T17:50:00Z</dcterms:modified>
</cp:coreProperties>
</file>