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D306F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D306F4">
                    <w:rPr>
                      <w:rStyle w:val="Strong"/>
                      <w:sz w:val="28"/>
                    </w:rPr>
                    <w:t>6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D306F4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CF736C" w:rsidRDefault="00CF7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4548F5" w:rsidRDefault="004548F5" w:rsidP="004548F5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>WB1:0.3M Phthalic acid in 80% ACN/5%TFA</w:t>
      </w:r>
    </w:p>
    <w:p w:rsidR="004548F5" w:rsidRDefault="004548F5" w:rsidP="004548F5">
      <w:pPr>
        <w:spacing w:after="0" w:line="240" w:lineRule="auto"/>
        <w:rPr>
          <w:rFonts w:ascii="Calibri" w:hAnsi="Calibri" w:cs="Times New Roman"/>
          <w:bCs/>
          <w:color w:val="000000"/>
          <w:sz w:val="24"/>
          <w:szCs w:val="24"/>
        </w:rPr>
      </w:pPr>
      <w:r w:rsidRPr="00F420B5">
        <w:rPr>
          <w:rFonts w:ascii="Calibri" w:hAnsi="Calibri" w:cs="Times New Roman"/>
          <w:bCs/>
          <w:color w:val="000000"/>
          <w:sz w:val="24"/>
          <w:szCs w:val="24"/>
        </w:rPr>
        <w:t xml:space="preserve">WB2: 80% ACN/5%TFA </w:t>
      </w:r>
    </w:p>
    <w:p w:rsidR="004548F5" w:rsidRPr="00700CFA" w:rsidRDefault="004548F5" w:rsidP="004548F5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Cs/>
          <w:sz w:val="24"/>
          <w:szCs w:val="24"/>
        </w:rPr>
        <w:t>EB: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5% NH4OH in 50% ACN, pH </w:t>
      </w:r>
      <w:r w:rsidRPr="00F420B5">
        <w:rPr>
          <w:rFonts w:ascii="Symbol" w:hAnsi="Symbol" w:cs="Times New Roman"/>
          <w:bCs/>
          <w:sz w:val="24"/>
          <w:szCs w:val="24"/>
        </w:rPr>
        <w:t></w:t>
      </w:r>
      <w:r w:rsidRPr="00F420B5">
        <w:rPr>
          <w:rFonts w:ascii="Calibri" w:hAnsi="Calibri" w:cs="Times New Roman"/>
          <w:bCs/>
          <w:sz w:val="24"/>
          <w:szCs w:val="24"/>
        </w:rPr>
        <w:t xml:space="preserve"> 10.5</w:t>
      </w:r>
    </w:p>
    <w:p w:rsidR="004548F5" w:rsidRDefault="004548F5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A background matrix consisting of ovarian cancer tumor</w:t>
      </w:r>
      <w:r w:rsidR="00325948">
        <w:rPr>
          <w:rFonts w:ascii="Arial" w:hAnsi="Arial" w:cs="Arial"/>
          <w:sz w:val="24"/>
          <w:szCs w:val="24"/>
        </w:rPr>
        <w:t xml:space="preserve"> cell </w:t>
      </w:r>
      <w:r w:rsidRPr="007F44D7">
        <w:rPr>
          <w:rFonts w:ascii="Arial" w:hAnsi="Arial" w:cs="Arial"/>
          <w:sz w:val="24"/>
          <w:szCs w:val="24"/>
        </w:rPr>
        <w:t xml:space="preserve">digest </w:t>
      </w:r>
      <w:r w:rsidR="0020083C">
        <w:rPr>
          <w:rFonts w:ascii="Arial" w:hAnsi="Arial" w:cs="Arial"/>
          <w:sz w:val="24"/>
          <w:szCs w:val="24"/>
        </w:rPr>
        <w:t>(PA-1 and SKOV</w:t>
      </w:r>
      <w:r w:rsidR="00F45131">
        <w:rPr>
          <w:rFonts w:ascii="Arial" w:hAnsi="Arial" w:cs="Arial"/>
          <w:sz w:val="24"/>
          <w:szCs w:val="24"/>
        </w:rPr>
        <w:t>3</w:t>
      </w:r>
      <w:r w:rsidR="0020083C">
        <w:rPr>
          <w:rFonts w:ascii="Arial" w:hAnsi="Arial" w:cs="Arial"/>
          <w:sz w:val="24"/>
          <w:szCs w:val="24"/>
        </w:rPr>
        <w:t xml:space="preserve"> cell lines) </w:t>
      </w:r>
      <w:r w:rsidRPr="007F44D7">
        <w:rPr>
          <w:rFonts w:ascii="Arial" w:hAnsi="Arial" w:cs="Arial"/>
          <w:sz w:val="24"/>
          <w:szCs w:val="24"/>
        </w:rPr>
        <w:t xml:space="preserve">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</w:t>
      </w:r>
      <w:r w:rsidR="00325948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sample was processed as described in SOP </w:t>
      </w:r>
      <w:r>
        <w:rPr>
          <w:rFonts w:ascii="Arial" w:hAnsi="Arial" w:cs="Arial"/>
          <w:sz w:val="24"/>
          <w:szCs w:val="24"/>
        </w:rPr>
        <w:lastRenderedPageBreak/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325948">
        <w:rPr>
          <w:rFonts w:ascii="Arial" w:hAnsi="Arial" w:cs="Arial"/>
          <w:sz w:val="24"/>
          <w:szCs w:val="24"/>
        </w:rPr>
        <w:t>Cell</w:t>
      </w:r>
      <w:r>
        <w:rPr>
          <w:rFonts w:ascii="Arial" w:hAnsi="Arial" w:cs="Arial"/>
          <w:sz w:val="24"/>
          <w:szCs w:val="24"/>
        </w:rPr>
        <w:t xml:space="preserve">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</w:t>
      </w:r>
      <w:r w:rsidR="00325948">
        <w:rPr>
          <w:rFonts w:ascii="Arial" w:hAnsi="Arial" w:cs="Arial"/>
          <w:sz w:val="24"/>
          <w:szCs w:val="24"/>
        </w:rPr>
        <w:t>cell</w:t>
      </w:r>
      <w:r w:rsidRPr="007F44D7">
        <w:rPr>
          <w:rFonts w:ascii="Arial" w:hAnsi="Arial" w:cs="Arial"/>
          <w:sz w:val="24"/>
          <w:szCs w:val="24"/>
        </w:rPr>
        <w:t xml:space="preserve"> sample). The </w:t>
      </w:r>
      <w:r w:rsidR="00325948">
        <w:rPr>
          <w:rFonts w:ascii="Arial" w:hAnsi="Arial" w:cs="Arial"/>
          <w:sz w:val="24"/>
          <w:szCs w:val="24"/>
        </w:rPr>
        <w:t xml:space="preserve">cell </w:t>
      </w:r>
      <w:r w:rsidRPr="007F44D7">
        <w:rPr>
          <w:rFonts w:ascii="Arial" w:hAnsi="Arial" w:cs="Arial"/>
          <w:sz w:val="24"/>
          <w:szCs w:val="24"/>
        </w:rPr>
        <w:t xml:space="preserve">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</w:t>
      </w:r>
      <w:r w:rsidR="00325948">
        <w:rPr>
          <w:rFonts w:ascii="Arial" w:hAnsi="Arial" w:cs="Arial"/>
          <w:sz w:val="24"/>
          <w:szCs w:val="24"/>
        </w:rPr>
        <w:t>cell</w:t>
      </w:r>
      <w:r w:rsidR="001C480B">
        <w:rPr>
          <w:rFonts w:ascii="Arial" w:hAnsi="Arial" w:cs="Arial"/>
          <w:sz w:val="24"/>
          <w:szCs w:val="24"/>
        </w:rPr>
        <w:t xml:space="preserve"> digest was first diluted to </w:t>
      </w:r>
      <w:r w:rsidR="007A6660">
        <w:rPr>
          <w:rFonts w:ascii="Arial" w:hAnsi="Arial" w:cs="Arial"/>
          <w:sz w:val="24"/>
          <w:szCs w:val="24"/>
        </w:rPr>
        <w:t>a concentration 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</w:t>
      </w:r>
      <w:r w:rsidR="00D306F4">
        <w:rPr>
          <w:rFonts w:ascii="TimesNewRomanPSMT" w:hAnsi="TimesNewRomanPSMT" w:cs="TimesNewRomanPSMT"/>
          <w:sz w:val="24"/>
          <w:szCs w:val="24"/>
        </w:rPr>
        <w:t xml:space="preserve">cell </w:t>
      </w:r>
      <w:r w:rsidR="00C7666A">
        <w:rPr>
          <w:rFonts w:ascii="TimesNewRomanPSMT" w:hAnsi="TimesNewRomanPSMT" w:cs="TimesNewRomanPSMT"/>
          <w:sz w:val="24"/>
          <w:szCs w:val="24"/>
        </w:rPr>
        <w:t>digest matrix with the following spike levels:</w:t>
      </w:r>
    </w:p>
    <w:p w:rsidR="00C7666A" w:rsidRDefault="00A12EC8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Low: </w:t>
      </w:r>
      <w:r w:rsidR="00D306F4">
        <w:rPr>
          <w:rFonts w:ascii="TimesNewRomanPSMT" w:hAnsi="TimesNewRomanPSMT" w:cs="TimesNewRomanPSMT"/>
          <w:sz w:val="24"/>
          <w:szCs w:val="24"/>
        </w:rPr>
        <w:t>7.5fmol; 30 fmol; 100fmol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D306F4">
        <w:rPr>
          <w:rFonts w:ascii="TimesNewRomanPSMT" w:hAnsi="TimesNewRomanPSMT" w:cs="TimesNewRomanPSMT"/>
          <w:sz w:val="24"/>
          <w:szCs w:val="24"/>
        </w:rPr>
        <w:t>1000fmol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D306F4">
        <w:rPr>
          <w:rFonts w:ascii="TimesNewRomanPSMT" w:hAnsi="TimesNewRomanPSMT" w:cs="TimesNewRomanPSMT"/>
          <w:sz w:val="24"/>
          <w:szCs w:val="24"/>
        </w:rPr>
        <w:t>2500fmol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</w:t>
      </w:r>
      <w:r w:rsidR="00D306F4">
        <w:rPr>
          <w:rFonts w:ascii="TimesNewRomanPSMT" w:hAnsi="TimesNewRomanPSMT" w:cs="TimesNewRomanPSMT"/>
          <w:sz w:val="24"/>
          <w:szCs w:val="24"/>
        </w:rPr>
        <w:t>cell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digest matrix 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 to create the required concentration above.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200 </w:t>
      </w:r>
      <w:r w:rsidR="00CA44AF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g cell sample digestions were spiked in 60 fmol light IS peptides and different amount heavy peptides, and </w:t>
      </w:r>
      <w:r w:rsidR="00F45131">
        <w:rPr>
          <w:rFonts w:ascii="Arial" w:hAnsi="Arial" w:cs="Arial"/>
          <w:sz w:val="24"/>
          <w:szCs w:val="24"/>
        </w:rPr>
        <w:t>lyophylization by speed-vacuum</w:t>
      </w:r>
      <w:r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Pack TiO</w:t>
      </w:r>
      <w:r w:rsidRPr="00A12EC8">
        <w:rPr>
          <w:rFonts w:ascii="Arial" w:hAnsi="Arial" w:cs="Arial"/>
          <w:sz w:val="24"/>
          <w:szCs w:val="24"/>
          <w:vertAlign w:val="subscript"/>
        </w:rPr>
        <w:t>2</w:t>
      </w:r>
      <w:r w:rsidRPr="00FD50DB">
        <w:rPr>
          <w:rFonts w:ascii="Arial" w:hAnsi="Arial" w:cs="Arial"/>
          <w:sz w:val="24"/>
          <w:szCs w:val="24"/>
        </w:rPr>
        <w:t xml:space="preserve"> beads column (peptide: beads=1:12) by adding beads solution (10ug/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beads in ACN solution) and centrifuge 3000g for 3 min.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Resuspend sample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and Centrifuge at 3000xg for 10 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Load the sample supernatants to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C, save the Flow-through for next loading.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Wash column with 100uL WB1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Re-load the first flow-through sample to column column by centrifuging at 500xg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C.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WB1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Wash column with 150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WB2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 xml:space="preserve">Elute column with 100 </w:t>
      </w:r>
      <w:r w:rsidR="00CA44AF">
        <w:rPr>
          <w:rFonts w:ascii="Arial" w:hAnsi="Arial" w:cs="Arial"/>
          <w:sz w:val="24"/>
          <w:szCs w:val="24"/>
        </w:rPr>
        <w:t>µ</w:t>
      </w:r>
      <w:r w:rsidRPr="00FD50DB">
        <w:rPr>
          <w:rFonts w:ascii="Arial" w:hAnsi="Arial" w:cs="Arial"/>
          <w:sz w:val="24"/>
          <w:szCs w:val="24"/>
        </w:rPr>
        <w:t>l EB twice by centrifuging at 1000xg for 15min at 4</w:t>
      </w:r>
      <w:r w:rsidRPr="00FD50DB">
        <w:rPr>
          <w:rFonts w:ascii="Arial" w:hAnsi="Arial" w:cs="Arial"/>
          <w:sz w:val="24"/>
          <w:szCs w:val="24"/>
        </w:rPr>
        <w:sym w:font="Symbol" w:char="F0B0"/>
      </w:r>
      <w:r w:rsidRPr="00FD50DB">
        <w:rPr>
          <w:rFonts w:ascii="Arial" w:hAnsi="Arial" w:cs="Arial"/>
          <w:sz w:val="24"/>
          <w:szCs w:val="24"/>
        </w:rPr>
        <w:t>.</w:t>
      </w:r>
    </w:p>
    <w:p w:rsidR="00D306F4" w:rsidRPr="00FD50DB" w:rsidRDefault="00D306F4" w:rsidP="00D306F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D50DB">
        <w:rPr>
          <w:rFonts w:ascii="Arial" w:hAnsi="Arial" w:cs="Arial"/>
          <w:sz w:val="24"/>
          <w:szCs w:val="24"/>
        </w:rPr>
        <w:t>Elute solution was dried out by speed-vacuum.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samples were dissolved by 25 </w:t>
      </w:r>
      <w:r w:rsidR="00CA44AF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0.1% FA solution. Shake the vial on thermomixer with 800 rpm, 4 ºC for 10 min. All samples are prepared in Waters glass vial.</w:t>
      </w:r>
    </w:p>
    <w:p w:rsidR="00D306F4" w:rsidRDefault="00D306F4" w:rsidP="00D306F4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LC autosampler and get ready for LC-MRM detection (See </w:t>
      </w:r>
      <w:r w:rsidRPr="009A7E76">
        <w:rPr>
          <w:rFonts w:ascii="Arial" w:hAnsi="Arial" w:cs="Arial"/>
          <w:sz w:val="24"/>
          <w:szCs w:val="24"/>
        </w:rPr>
        <w:t>SOP LC-1 for Liquid Chromatography</w:t>
      </w:r>
      <w:r>
        <w:rPr>
          <w:rFonts w:ascii="Arial" w:hAnsi="Arial" w:cs="Arial"/>
          <w:sz w:val="24"/>
          <w:szCs w:val="24"/>
        </w:rPr>
        <w:t xml:space="preserve"> and </w:t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 w:rsidR="00D306F4">
        <w:rPr>
          <w:rFonts w:ascii="TimesNewRomanPSMT" w:hAnsi="TimesNewRomanPSMT" w:cs="TimesNewRomanPSMT"/>
          <w:sz w:val="24"/>
          <w:szCs w:val="24"/>
        </w:rPr>
        <w:t>on 5 consecutive days,</w:t>
      </w:r>
      <w:r w:rsidR="00D306F4" w:rsidRPr="00D306F4">
        <w:rPr>
          <w:rFonts w:ascii="Arial" w:hAnsi="Arial" w:cs="Arial"/>
          <w:sz w:val="24"/>
          <w:szCs w:val="24"/>
        </w:rPr>
        <w:t xml:space="preserve"> </w:t>
      </w:r>
      <w:r w:rsidR="00D306F4">
        <w:rPr>
          <w:rFonts w:ascii="Arial" w:hAnsi="Arial" w:cs="Arial"/>
          <w:sz w:val="24"/>
          <w:szCs w:val="24"/>
        </w:rPr>
        <w:t>4 µl of sample is used for each run.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TD-1 for Trypsin Digestion of </w:t>
      </w:r>
      <w:r w:rsidR="00325948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 xml:space="preserve">SOP TP-1 for </w:t>
      </w:r>
      <w:r w:rsidR="00325948">
        <w:rPr>
          <w:rFonts w:ascii="Arial" w:hAnsi="Arial" w:cs="Arial"/>
          <w:sz w:val="24"/>
          <w:szCs w:val="24"/>
        </w:rPr>
        <w:t>Cell</w:t>
      </w:r>
      <w:r w:rsidRPr="007111EA">
        <w:rPr>
          <w:rFonts w:ascii="Arial" w:hAnsi="Arial" w:cs="Arial"/>
          <w:sz w:val="24"/>
          <w:szCs w:val="24"/>
        </w:rPr>
        <w:t xml:space="preserve">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729" w:rsidRDefault="00420729">
      <w:r>
        <w:separator/>
      </w:r>
    </w:p>
  </w:endnote>
  <w:endnote w:type="continuationSeparator" w:id="0">
    <w:p w:rsidR="00420729" w:rsidRDefault="0042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18F" w:rsidRDefault="007561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5618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5618F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18F" w:rsidRDefault="007561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729" w:rsidRDefault="00420729">
      <w:r>
        <w:separator/>
      </w:r>
    </w:p>
  </w:footnote>
  <w:footnote w:type="continuationSeparator" w:id="0">
    <w:p w:rsidR="00420729" w:rsidRDefault="00420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18F" w:rsidRDefault="0075618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16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18F" w:rsidRDefault="0075618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16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18F" w:rsidRDefault="0075618F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16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4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307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0083C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3222F6"/>
    <w:rsid w:val="00325148"/>
    <w:rsid w:val="003259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0729"/>
    <w:rsid w:val="004272E5"/>
    <w:rsid w:val="00440BC9"/>
    <w:rsid w:val="0044417D"/>
    <w:rsid w:val="00453B38"/>
    <w:rsid w:val="004548F5"/>
    <w:rsid w:val="00471B9A"/>
    <w:rsid w:val="00481AFA"/>
    <w:rsid w:val="0049472A"/>
    <w:rsid w:val="004C171E"/>
    <w:rsid w:val="004E2EBF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1350"/>
    <w:rsid w:val="00666FC5"/>
    <w:rsid w:val="00694E1B"/>
    <w:rsid w:val="00696731"/>
    <w:rsid w:val="006F4FE1"/>
    <w:rsid w:val="0070408B"/>
    <w:rsid w:val="00712F94"/>
    <w:rsid w:val="007226F0"/>
    <w:rsid w:val="00722B8C"/>
    <w:rsid w:val="00732B9E"/>
    <w:rsid w:val="00736A12"/>
    <w:rsid w:val="00744EA5"/>
    <w:rsid w:val="0075618F"/>
    <w:rsid w:val="00772100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5331C"/>
    <w:rsid w:val="00964A24"/>
    <w:rsid w:val="0097217F"/>
    <w:rsid w:val="009860F3"/>
    <w:rsid w:val="009C0FB5"/>
    <w:rsid w:val="009C2A02"/>
    <w:rsid w:val="009C4425"/>
    <w:rsid w:val="009C681B"/>
    <w:rsid w:val="009D30F0"/>
    <w:rsid w:val="00A12EC8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154ED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44AF"/>
    <w:rsid w:val="00CA5F42"/>
    <w:rsid w:val="00CB1F70"/>
    <w:rsid w:val="00CB5A6E"/>
    <w:rsid w:val="00CC1956"/>
    <w:rsid w:val="00CC512B"/>
    <w:rsid w:val="00CF736C"/>
    <w:rsid w:val="00D0123F"/>
    <w:rsid w:val="00D02591"/>
    <w:rsid w:val="00D11BDE"/>
    <w:rsid w:val="00D147E5"/>
    <w:rsid w:val="00D306F4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4513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4789C75F-3C74-44C0-A25B-F0B2C79D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A24E-476E-426F-B7C2-83AE0240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4754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44</cp:revision>
  <cp:lastPrinted>2010-05-04T00:05:00Z</cp:lastPrinted>
  <dcterms:created xsi:type="dcterms:W3CDTF">2014-05-07T23:34:00Z</dcterms:created>
  <dcterms:modified xsi:type="dcterms:W3CDTF">2016-07-28T22:01:00Z</dcterms:modified>
</cp:coreProperties>
</file>