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C2BDB" w:rsidRPr="00CC2BDB" w:rsidTr="00083615">
        <w:tc>
          <w:tcPr>
            <w:tcW w:w="8856" w:type="dxa"/>
          </w:tcPr>
          <w:p w:rsidR="00CC2BDB" w:rsidRPr="00CC2BDB" w:rsidRDefault="00CC2BDB" w:rsidP="00CC2BDB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CC2BDB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CC2BDB" w:rsidRPr="00CC2BDB" w:rsidTr="00083615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CC2BDB" w:rsidRPr="00CC2BDB" w:rsidTr="0008361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CC2BDB" w:rsidRPr="00CC2BDB" w:rsidRDefault="00CC2BDB" w:rsidP="00CC2BDB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CC2BDB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Liquid Chromatography using Accela system for MRM assays</w:t>
                  </w:r>
                </w:p>
              </w:tc>
            </w:tr>
            <w:tr w:rsidR="00CC2BDB" w:rsidRPr="00CC2BDB" w:rsidTr="00083615">
              <w:trPr>
                <w:trHeight w:val="528"/>
              </w:trPr>
              <w:tc>
                <w:tcPr>
                  <w:tcW w:w="4326" w:type="dxa"/>
                </w:tcPr>
                <w:p w:rsidR="00CC2BDB" w:rsidRPr="00CC2BDB" w:rsidRDefault="00CC2BDB" w:rsidP="00CC2BDB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CC2BDB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CC2BDB" w:rsidRPr="00CC2BDB" w:rsidRDefault="00CC2BDB" w:rsidP="00CC2BDB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CC2BDB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CC2BDB" w:rsidRPr="00CC2BDB" w:rsidTr="00083615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CC2BDB" w:rsidRPr="00CC2BDB" w:rsidRDefault="00CC2BDB" w:rsidP="00CC2BDB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CC2BDB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CC2BDB" w:rsidRPr="00CC2BDB" w:rsidRDefault="00CC2BDB" w:rsidP="00CC2BDB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CC2BDB" w:rsidRPr="00CC2BDB" w:rsidRDefault="00CC2BDB" w:rsidP="00CC2BDB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CC2BDB" w:rsidRPr="00CC2BDB" w:rsidRDefault="00CC2BDB" w:rsidP="00CC2BDB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The purpose of this do</w:t>
      </w:r>
      <w:bookmarkStart w:id="0" w:name="_GoBack"/>
      <w:bookmarkEnd w:id="0"/>
      <w:r w:rsidRPr="00CC2BDB">
        <w:rPr>
          <w:rFonts w:ascii="Calibri" w:eastAsia="Times New Roman" w:hAnsi="Calibri" w:cs="Times New Roman"/>
          <w:sz w:val="22"/>
          <w:szCs w:val="22"/>
        </w:rPr>
        <w:t>cument is to describe the liquid chromatography (LC) method for quantitative mass spectrometry-based analyses.</w:t>
      </w:r>
    </w:p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CC2BDB" w:rsidRPr="00CC2BDB" w:rsidRDefault="00CC2BDB" w:rsidP="00CC2BDB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This procedure describes the setup of the LC and the method parameters. It is specific to the operation of the Thermo Scientific Accela system.</w:t>
      </w:r>
    </w:p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CC2BDB" w:rsidRPr="00CC2BDB" w:rsidRDefault="00CC2BDB" w:rsidP="00CC2BDB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HPLC: Accela 1250 Quaternary Low Pump (Thermo Scientific)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Autosampler: Accela Open Autosampler (Thermo Scientific)</w:t>
      </w:r>
    </w:p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Injection loop: 10 µL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Column heater: Hot pocket (Thermo Scientific; cat. # 92016-150)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Analytical Column: 1.0 mm I.D. x 15 cm Viva C18 3 µm 300 </w:t>
      </w:r>
      <w:r w:rsidRPr="00CC2BDB">
        <w:rPr>
          <w:rFonts w:ascii="Calibri" w:eastAsia="Times New Roman" w:hAnsi="Calibri" w:cs="Arial"/>
          <w:sz w:val="22"/>
          <w:szCs w:val="22"/>
        </w:rPr>
        <w:t>Å</w:t>
      </w:r>
      <w:r w:rsidRPr="00CC2BDB">
        <w:rPr>
          <w:rFonts w:ascii="Calibri" w:eastAsia="Times New Roman" w:hAnsi="Calibri" w:cs="Times New Roman"/>
          <w:sz w:val="22"/>
          <w:szCs w:val="22"/>
        </w:rPr>
        <w:t xml:space="preserve"> (Restek; cat. # 9514361)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Autosampler vials: Polypropylene 12 x 32 mm screw neck vial with caps and PTFE/silicone septum, 300 µL (Waters; cat. # 186002640)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Arial" w:eastAsia="Times New Roman" w:hAnsi="Arial" w:cs="Arial"/>
          <w:b/>
          <w:bCs/>
          <w:color w:val="365F91"/>
          <w:sz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Solutions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Gradient pump, mobile phase A: Water/0.2 % formic acid </w:t>
      </w:r>
    </w:p>
    <w:p w:rsidR="00CC2BDB" w:rsidRPr="00CC2BDB" w:rsidRDefault="00CC2BDB" w:rsidP="00CC2BDB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Gradient pump, mobile phase B: 90% ACN/0.2% formic acid</w:t>
      </w:r>
    </w:p>
    <w:p w:rsidR="00CC2BDB" w:rsidRPr="00CC2BDB" w:rsidRDefault="00CC2BDB" w:rsidP="00CC2BDB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C2BDB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CC2BDB" w:rsidRPr="00CC2BDB" w:rsidRDefault="00CC2BDB" w:rsidP="00CC2BDB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Autosampler method</w:t>
      </w:r>
    </w:p>
    <w:p w:rsidR="00CC2BDB" w:rsidRPr="00CC2BDB" w:rsidRDefault="00CC2BDB" w:rsidP="00CC2BDB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  <w:t>Temperature:</w:t>
      </w: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  <w:t>4°C</w:t>
      </w: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CC2BDB" w:rsidRPr="00CC2BDB" w:rsidRDefault="00CC2BDB" w:rsidP="00CC2BDB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  <w:t>Syringe:</w:t>
      </w: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  <w:t>100 µL</w:t>
      </w: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CC2BDB" w:rsidRPr="00CC2BDB" w:rsidRDefault="00CC2BDB" w:rsidP="00CC2BDB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CC2BDB">
        <w:rPr>
          <w:rFonts w:ascii="Calibri" w:eastAsia="Times New Roman" w:hAnsi="Calibri" w:cs="Times New Roman"/>
          <w:sz w:val="22"/>
          <w:szCs w:val="22"/>
        </w:rPr>
        <w:t xml:space="preserve">Airgap Volume (µl):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3</w:t>
      </w:r>
    </w:p>
    <w:p w:rsidR="00CC2BDB" w:rsidRPr="00CC2BDB" w:rsidRDefault="00CC2BDB" w:rsidP="00CC2BDB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CC2BDB">
        <w:rPr>
          <w:rFonts w:ascii="Calibri" w:eastAsia="Times New Roman" w:hAnsi="Calibri" w:cs="Courier New"/>
          <w:color w:val="000000"/>
          <w:sz w:val="22"/>
          <w:szCs w:val="22"/>
        </w:rPr>
        <w:t xml:space="preserve"> </w:t>
      </w:r>
      <w:r w:rsidRPr="00CC2BDB">
        <w:rPr>
          <w:rFonts w:ascii="Calibri" w:eastAsia="Times New Roman" w:hAnsi="Calibri" w:cs="Times New Roman"/>
          <w:sz w:val="22"/>
          <w:szCs w:val="22"/>
        </w:rPr>
        <w:t xml:space="preserve">Front Volume (µl):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2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Rear Volume (µl):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2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Filling Speed (µl/s):</w:t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 xml:space="preserve"> 5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Pullup Delay (ms):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3000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Inject to: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LC Vlv1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Injection Speed (µl/s):</w:t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 xml:space="preserve"> 5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Pre &amp; Post Inject Delay (ms):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500, 500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Needle Gap Valve Clean (mm): 3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Valve Clean Time Solvent 2 (s): 2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Post Clean Time Solvent 2 (s): 2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Valve Clean Time Solvent 1 (s): 5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Post Clean Time Solvent 1 (s): 5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Stator Wash: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0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Delay Stator Wash (s): </w:t>
      </w:r>
      <w:r w:rsidRPr="00CC2BDB">
        <w:rPr>
          <w:rFonts w:ascii="Calibri" w:eastAsia="Times New Roman" w:hAnsi="Calibri" w:cs="Times New Roman"/>
          <w:sz w:val="22"/>
          <w:szCs w:val="22"/>
        </w:rPr>
        <w:tab/>
        <w:t>120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Stator Wash Time Solvent 2 (s): 5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 xml:space="preserve"> Stator Wash Time Solvent 1 (s): 5</w:t>
      </w:r>
    </w:p>
    <w:p w:rsidR="00CC2BDB" w:rsidRPr="00CC2BDB" w:rsidRDefault="00CC2BDB" w:rsidP="00CC2BDB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</w:p>
    <w:p w:rsidR="00CC2BDB" w:rsidRPr="00CC2BDB" w:rsidRDefault="00CC2BDB" w:rsidP="00CC2BDB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Gradient method:</w:t>
      </w:r>
    </w:p>
    <w:p w:rsidR="00CC2BDB" w:rsidRPr="00CC2BDB" w:rsidRDefault="00CC2BDB" w:rsidP="00CC2BDB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Flow rate: 50 µL/min</w:t>
      </w:r>
    </w:p>
    <w:p w:rsidR="00CC2BDB" w:rsidRPr="00CC2BDB" w:rsidRDefault="00CC2BDB" w:rsidP="00CC2BDB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Column heater temperature: 50 °C</w:t>
      </w:r>
    </w:p>
    <w:p w:rsidR="00CC2BDB" w:rsidRPr="00CC2BDB" w:rsidRDefault="00CC2BDB" w:rsidP="00CC2BDB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C2BDB">
        <w:rPr>
          <w:rFonts w:ascii="Calibri" w:eastAsia="Times New Roman" w:hAnsi="Calibri" w:cs="Times New Roman"/>
          <w:sz w:val="22"/>
          <w:szCs w:val="22"/>
        </w:rPr>
        <w:t>Timetable:</w:t>
      </w:r>
    </w:p>
    <w:tbl>
      <w:tblPr>
        <w:tblStyle w:val="TableClassic3"/>
        <w:tblpPr w:leftFromText="180" w:rightFromText="180" w:vertAnchor="text" w:horzAnchor="margin" w:tblpXSpec="center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748"/>
        <w:gridCol w:w="718"/>
      </w:tblGrid>
      <w:tr w:rsidR="00CC2BDB" w:rsidRPr="00CC2BDB" w:rsidTr="00083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bottom w:val="none" w:sz="0" w:space="0" w:color="auto"/>
            </w:tcBorders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  <w:r w:rsidRPr="00CC2BDB">
              <w:rPr>
                <w:rFonts w:ascii="Calibri" w:eastAsia="Times New Roman" w:hAnsi="Calibri" w:cs="Times New Roman"/>
              </w:rPr>
              <w:t>Retention (min)</w:t>
            </w:r>
          </w:p>
        </w:tc>
        <w:tc>
          <w:tcPr>
            <w:tcW w:w="1748" w:type="dxa"/>
            <w:tcBorders>
              <w:bottom w:val="none" w:sz="0" w:space="0" w:color="auto"/>
            </w:tcBorders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C2BDB">
              <w:rPr>
                <w:rFonts w:ascii="Calibri" w:eastAsia="Times New Roman" w:hAnsi="Calibri" w:cs="Times New Roman"/>
              </w:rPr>
              <w:t>Flow (µL/min)</w:t>
            </w:r>
          </w:p>
        </w:tc>
        <w:tc>
          <w:tcPr>
            <w:tcW w:w="718" w:type="dxa"/>
            <w:tcBorders>
              <w:bottom w:val="none" w:sz="0" w:space="0" w:color="auto"/>
            </w:tcBorders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C2BDB">
              <w:rPr>
                <w:rFonts w:ascii="Calibri" w:eastAsia="Times New Roman" w:hAnsi="Calibri" w:cs="Times New Roman"/>
              </w:rPr>
              <w:t>%B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0.00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30.00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55.00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38.00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95.00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95.00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46.00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CC2BDB" w:rsidRPr="00CC2BDB" w:rsidTr="00083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60.00</w:t>
            </w:r>
          </w:p>
        </w:tc>
        <w:tc>
          <w:tcPr>
            <w:tcW w:w="174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CC2BDB" w:rsidRPr="00CC2BDB" w:rsidRDefault="00CC2BDB" w:rsidP="00CC2BD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CC2BDB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</w:tbl>
    <w:p w:rsidR="00CC2BDB" w:rsidRPr="00CC2BDB" w:rsidRDefault="00CC2BDB" w:rsidP="00CC2BDB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CC2BDB" w:rsidRDefault="00DF5811" w:rsidP="00CC2BDB"/>
    <w:sectPr w:rsidR="00DF5811" w:rsidRPr="00CC2BDB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C73" w:rsidRDefault="00E30C73" w:rsidP="00161086">
      <w:r>
        <w:separator/>
      </w:r>
    </w:p>
  </w:endnote>
  <w:endnote w:type="continuationSeparator" w:id="0">
    <w:p w:rsidR="00E30C73" w:rsidRDefault="00E30C73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C2BDB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C2BDB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C73" w:rsidRDefault="00E30C73" w:rsidP="00161086">
      <w:r>
        <w:separator/>
      </w:r>
    </w:p>
  </w:footnote>
  <w:footnote w:type="continuationSeparator" w:id="0">
    <w:p w:rsidR="00E30C73" w:rsidRDefault="00E30C73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30C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30C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30C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AB3A4B"/>
    <w:rsid w:val="00BA6FCE"/>
    <w:rsid w:val="00CC2BDB"/>
    <w:rsid w:val="00D83774"/>
    <w:rsid w:val="00DF5811"/>
    <w:rsid w:val="00E30C73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2016-08-08T14:08:00Z</dcterms:created>
  <dcterms:modified xsi:type="dcterms:W3CDTF">2016-08-08T14:08:00Z</dcterms:modified>
</cp:coreProperties>
</file>