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B14B4" w:rsidRPr="002B14B4" w:rsidTr="00083615">
        <w:tc>
          <w:tcPr>
            <w:tcW w:w="8856" w:type="dxa"/>
          </w:tcPr>
          <w:p w:rsidR="002B14B4" w:rsidRPr="002B14B4" w:rsidRDefault="002B14B4" w:rsidP="002B14B4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2B14B4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2B14B4" w:rsidRPr="002B14B4" w:rsidTr="00083615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2B14B4" w:rsidRPr="002B14B4" w:rsidTr="0008361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2B14B4" w:rsidRPr="002B14B4" w:rsidRDefault="002B14B4" w:rsidP="002B14B4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2B14B4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 xml:space="preserve">Title:  Mini-Validation of Repeatability for MRM assays run on TSQ Vantage triple quadrupole mass spectrometer </w:t>
                  </w:r>
                </w:p>
              </w:tc>
            </w:tr>
            <w:tr w:rsidR="002B14B4" w:rsidRPr="002B14B4" w:rsidTr="00083615">
              <w:trPr>
                <w:trHeight w:val="528"/>
              </w:trPr>
              <w:tc>
                <w:tcPr>
                  <w:tcW w:w="4326" w:type="dxa"/>
                </w:tcPr>
                <w:p w:rsidR="002B14B4" w:rsidRPr="002B14B4" w:rsidRDefault="002B14B4" w:rsidP="002B14B4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2B14B4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1.3</w:t>
                  </w:r>
                </w:p>
              </w:tc>
              <w:tc>
                <w:tcPr>
                  <w:tcW w:w="4314" w:type="dxa"/>
                </w:tcPr>
                <w:p w:rsidR="002B14B4" w:rsidRPr="002B14B4" w:rsidRDefault="002B14B4" w:rsidP="002B14B4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2B14B4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2B14B4" w:rsidRPr="002B14B4" w:rsidTr="00083615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2B14B4" w:rsidRPr="002B14B4" w:rsidRDefault="002B14B4" w:rsidP="002B14B4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2B14B4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07/19/2016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2B14B4" w:rsidRPr="002B14B4" w:rsidRDefault="002B14B4" w:rsidP="002B14B4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2B14B4" w:rsidRPr="002B14B4" w:rsidRDefault="002B14B4" w:rsidP="002B14B4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2B14B4" w:rsidRPr="002B14B4" w:rsidRDefault="002B14B4" w:rsidP="002B14B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B14B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2B14B4" w:rsidRPr="002B14B4" w:rsidRDefault="002B14B4" w:rsidP="002B14B4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The purpose of this document is to describe the characterization of a set of assays based on its repeatability of measurement over 5 days. This is to estimate the performance of the assay measured in a complex sample across several days.</w:t>
      </w:r>
    </w:p>
    <w:p w:rsidR="002B14B4" w:rsidRPr="002B14B4" w:rsidRDefault="002B14B4" w:rsidP="002B14B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B14B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2B14B4" w:rsidRPr="002B14B4" w:rsidRDefault="002B14B4" w:rsidP="002B14B4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 xml:space="preserve">This procedure addresses the preparation and running of samples for generating the validation samples in accordance with CPTAC Assay Characterization Guidance Experiment #2. </w:t>
      </w:r>
    </w:p>
    <w:p w:rsidR="002B14B4" w:rsidRPr="002B14B4" w:rsidRDefault="002B14B4" w:rsidP="002B14B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B14B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2B14B4" w:rsidRPr="002B14B4" w:rsidRDefault="002B14B4" w:rsidP="002B14B4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2B14B4" w:rsidRPr="002B14B4" w:rsidRDefault="002B14B4" w:rsidP="002B14B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B14B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Microcentrifuge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Vacuum centrifuge</w:t>
      </w:r>
    </w:p>
    <w:p w:rsidR="002B14B4" w:rsidRPr="002B14B4" w:rsidRDefault="002B14B4" w:rsidP="002B14B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B14B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Materials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Water: Optima LC/MS-grade (Fisher Scientific; cat. # W6-4)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Acetonitrile: Optima LC/MS-grade (Fisher Scientific; cat. # A955-4)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Formic Acid: LC-MS Ultra (Sigma-Aldrich; cat. # 14265)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Methanol: Optima LC/MS-grade (Fisher Scientific; cat. # A456-4)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Ammonium formate (Sigma-Aldrich; cat. # 70221)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Ammonium hydroxide (Sigma-Aldrich; cat. # 320145)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Polysulfoethyl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A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TopTips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100 – 200 µL (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Glygen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>; cat. # TT2SSA.96)</w:t>
      </w:r>
    </w:p>
    <w:p w:rsidR="002B14B4" w:rsidRPr="002B14B4" w:rsidRDefault="002B14B4" w:rsidP="002B14B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B14B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lastRenderedPageBreak/>
        <w:t>Reagents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10 mM Ammonium formate in 25% ACN, pH 3.0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500 mM Ammonium formate in 25% ACN, pH 6.8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80:15:5 (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vol:vol:vol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>) Methanol: Water: Ammonium hydroxide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Crude unlabeled peptides (~60% purity)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Stable isotope-labeled standards (SIS)</w:t>
      </w:r>
    </w:p>
    <w:p w:rsidR="002B14B4" w:rsidRPr="002B14B4" w:rsidRDefault="002B14B4" w:rsidP="002B14B4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 xml:space="preserve">Crude unlabeled peptides and SIS (both ~60% purity) from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Fisher Scientific (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PEPotec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SRM peptide library): SIS peptides incorporate a fully atom-labeled </w:t>
      </w:r>
      <w:r w:rsidRPr="002B14B4">
        <w:rPr>
          <w:rFonts w:ascii="Calibri" w:eastAsia="Times New Roman" w:hAnsi="Calibri" w:cs="Times New Roman"/>
          <w:sz w:val="22"/>
          <w:szCs w:val="22"/>
          <w:vertAlign w:val="superscript"/>
        </w:rPr>
        <w:t>13</w:t>
      </w:r>
      <w:r w:rsidRPr="002B14B4">
        <w:rPr>
          <w:rFonts w:ascii="Calibri" w:eastAsia="Times New Roman" w:hAnsi="Calibri" w:cs="Times New Roman"/>
          <w:sz w:val="22"/>
          <w:szCs w:val="22"/>
        </w:rPr>
        <w:t xml:space="preserve">C and </w:t>
      </w:r>
      <w:r w:rsidRPr="002B14B4">
        <w:rPr>
          <w:rFonts w:ascii="Calibri" w:eastAsia="Times New Roman" w:hAnsi="Calibri" w:cs="Times New Roman"/>
          <w:sz w:val="22"/>
          <w:szCs w:val="22"/>
          <w:vertAlign w:val="superscript"/>
        </w:rPr>
        <w:t>15</w:t>
      </w:r>
      <w:r w:rsidRPr="002B14B4">
        <w:rPr>
          <w:rFonts w:ascii="Calibri" w:eastAsia="Times New Roman" w:hAnsi="Calibri" w:cs="Times New Roman"/>
          <w:sz w:val="22"/>
          <w:szCs w:val="22"/>
        </w:rP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2B14B4" w:rsidRPr="002B14B4" w:rsidRDefault="002B14B4" w:rsidP="002B14B4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Following de-salting via strong cation exchange (SCX) as detailed in Procedure #1 below, prepare stock solutions of the unlabeled and SIS peptides at a concentration of 2 nmol/µL and store at -20 °C. The peptide recovery following SCX clean-up is estimated to be 40%.</w:t>
      </w:r>
    </w:p>
    <w:p w:rsidR="002B14B4" w:rsidRPr="002B14B4" w:rsidRDefault="002B14B4" w:rsidP="002B14B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Matrix</w:t>
      </w:r>
    </w:p>
    <w:p w:rsidR="002B14B4" w:rsidRPr="002B14B4" w:rsidRDefault="002B14B4" w:rsidP="002B14B4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Prepare a background matrix consisting of peptides from the trypsin digestion of human ovarian tissue according to the SOP entitled “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SOP_Tissue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background matrix preparation v1_2-HuiZhang lab.” This background matrix will be used for the preparation of the response curves and for the preparation of the mini-validation of repeatability experiments. </w:t>
      </w:r>
    </w:p>
    <w:p w:rsidR="002B14B4" w:rsidRPr="002B14B4" w:rsidRDefault="002B14B4" w:rsidP="002B14B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B14B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2B14B4" w:rsidRPr="002B14B4" w:rsidRDefault="002B14B4" w:rsidP="002B14B4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SCX de-salting of stock SIS mix</w:t>
      </w:r>
    </w:p>
    <w:p w:rsidR="002B14B4" w:rsidRPr="002B14B4" w:rsidRDefault="002B14B4" w:rsidP="002B14B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All centrifugation steps are performed at 2,000 rpm for 1.5 min, unless otherwise specified. De-salt 1 mg of each peptide via SCX.</w:t>
      </w:r>
    </w:p>
    <w:p w:rsidR="002B14B4" w:rsidRPr="002B14B4" w:rsidRDefault="002B14B4" w:rsidP="002B14B4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 xml:space="preserve">Condition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Polysulfoethyl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A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TopTip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2x with 330 µL of Methanol</w:t>
      </w:r>
    </w:p>
    <w:p w:rsidR="002B14B4" w:rsidRPr="002B14B4" w:rsidRDefault="002B14B4" w:rsidP="002B14B4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Wash 2x with 330 µL of 10 mM Ammonium Formate in 25% ACN, pH 3.0</w:t>
      </w:r>
    </w:p>
    <w:p w:rsidR="002B14B4" w:rsidRPr="002B14B4" w:rsidRDefault="002B14B4" w:rsidP="002B14B4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Wash 2x with 330 µL of 500 mM Ammonium Formate in 25% ACN, pH 6.8</w:t>
      </w:r>
    </w:p>
    <w:p w:rsidR="002B14B4" w:rsidRPr="002B14B4" w:rsidRDefault="002B14B4" w:rsidP="002B14B4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Wash 2x with 330 µL of 10 mM Ammonium Formate in 25% ACN, pH 3.0</w:t>
      </w:r>
    </w:p>
    <w:p w:rsidR="002B14B4" w:rsidRPr="002B14B4" w:rsidRDefault="002B14B4" w:rsidP="002B14B4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Wash 2x with 330 µL of Water</w:t>
      </w:r>
    </w:p>
    <w:p w:rsidR="002B14B4" w:rsidRPr="002B14B4" w:rsidRDefault="002B14B4" w:rsidP="002B14B4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Wash 4x with 330 µL of 10 mM Ammonium Formate in 25% ACN, pH 3.0</w:t>
      </w:r>
    </w:p>
    <w:p w:rsidR="002B14B4" w:rsidRPr="002B14B4" w:rsidRDefault="002B14B4" w:rsidP="002B14B4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Slowly load acidified sample (pH &lt; 3.0) 2x; centrifuge at 1,100 rpm for 5 min</w:t>
      </w:r>
    </w:p>
    <w:p w:rsidR="002B14B4" w:rsidRPr="002B14B4" w:rsidRDefault="002B14B4" w:rsidP="002B14B4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Wash 6x with 330 µL of 10 mM Ammonium Formate in 25% ACN, pH 3.0</w:t>
      </w:r>
    </w:p>
    <w:p w:rsidR="002B14B4" w:rsidRPr="002B14B4" w:rsidRDefault="002B14B4" w:rsidP="002B14B4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 xml:space="preserve">Allow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TopTip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to dry out. Elute sample 2x with 300 µL of 80:15:5 (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vol:vol:vol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>) Methanol: Water: Ammonium Hydroxide; centrifuge at 1,100 rpm for 5 min</w:t>
      </w:r>
    </w:p>
    <w:p w:rsidR="002B14B4" w:rsidRPr="002B14B4" w:rsidRDefault="002B14B4" w:rsidP="002B14B4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Dry eluted sample in a vacuum centrifuge</w:t>
      </w:r>
    </w:p>
    <w:p w:rsidR="002B14B4" w:rsidRPr="002B14B4" w:rsidRDefault="002B14B4" w:rsidP="002B14B4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2B14B4" w:rsidRPr="002B14B4" w:rsidRDefault="002B14B4" w:rsidP="002B14B4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2B14B4" w:rsidRPr="002B14B4" w:rsidRDefault="002B14B4" w:rsidP="002B14B4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Determination of spike levels and preparation of samples</w:t>
      </w:r>
    </w:p>
    <w:p w:rsidR="002B14B4" w:rsidRPr="002B14B4" w:rsidRDefault="002B14B4" w:rsidP="002B14B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Determine peptide concentrations to use according to the LLOQ and linear range determined from the response curves in the CPTAC Assay Characterization Guidance Experiment #1 in order to prepare Validation samples at an appropriate concentration. The three SIS spike levels are as follows:</w:t>
      </w:r>
    </w:p>
    <w:p w:rsidR="002B14B4" w:rsidRPr="002B14B4" w:rsidRDefault="002B14B4" w:rsidP="002B14B4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 xml:space="preserve">Low: 0.5 or 3.69 pmol/µL </w:t>
      </w:r>
    </w:p>
    <w:p w:rsidR="002B14B4" w:rsidRPr="002B14B4" w:rsidRDefault="002B14B4" w:rsidP="002B14B4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Medium: 13.2 or 98.4 pmol/µL</w:t>
      </w:r>
    </w:p>
    <w:p w:rsidR="002B14B4" w:rsidRPr="002B14B4" w:rsidRDefault="002B14B4" w:rsidP="002B14B4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 xml:space="preserve">High: 24 or 177 pmol/µL </w:t>
      </w:r>
    </w:p>
    <w:p w:rsidR="002B14B4" w:rsidRPr="002B14B4" w:rsidRDefault="002B14B4" w:rsidP="002B14B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These concentrations were selected to approximate 1.5-3.0x LLOQ (Low), 50-100x LLOQ (Medium), and &gt;100x LLOQ (High). The final preparation of each sample contains background matrix (0.1 µg/µL), unlabeled peptides and SIS peptides (11 or 82 pmol/µL).</w:t>
      </w:r>
    </w:p>
    <w:p w:rsidR="002B14B4" w:rsidRPr="002B14B4" w:rsidRDefault="002B14B4" w:rsidP="002B14B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 xml:space="preserve">Dilute matrix </w:t>
      </w:r>
      <w:proofErr w:type="gramStart"/>
      <w:r w:rsidRPr="002B14B4">
        <w:rPr>
          <w:rFonts w:ascii="Calibri" w:eastAsia="Times New Roman" w:hAnsi="Calibri" w:cs="Times New Roman"/>
          <w:sz w:val="22"/>
          <w:szCs w:val="22"/>
        </w:rPr>
        <w:t>to 0.1 µg/µL with 0.2% formic acid</w:t>
      </w:r>
      <w:proofErr w:type="gramEnd"/>
      <w:r w:rsidRPr="002B14B4">
        <w:rPr>
          <w:rFonts w:ascii="Calibri" w:eastAsia="Times New Roman" w:hAnsi="Calibri" w:cs="Times New Roman"/>
          <w:sz w:val="22"/>
          <w:szCs w:val="22"/>
        </w:rPr>
        <w:t>.</w:t>
      </w:r>
    </w:p>
    <w:p w:rsidR="002B14B4" w:rsidRPr="002B14B4" w:rsidRDefault="002B14B4" w:rsidP="002B14B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 xml:space="preserve">Prepare the High sample in the diluted matrix. </w:t>
      </w:r>
    </w:p>
    <w:p w:rsidR="002B14B4" w:rsidRPr="002B14B4" w:rsidRDefault="002B14B4" w:rsidP="002B14B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 xml:space="preserve">Prepare 1:1.8 and 1:26.7 serial dilutions using the diluted matrix to generate the Medium and Low samples, respectively. </w:t>
      </w:r>
    </w:p>
    <w:p w:rsidR="002B14B4" w:rsidRPr="002B14B4" w:rsidRDefault="002B14B4" w:rsidP="002B14B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 xml:space="preserve">Store samples at 4 °C (no longer than 48 hours) until LC-MRM MS analysis. </w:t>
      </w:r>
    </w:p>
    <w:p w:rsidR="002B14B4" w:rsidRPr="002B14B4" w:rsidRDefault="002B14B4" w:rsidP="002B14B4">
      <w:pPr>
        <w:spacing w:after="200" w:line="276" w:lineRule="auto"/>
        <w:ind w:left="144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2B14B4" w:rsidRPr="002B14B4" w:rsidRDefault="002B14B4" w:rsidP="002B14B4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Execution of LC-MRM MS analysis</w:t>
      </w:r>
    </w:p>
    <w:p w:rsidR="002B14B4" w:rsidRPr="002B14B4" w:rsidRDefault="002B14B4" w:rsidP="002B14B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Prepare 80 µL of each sample and spike with 8 µL of the SIS peptide mixture.</w:t>
      </w:r>
    </w:p>
    <w:p w:rsidR="002B14B4" w:rsidRPr="002B14B4" w:rsidRDefault="002B14B4" w:rsidP="002B14B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 xml:space="preserve">Vortex </w:t>
      </w:r>
      <w:proofErr w:type="gramStart"/>
      <w:r w:rsidRPr="002B14B4">
        <w:rPr>
          <w:rFonts w:ascii="Calibri" w:eastAsia="Times New Roman" w:hAnsi="Calibri" w:cs="Times New Roman"/>
          <w:sz w:val="22"/>
          <w:szCs w:val="22"/>
        </w:rPr>
        <w:t>samples,</w:t>
      </w:r>
      <w:proofErr w:type="gramEnd"/>
      <w:r w:rsidRPr="002B14B4">
        <w:rPr>
          <w:rFonts w:ascii="Calibri" w:eastAsia="Times New Roman" w:hAnsi="Calibri" w:cs="Times New Roman"/>
          <w:sz w:val="22"/>
          <w:szCs w:val="22"/>
        </w:rPr>
        <w:t xml:space="preserve"> centrifuge briefly and transfer to autosampler vials. Add sufficient volume to each vial for all of the replicate injections.</w:t>
      </w:r>
    </w:p>
    <w:p w:rsidR="002B14B4" w:rsidRPr="002B14B4" w:rsidRDefault="002B14B4" w:rsidP="002B14B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Perform LC-MRM MS analysis according to the SOPs entitled “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SOP_Liquid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Chromatography CPTAC MRM TSQ Vantage Assays v1_1-HuiZhang lab” and “SOP_MRM mass spectrometry TSQ Vantage CPTAC Assays v1_1-HuiZhang lab.”</w:t>
      </w:r>
    </w:p>
    <w:p w:rsidR="002B14B4" w:rsidRPr="002B14B4" w:rsidRDefault="002B14B4" w:rsidP="002B14B4">
      <w:pPr>
        <w:spacing w:after="200" w:line="276" w:lineRule="auto"/>
        <w:ind w:left="144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2B14B4" w:rsidRPr="002B14B4" w:rsidRDefault="002B14B4" w:rsidP="002B14B4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Run order</w:t>
      </w:r>
    </w:p>
    <w:p w:rsidR="002B14B4" w:rsidRPr="002B14B4" w:rsidRDefault="002B14B4" w:rsidP="002B14B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To avoid artificially minimizing variability, the run order of the samples should be randomized. To minimize carryover, 1 wash is inserted after each “High” sample.</w:t>
      </w:r>
    </w:p>
    <w:p w:rsidR="002B14B4" w:rsidRPr="002B14B4" w:rsidRDefault="002B14B4" w:rsidP="002B14B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B14B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Referenced Documents</w:t>
      </w:r>
    </w:p>
    <w:p w:rsidR="002B14B4" w:rsidRPr="002B14B4" w:rsidRDefault="002B14B4" w:rsidP="002B14B4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SOP_Liquid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Chromatography CPTAC MRM TSQ Vantage Assays v1_1-HuiZhang lab</w:t>
      </w:r>
    </w:p>
    <w:p w:rsidR="002B14B4" w:rsidRPr="002B14B4" w:rsidRDefault="002B14B4" w:rsidP="002B14B4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t>SOP_MRM mass spectrometry TSQ Vantage CPTAC Assays v1_1-HuiZhang lab</w:t>
      </w:r>
    </w:p>
    <w:p w:rsidR="002B14B4" w:rsidRDefault="002B14B4" w:rsidP="002B14B4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SOP_Tissue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background matrix preparation v1_2-HuiZhang lab</w:t>
      </w:r>
    </w:p>
    <w:p w:rsidR="002B14B4" w:rsidRDefault="002B14B4" w:rsidP="002B14B4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2B14B4" w:rsidRPr="002B14B4" w:rsidRDefault="002B14B4" w:rsidP="002B14B4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  <w:bookmarkStart w:id="0" w:name="_GoBack"/>
      <w:bookmarkEnd w:id="0"/>
    </w:p>
    <w:p w:rsidR="002B14B4" w:rsidRPr="002B14B4" w:rsidRDefault="002B14B4" w:rsidP="002B14B4">
      <w:pPr>
        <w:spacing w:after="200" w:line="276" w:lineRule="auto"/>
        <w:ind w:left="540" w:hanging="180"/>
        <w:rPr>
          <w:rFonts w:ascii="Calibri" w:eastAsia="Times New Roman" w:hAnsi="Calibri" w:cs="Times New Roman"/>
          <w:sz w:val="22"/>
          <w:szCs w:val="22"/>
        </w:rPr>
      </w:pPr>
      <w:r w:rsidRPr="002B14B4">
        <w:rPr>
          <w:rFonts w:ascii="Calibri" w:eastAsia="Times New Roman" w:hAnsi="Calibri" w:cs="Times New Roman"/>
          <w:sz w:val="22"/>
          <w:szCs w:val="22"/>
        </w:rPr>
        <w:lastRenderedPageBreak/>
        <w:t xml:space="preserve">1. Hoofnagle AN, Whiteaker JR, Carr SA, Kuhn E, Liu T, Massoni SA, Thomas SN, Townsend RR, Zimmerman LJ, Boja E, Chen J,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Crimmins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DL, Davies SR, Gao Y, Hiltke TR, Ketchum KA, Kinsinger CR, Mesri M, Meyer MR, Qian WJ,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Schoenherr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RM, Scott MG, Shi T, Whiteley GR, Wrobel JA, Wu C, Ackermann BL,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Aebersold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R, Barnidge DR, Bunk DM, Clarke N, Fishman JB, Grant RP,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Kusebauch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U,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Kushnir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MM,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Lowenthal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MS, Moritz RL,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Neubert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H, Patterson SD, Rockwood AL, Rogers J, Singh RJ, Van Eyk JE, Wong SH, Zhang S, Chan DW, Chen X, Ellis MJ,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Liebler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DC, Rodland KD, Rodriguez H, Smith RD, Zhang Z, Zhang H, Paulovich AG. </w:t>
      </w:r>
      <w:proofErr w:type="gramStart"/>
      <w:r w:rsidRPr="002B14B4">
        <w:rPr>
          <w:rFonts w:ascii="Calibri" w:eastAsia="Times New Roman" w:hAnsi="Calibri" w:cs="Times New Roman"/>
          <w:sz w:val="22"/>
          <w:szCs w:val="22"/>
        </w:rPr>
        <w:t>Recommendations for the Generation, Quantification, Storage, and Handling of Peptides Used for Mass Spectrometry-Based Assays.</w:t>
      </w:r>
      <w:proofErr w:type="gramEnd"/>
      <w:r w:rsidRPr="002B14B4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2B14B4">
        <w:rPr>
          <w:rFonts w:ascii="Calibri" w:eastAsia="Times New Roman" w:hAnsi="Calibri" w:cs="Times New Roman"/>
          <w:sz w:val="22"/>
          <w:szCs w:val="22"/>
        </w:rPr>
        <w:t>Clin</w:t>
      </w:r>
      <w:proofErr w:type="spellEnd"/>
      <w:r w:rsidRPr="002B14B4">
        <w:rPr>
          <w:rFonts w:ascii="Calibri" w:eastAsia="Times New Roman" w:hAnsi="Calibri" w:cs="Times New Roman"/>
          <w:sz w:val="22"/>
          <w:szCs w:val="22"/>
        </w:rPr>
        <w:t xml:space="preserve"> Chem. 2016 Jan</w:t>
      </w:r>
      <w:proofErr w:type="gramStart"/>
      <w:r w:rsidRPr="002B14B4">
        <w:rPr>
          <w:rFonts w:ascii="Calibri" w:eastAsia="Times New Roman" w:hAnsi="Calibri" w:cs="Times New Roman"/>
          <w:sz w:val="22"/>
          <w:szCs w:val="22"/>
        </w:rPr>
        <w:t>;62</w:t>
      </w:r>
      <w:proofErr w:type="gramEnd"/>
      <w:r w:rsidRPr="002B14B4">
        <w:rPr>
          <w:rFonts w:ascii="Calibri" w:eastAsia="Times New Roman" w:hAnsi="Calibri" w:cs="Times New Roman"/>
          <w:sz w:val="22"/>
          <w:szCs w:val="22"/>
        </w:rPr>
        <w:t xml:space="preserve">(1):48-69. </w:t>
      </w:r>
      <w:proofErr w:type="spellStart"/>
      <w:proofErr w:type="gramStart"/>
      <w:r w:rsidRPr="002B14B4">
        <w:rPr>
          <w:rFonts w:ascii="Calibri" w:eastAsia="Times New Roman" w:hAnsi="Calibri" w:cs="Times New Roman"/>
          <w:sz w:val="22"/>
          <w:szCs w:val="22"/>
        </w:rPr>
        <w:t>doi</w:t>
      </w:r>
      <w:proofErr w:type="spellEnd"/>
      <w:proofErr w:type="gramEnd"/>
      <w:r w:rsidRPr="002B14B4">
        <w:rPr>
          <w:rFonts w:ascii="Calibri" w:eastAsia="Times New Roman" w:hAnsi="Calibri" w:cs="Times New Roman"/>
          <w:sz w:val="22"/>
          <w:szCs w:val="22"/>
        </w:rPr>
        <w:t>: 10.1373/clinchem.2015.250563. PubMed PMID: 26719571.</w:t>
      </w:r>
    </w:p>
    <w:p w:rsidR="002B14B4" w:rsidRPr="002B14B4" w:rsidRDefault="002B14B4" w:rsidP="002B14B4">
      <w:pPr>
        <w:spacing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DF5811" w:rsidRPr="002B14B4" w:rsidRDefault="00DF5811" w:rsidP="002B14B4"/>
    <w:sectPr w:rsidR="00DF5811" w:rsidRPr="002B14B4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392" w:rsidRDefault="00E43392" w:rsidP="00161086">
      <w:r>
        <w:separator/>
      </w:r>
    </w:p>
  </w:endnote>
  <w:endnote w:type="continuationSeparator" w:id="0">
    <w:p w:rsidR="00E43392" w:rsidRDefault="00E43392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2B14B4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2B14B4">
      <w:rPr>
        <w:rStyle w:val="PageNumber"/>
        <w:rFonts w:ascii="Arial" w:hAnsi="Arial" w:cs="Arial"/>
        <w:b/>
        <w:noProof/>
      </w:rPr>
      <w:t>4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392" w:rsidRDefault="00E43392" w:rsidP="00161086">
      <w:r>
        <w:separator/>
      </w:r>
    </w:p>
  </w:footnote>
  <w:footnote w:type="continuationSeparator" w:id="0">
    <w:p w:rsidR="00E43392" w:rsidRDefault="00E43392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433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433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433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2B14B4"/>
    <w:rsid w:val="002B2C7A"/>
    <w:rsid w:val="00AB3A4B"/>
    <w:rsid w:val="00BA6FCE"/>
    <w:rsid w:val="00CC2BDB"/>
    <w:rsid w:val="00D83774"/>
    <w:rsid w:val="00DF5811"/>
    <w:rsid w:val="00E43392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CC2BDB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CC2BDB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2016-08-08T14:10:00Z</dcterms:created>
  <dcterms:modified xsi:type="dcterms:W3CDTF">2016-08-08T14:10:00Z</dcterms:modified>
</cp:coreProperties>
</file>