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Times New Roman" w:hAnsi="Times New Roman"/>
          <w:sz w:val="24"/>
        </w:rPr>
        <w:t>ALCALDÍA MUNICIPAL DE BUGALAGRANDE — VALLE DEL CAUCA</w:t>
      </w:r>
    </w:p>
    <w:p>
      <w:pPr>
        <w:jc w:val="center"/>
      </w:pPr>
      <w:r>
        <w:rPr>
          <w:rFonts w:ascii="Times New Roman" w:hAnsi="Times New Roman"/>
          <w:sz w:val="24"/>
        </w:rPr>
        <w:t>Oficina TIC</w:t>
      </w:r>
    </w:p>
    <w:p/>
    <w:p/>
    <w:p/>
    <w:p/>
    <w:p>
      <w:pPr>
        <w:jc w:val="center"/>
      </w:pPr>
      <w:r>
        <w:rPr>
          <w:rFonts w:ascii="Times New Roman" w:hAnsi="Times New Roman"/>
          <w:sz w:val="24"/>
        </w:rPr>
        <w:t>Informe de gestión</w:t>
      </w:r>
    </w:p>
    <w:p>
      <w:pPr>
        <w:jc w:val="center"/>
      </w:pPr>
      <w:r>
        <w:rPr>
          <w:rFonts w:ascii="Times New Roman" w:hAnsi="Times New Roman"/>
          <w:sz w:val="24"/>
        </w:rPr>
        <w:t>Sistema de Gestión de Puntos Vive Digital de Bugalagrande</w:t>
      </w:r>
    </w:p>
    <w:p/>
    <w:p/>
    <w:p/>
    <w:p/>
    <w:tbl>
      <w:tblPr>
        <w:tblW w:type="auto" w:w="0"/>
        <w:jc w:val="center"/>
        <w:tblLook w:firstColumn="1" w:firstRow="1" w:lastColumn="0" w:lastRow="0" w:noHBand="0" w:noVBand="1" w:val="04A0"/>
      </w:tblPr>
      <w:tblGrid>
        <w:gridCol w:w="4589"/>
        <w:gridCol w:w="4589"/>
      </w:tblGrid>
      <w:tr>
        <w:tc>
          <w:tcPr>
            <w:tcW w:type="dxa" w:w="1814"/>
            <w:vAlign w:val="center"/>
          </w:tcPr>
          <w:p>
            <w:r/>
            <w:r>
              <w:rPr>
                <w:rFonts w:ascii="Times New Roman" w:hAnsi="Times New Roman"/>
                <w:b w:val="0"/>
                <w:sz w:val="24"/>
              </w:rPr>
              <w:t>Contrato</w:t>
            </w:r>
          </w:p>
        </w:tc>
        <w:tc>
          <w:tcPr>
            <w:tcW w:type="dxa" w:w="6520"/>
            <w:vAlign w:val="center"/>
          </w:tcPr>
          <w:p>
            <w:r/>
            <w:r>
              <w:rPr>
                <w:rFonts w:ascii="Times New Roman" w:hAnsi="Times New Roman"/>
                <w:b w:val="0"/>
                <w:sz w:val="24"/>
              </w:rPr>
              <w:t>CD-224-2026 — Prestación de servicios de apoyo a la gestión, Oficina TIC</w:t>
            </w:r>
          </w:p>
        </w:tc>
      </w:tr>
      <w:tr>
        <w:tc>
          <w:tcPr>
            <w:tcW w:type="dxa" w:w="1814"/>
            <w:vAlign w:val="center"/>
          </w:tcPr>
          <w:p>
            <w:r/>
            <w:r>
              <w:rPr>
                <w:rFonts w:ascii="Times New Roman" w:hAnsi="Times New Roman"/>
                <w:b w:val="0"/>
                <w:sz w:val="24"/>
              </w:rPr>
              <w:t>Presenta</w:t>
            </w:r>
          </w:p>
        </w:tc>
        <w:tc>
          <w:tcPr>
            <w:tcW w:type="dxa" w:w="6520"/>
            <w:vAlign w:val="center"/>
          </w:tcPr>
          <w:p>
            <w:r/>
            <w:r>
              <w:rPr>
                <w:rFonts w:ascii="Times New Roman" w:hAnsi="Times New Roman"/>
                <w:b w:val="0"/>
                <w:sz w:val="24"/>
              </w:rPr>
              <w:t>Esteban Sáenz Salazar — C.C. 1.113.037.186</w:t>
            </w:r>
          </w:p>
        </w:tc>
      </w:tr>
      <w:tr>
        <w:tc>
          <w:tcPr>
            <w:tcW w:type="dxa" w:w="1814"/>
            <w:vAlign w:val="center"/>
          </w:tcPr>
          <w:p>
            <w:r/>
            <w:r>
              <w:rPr>
                <w:rFonts w:ascii="Times New Roman" w:hAnsi="Times New Roman"/>
                <w:b w:val="0"/>
                <w:sz w:val="24"/>
              </w:rPr>
              <w:t>Dirigido a</w:t>
            </w:r>
          </w:p>
        </w:tc>
        <w:tc>
          <w:tcPr>
            <w:tcW w:type="dxa" w:w="6520"/>
            <w:vAlign w:val="center"/>
          </w:tcPr>
          <w:p>
            <w:r/>
            <w:r>
              <w:rPr>
                <w:rFonts w:ascii="Times New Roman" w:hAnsi="Times New Roman"/>
                <w:b w:val="0"/>
                <w:sz w:val="24"/>
              </w:rPr>
              <w:t>Supervisión del contrato, Oficina TIC</w:t>
            </w:r>
          </w:p>
        </w:tc>
      </w:tr>
      <w:tr>
        <w:tc>
          <w:tcPr>
            <w:tcW w:type="dxa" w:w="1814"/>
            <w:vAlign w:val="center"/>
          </w:tcPr>
          <w:p>
            <w:r/>
            <w:r>
              <w:rPr>
                <w:rFonts w:ascii="Times New Roman" w:hAnsi="Times New Roman"/>
                <w:b w:val="0"/>
                <w:sz w:val="24"/>
              </w:rPr>
              <w:t>Fecha</w:t>
            </w:r>
          </w:p>
        </w:tc>
        <w:tc>
          <w:tcPr>
            <w:tcW w:type="dxa" w:w="6520"/>
            <w:vAlign w:val="center"/>
          </w:tcPr>
          <w:p>
            <w:r/>
            <w:r>
              <w:rPr>
                <w:rFonts w:ascii="Times New Roman" w:hAnsi="Times New Roman"/>
                <w:b w:val="0"/>
                <w:sz w:val="24"/>
              </w:rPr>
              <w:t>23 de julio de 2026</w:t>
            </w:r>
          </w:p>
        </w:tc>
      </w:tr>
    </w:tbl>
    <w:p>
      <w:r>
        <w:br w:type="page"/>
      </w:r>
    </w:p>
    <w:p>
      <w:pPr>
        <w:spacing w:before="320" w:after="160"/>
      </w:pPr>
      <w:r>
        <w:rPr>
          <w:rFonts w:ascii="Times New Roman" w:hAnsi="Times New Roman"/>
          <w:b/>
          <w:sz w:val="24"/>
        </w:rPr>
        <w:t>1. Para qué es este informe</w:t>
      </w:r>
    </w:p>
    <w:p>
      <w:pPr>
        <w:spacing w:after="160"/>
        <w:jc w:val="both"/>
      </w:pPr>
      <w:r>
        <w:t>El contrato CD-224-2026 se firmó para apoyar a la Oficina TIC en la construcción de un sistema que permitiera caracterizar a los usuarios y los servicios de los dos Puntos Vive Digital de Bugalagrande: el del Edificio Rafael Arias y el del Colegio Antonio Nariño. Cumplidos ya los seis meses de ejecución, este informe deja registro de dos cosas: qué quedó construido y en qué estado, y qué le recomendaría el contratista a la Alcaldía trabajar en un próximo semestre si decide dar continuidad al proyecto.</w:t>
      </w:r>
    </w:p>
    <w:p>
      <w:pPr>
        <w:spacing w:after="160"/>
        <w:jc w:val="both"/>
      </w:pPr>
      <w:r>
        <w:t>No es un documento de ventas ni una lista de deseos. Todo lo que aparece en la sección de alcance ya está construido, probado y en el repositorio del proyecto; todo lo que aparece como recomendación para el futuro queda señalado como tal, sin mezclar lo uno con lo otro.</w:t>
      </w:r>
    </w:p>
    <w:p>
      <w:pPr>
        <w:spacing w:before="320" w:after="160"/>
      </w:pPr>
      <w:r>
        <w:rPr>
          <w:rFonts w:ascii="Times New Roman" w:hAnsi="Times New Roman"/>
          <w:b/>
          <w:sz w:val="24"/>
        </w:rPr>
        <w:t>2. Frente a las obligaciones del contrato</w:t>
      </w:r>
    </w:p>
    <w:p>
      <w:pPr>
        <w:spacing w:after="160"/>
        <w:jc w:val="both"/>
      </w:pPr>
      <w:r>
        <w:t>La cláusula segunda del contrato fija nueve obligaciones específicas a cargo del contratista. En vez de simplemente afirmar que se cumplieron, la siguiente tabla muestra en qué quedó cada una:</w:t>
      </w:r>
    </w:p>
    <w:tbl>
      <w:tblPr>
        <w:tblStyle w:val="TableGrid"/>
        <w:tblW w:type="auto" w:w="0"/>
        <w:jc w:val="center"/>
        <w:tblLook w:firstColumn="1" w:firstRow="1" w:lastColumn="0" w:lastRow="0" w:noHBand="0" w:noVBand="1" w:val="04A0"/>
      </w:tblPr>
      <w:tblGrid>
        <w:gridCol w:w="3059"/>
        <w:gridCol w:w="3059"/>
        <w:gridCol w:w="3059"/>
      </w:tblGrid>
      <w:tr>
        <w:tc>
          <w:tcPr>
            <w:tcW w:type="dxa" w:w="567"/>
          </w:tcPr>
          <w:p>
            <w:r/>
            <w:r>
              <w:rPr>
                <w:rFonts w:ascii="Times New Roman" w:hAnsi="Times New Roman"/>
                <w:b w:val="0"/>
                <w:sz w:val="24"/>
              </w:rPr>
              <w:t>No.</w:t>
            </w:r>
          </w:p>
        </w:tc>
        <w:tc>
          <w:tcPr>
            <w:tcW w:type="dxa" w:w="3685"/>
          </w:tcPr>
          <w:p>
            <w:r/>
            <w:r>
              <w:rPr>
                <w:rFonts w:ascii="Times New Roman" w:hAnsi="Times New Roman"/>
                <w:b w:val="0"/>
                <w:sz w:val="24"/>
              </w:rPr>
              <w:t>Obligación</w:t>
            </w:r>
          </w:p>
        </w:tc>
        <w:tc>
          <w:tcPr>
            <w:tcW w:type="dxa" w:w="4252"/>
          </w:tcPr>
          <w:p>
            <w:r/>
            <w:r>
              <w:rPr>
                <w:rFonts w:ascii="Times New Roman" w:hAnsi="Times New Roman"/>
                <w:b w:val="0"/>
                <w:sz w:val="24"/>
              </w:rPr>
              <w:t>Estado</w:t>
            </w:r>
          </w:p>
        </w:tc>
      </w:tr>
      <w:tr>
        <w:tc>
          <w:tcPr>
            <w:tcW w:type="dxa" w:w="567"/>
          </w:tcPr>
          <w:p>
            <w:r/>
            <w:r>
              <w:rPr>
                <w:rFonts w:ascii="Times New Roman" w:hAnsi="Times New Roman"/>
                <w:b w:val="0"/>
                <w:sz w:val="24"/>
              </w:rPr>
              <w:t>1</w:t>
            </w:r>
          </w:p>
        </w:tc>
        <w:tc>
          <w:tcPr>
            <w:tcW w:type="dxa" w:w="3685"/>
          </w:tcPr>
          <w:p>
            <w:r/>
            <w:r>
              <w:rPr>
                <w:rFonts w:ascii="Times New Roman" w:hAnsi="Times New Roman"/>
                <w:b w:val="0"/>
                <w:sz w:val="24"/>
              </w:rPr>
              <w:t>Apoyar el levantamiento de requerimientos para el sistema de caracterización de usuarios y servicios.</w:t>
            </w:r>
          </w:p>
        </w:tc>
        <w:tc>
          <w:tcPr>
            <w:tcW w:type="dxa" w:w="4252"/>
          </w:tcPr>
          <w:p>
            <w:r/>
            <w:r>
              <w:rPr>
                <w:rFonts w:ascii="Times New Roman" w:hAnsi="Times New Roman"/>
                <w:b w:val="0"/>
                <w:sz w:val="24"/>
              </w:rPr>
              <w:t>Se revisaron los procesos de registro y atención de los dos puntos y quedaron reflejados en el modelo del sistema.</w:t>
            </w:r>
          </w:p>
        </w:tc>
      </w:tr>
      <w:tr>
        <w:tc>
          <w:tcPr>
            <w:tcW w:type="dxa" w:w="567"/>
          </w:tcPr>
          <w:p>
            <w:r/>
            <w:r>
              <w:rPr>
                <w:rFonts w:ascii="Times New Roman" w:hAnsi="Times New Roman"/>
                <w:b w:val="0"/>
                <w:sz w:val="24"/>
              </w:rPr>
              <w:t>2</w:t>
            </w:r>
          </w:p>
        </w:tc>
        <w:tc>
          <w:tcPr>
            <w:tcW w:type="dxa" w:w="3685"/>
          </w:tcPr>
          <w:p>
            <w:r/>
            <w:r>
              <w:rPr>
                <w:rFonts w:ascii="Times New Roman" w:hAnsi="Times New Roman"/>
                <w:b w:val="0"/>
                <w:sz w:val="24"/>
              </w:rPr>
              <w:t>Acompañar la definición de la estructura funcional, incluyendo módulos de registro y caracterización.</w:t>
            </w:r>
          </w:p>
        </w:tc>
        <w:tc>
          <w:tcPr>
            <w:tcW w:type="dxa" w:w="4252"/>
          </w:tcPr>
          <w:p>
            <w:r/>
            <w:r>
              <w:rPr>
                <w:rFonts w:ascii="Times New Roman" w:hAnsi="Times New Roman"/>
                <w:b w:val="0"/>
                <w:sz w:val="24"/>
              </w:rPr>
              <w:t>Quedaron construidos los módulos de ciudadanos, atenciones, servicios y satisfacción.</w:t>
            </w:r>
          </w:p>
        </w:tc>
      </w:tr>
      <w:tr>
        <w:tc>
          <w:tcPr>
            <w:tcW w:type="dxa" w:w="567"/>
          </w:tcPr>
          <w:p>
            <w:r/>
            <w:r>
              <w:rPr>
                <w:rFonts w:ascii="Times New Roman" w:hAnsi="Times New Roman"/>
                <w:b w:val="0"/>
                <w:sz w:val="24"/>
              </w:rPr>
              <w:t>3</w:t>
            </w:r>
          </w:p>
        </w:tc>
        <w:tc>
          <w:tcPr>
            <w:tcW w:type="dxa" w:w="3685"/>
          </w:tcPr>
          <w:p>
            <w:r/>
            <w:r>
              <w:rPr>
                <w:rFonts w:ascii="Times New Roman" w:hAnsi="Times New Roman"/>
                <w:b w:val="0"/>
                <w:sz w:val="24"/>
              </w:rPr>
              <w:t>Apoyar la estructuración del modelo de base de datos con variables sociodemográficas.</w:t>
            </w:r>
          </w:p>
        </w:tc>
        <w:tc>
          <w:tcPr>
            <w:tcW w:type="dxa" w:w="4252"/>
          </w:tcPr>
          <w:p>
            <w:r/>
            <w:r>
              <w:rPr>
                <w:rFonts w:ascii="Times New Roman" w:hAnsi="Times New Roman"/>
                <w:b w:val="0"/>
                <w:sz w:val="24"/>
              </w:rPr>
              <w:t>El ciudadano queda registrado con género, discapacidad, estrato, etnia, nivel educativo, ocupación y barrio, además del consentimiento de tratamiento de datos personales que exige la Ley 1581 de 2012.</w:t>
            </w:r>
          </w:p>
        </w:tc>
      </w:tr>
      <w:tr>
        <w:tc>
          <w:tcPr>
            <w:tcW w:type="dxa" w:w="567"/>
          </w:tcPr>
          <w:p>
            <w:r/>
            <w:r>
              <w:rPr>
                <w:rFonts w:ascii="Times New Roman" w:hAnsi="Times New Roman"/>
                <w:b w:val="0"/>
                <w:sz w:val="24"/>
              </w:rPr>
              <w:t>4</w:t>
            </w:r>
          </w:p>
        </w:tc>
        <w:tc>
          <w:tcPr>
            <w:tcW w:type="dxa" w:w="3685"/>
          </w:tcPr>
          <w:p>
            <w:r/>
            <w:r>
              <w:rPr>
                <w:rFonts w:ascii="Times New Roman" w:hAnsi="Times New Roman"/>
                <w:b w:val="0"/>
                <w:sz w:val="24"/>
              </w:rPr>
              <w:t>Apoyar la funcionalidad del sistema y de interfaces amigables para registro, consulta y actualización.</w:t>
            </w:r>
          </w:p>
        </w:tc>
        <w:tc>
          <w:tcPr>
            <w:tcW w:type="dxa" w:w="4252"/>
          </w:tcPr>
          <w:p>
            <w:r/>
            <w:r>
              <w:rPr>
                <w:rFonts w:ascii="Times New Roman" w:hAnsi="Times New Roman"/>
                <w:b w:val="0"/>
                <w:sz w:val="24"/>
              </w:rPr>
              <w:t>Los formularios y la navegación se pensaron para personal sin experiencia previa con software, con roles diferenciados (Superusuario, Administrador TIC, Administrador de Punto Vive Digital).</w:t>
            </w:r>
          </w:p>
        </w:tc>
      </w:tr>
      <w:tr>
        <w:tc>
          <w:tcPr>
            <w:tcW w:type="dxa" w:w="567"/>
          </w:tcPr>
          <w:p>
            <w:r/>
            <w:r>
              <w:rPr>
                <w:rFonts w:ascii="Times New Roman" w:hAnsi="Times New Roman"/>
                <w:b w:val="0"/>
                <w:sz w:val="24"/>
              </w:rPr>
              <w:t>5</w:t>
            </w:r>
          </w:p>
        </w:tc>
        <w:tc>
          <w:tcPr>
            <w:tcW w:type="dxa" w:w="3685"/>
          </w:tcPr>
          <w:p>
            <w:r/>
            <w:r>
              <w:rPr>
                <w:rFonts w:ascii="Times New Roman" w:hAnsi="Times New Roman"/>
                <w:b w:val="0"/>
                <w:sz w:val="24"/>
              </w:rPr>
              <w:t>Apoyar la sistematización de módulos de consulta y reportes con estadísticas consolidadas.</w:t>
            </w:r>
          </w:p>
        </w:tc>
        <w:tc>
          <w:tcPr>
            <w:tcW w:type="dxa" w:w="4252"/>
          </w:tcPr>
          <w:p>
            <w:r/>
            <w:r>
              <w:rPr>
                <w:rFonts w:ascii="Times New Roman" w:hAnsi="Times New Roman"/>
                <w:b w:val="0"/>
                <w:sz w:val="24"/>
              </w:rPr>
              <w:t>El módulo de reportes entrega indicadores, perfil demográfico de los ciudadanos y siete exportaciones a Excel distintas.</w:t>
            </w:r>
          </w:p>
        </w:tc>
      </w:tr>
      <w:tr>
        <w:tc>
          <w:tcPr>
            <w:tcW w:type="dxa" w:w="567"/>
          </w:tcPr>
          <w:p>
            <w:r/>
            <w:r>
              <w:rPr>
                <w:rFonts w:ascii="Times New Roman" w:hAnsi="Times New Roman"/>
                <w:b w:val="0"/>
                <w:sz w:val="24"/>
              </w:rPr>
              <w:t>6</w:t>
            </w:r>
          </w:p>
        </w:tc>
        <w:tc>
          <w:tcPr>
            <w:tcW w:type="dxa" w:w="3685"/>
          </w:tcPr>
          <w:p>
            <w:r/>
            <w:r>
              <w:rPr>
                <w:rFonts w:ascii="Times New Roman" w:hAnsi="Times New Roman"/>
                <w:b w:val="0"/>
                <w:sz w:val="24"/>
              </w:rPr>
              <w:t>Apoyar las pruebas funcionales y de validación del sistema, haciendo los ajustes necesarios.</w:t>
            </w:r>
          </w:p>
        </w:tc>
        <w:tc>
          <w:tcPr>
            <w:tcW w:type="dxa" w:w="4252"/>
          </w:tcPr>
          <w:p>
            <w:r/>
            <w:r>
              <w:rPr>
                <w:rFonts w:ascii="Times New Roman" w:hAnsi="Times New Roman"/>
                <w:b w:val="0"/>
                <w:sz w:val="24"/>
              </w:rPr>
              <w:t>Se dejó una batería de pruebas automatizadas corriendo en cada cambio. En ese proceso se encontró y corrigió una falla de fondo que se explica en la sección 4.</w:t>
            </w:r>
          </w:p>
        </w:tc>
      </w:tr>
      <w:tr>
        <w:tc>
          <w:tcPr>
            <w:tcW w:type="dxa" w:w="567"/>
          </w:tcPr>
          <w:p>
            <w:r/>
            <w:r>
              <w:rPr>
                <w:rFonts w:ascii="Times New Roman" w:hAnsi="Times New Roman"/>
                <w:b w:val="0"/>
                <w:sz w:val="24"/>
              </w:rPr>
              <w:t>7</w:t>
            </w:r>
          </w:p>
        </w:tc>
        <w:tc>
          <w:tcPr>
            <w:tcW w:type="dxa" w:w="3685"/>
          </w:tcPr>
          <w:p>
            <w:r/>
            <w:r>
              <w:rPr>
                <w:rFonts w:ascii="Times New Roman" w:hAnsi="Times New Roman"/>
                <w:b w:val="0"/>
                <w:sz w:val="24"/>
              </w:rPr>
              <w:t>Apoyar la documentación básica: manual de usuario, descripción funcional y estructura de la base de datos.</w:t>
            </w:r>
          </w:p>
        </w:tc>
        <w:tc>
          <w:tcPr>
            <w:tcW w:type="dxa" w:w="4252"/>
          </w:tcPr>
          <w:p>
            <w:r/>
            <w:r>
              <w:rPr>
                <w:rFonts w:ascii="Times New Roman" w:hAnsi="Times New Roman"/>
                <w:b w:val="0"/>
                <w:sz w:val="24"/>
              </w:rPr>
              <w:t>Se entregó el Manual del Sistema PVD, que reúne las tres cosas en un solo documento.</w:t>
            </w:r>
          </w:p>
        </w:tc>
      </w:tr>
      <w:tr>
        <w:tc>
          <w:tcPr>
            <w:tcW w:type="dxa" w:w="567"/>
          </w:tcPr>
          <w:p>
            <w:r/>
            <w:r>
              <w:rPr>
                <w:rFonts w:ascii="Times New Roman" w:hAnsi="Times New Roman"/>
                <w:b w:val="0"/>
                <w:sz w:val="24"/>
              </w:rPr>
              <w:t>8</w:t>
            </w:r>
          </w:p>
        </w:tc>
        <w:tc>
          <w:tcPr>
            <w:tcW w:type="dxa" w:w="3685"/>
          </w:tcPr>
          <w:p>
            <w:r/>
            <w:r>
              <w:rPr>
                <w:rFonts w:ascii="Times New Roman" w:hAnsi="Times New Roman"/>
                <w:b w:val="0"/>
                <w:sz w:val="24"/>
              </w:rPr>
              <w:t>Apoyar la capacitación inicial a funcionarios y operadores.</w:t>
            </w:r>
          </w:p>
        </w:tc>
        <w:tc>
          <w:tcPr>
            <w:tcW w:type="dxa" w:w="4252"/>
          </w:tcPr>
          <w:p>
            <w:r/>
            <w:r>
              <w:rPr>
                <w:rFonts w:ascii="Times New Roman" w:hAnsi="Times New Roman"/>
                <w:b w:val="0"/>
                <w:sz w:val="24"/>
              </w:rPr>
              <w:t>Sigue pendiente. Quedó ligada a la puesta en producción: no tiene sentido capacitar sobre un sistema que todavía no tiene servidor asignado. Se hará con el Manual ya listo apenas Sistemas entregue el servidor.</w:t>
            </w:r>
          </w:p>
        </w:tc>
      </w:tr>
      <w:tr>
        <w:tc>
          <w:tcPr>
            <w:tcW w:type="dxa" w:w="567"/>
          </w:tcPr>
          <w:p>
            <w:r/>
            <w:r>
              <w:rPr>
                <w:rFonts w:ascii="Times New Roman" w:hAnsi="Times New Roman"/>
                <w:b w:val="0"/>
                <w:sz w:val="24"/>
              </w:rPr>
              <w:t>9</w:t>
            </w:r>
          </w:p>
        </w:tc>
        <w:tc>
          <w:tcPr>
            <w:tcW w:type="dxa" w:w="3685"/>
          </w:tcPr>
          <w:p>
            <w:r/>
            <w:r>
              <w:rPr>
                <w:rFonts w:ascii="Times New Roman" w:hAnsi="Times New Roman"/>
                <w:b w:val="0"/>
                <w:sz w:val="24"/>
              </w:rPr>
              <w:t>Las demás actividades que el supervisor considerara necesarias.</w:t>
            </w:r>
          </w:p>
        </w:tc>
        <w:tc>
          <w:tcPr>
            <w:tcW w:type="dxa" w:w="4252"/>
          </w:tcPr>
          <w:p>
            <w:r/>
            <w:r>
              <w:rPr>
                <w:rFonts w:ascii="Times New Roman" w:hAnsi="Times New Roman"/>
                <w:b w:val="0"/>
                <w:sz w:val="24"/>
              </w:rPr>
              <w:t>Aquí entran los documentos de requisitos y de solicitud de infraestructura preparados para gestionar el servidor ante el área de Sistemas.</w:t>
            </w:r>
          </w:p>
        </w:tc>
      </w:tr>
    </w:tbl>
    <w:p>
      <w:pPr>
        <w:spacing w:after="80"/>
      </w:pPr>
    </w:p>
    <w:p>
      <w:pPr>
        <w:spacing w:after="280"/>
        <w:jc w:val="both"/>
      </w:pPr>
      <w:r>
        <w:t>La única que queda abierta es la 8, y no por algo que dependa del contratista en este momento.</w:t>
      </w:r>
    </w:p>
    <w:p>
      <w:pPr>
        <w:spacing w:before="320" w:after="160"/>
      </w:pPr>
      <w:r>
        <w:rPr>
          <w:rFonts w:ascii="Times New Roman" w:hAnsi="Times New Roman"/>
          <w:b/>
          <w:sz w:val="24"/>
        </w:rPr>
        <w:t>3. Qué hace el sistema hoy</w:t>
      </w:r>
    </w:p>
    <w:p>
      <w:pPr>
        <w:spacing w:after="160"/>
        <w:jc w:val="both"/>
      </w:pPr>
      <w:r>
        <w:t>A continuación se describe por partes, en el orden en que normalmente se usa: primero llega el ciudadano, luego se le atiende, y alrededor de eso hay un puñado de módulos de apoyo (recursos, cursos, salas, mantenimiento) más el reporteo que amarra todo.</w:t>
      </w:r>
    </w:p>
    <w:p>
      <w:pPr>
        <w:spacing w:after="160"/>
        <w:jc w:val="both"/>
      </w:pPr>
      <w:r>
        <w:t>Ciudadanos. Se registran, se editan, se consultan y se pueden desactivar, con el historial completo de atenciones de cada persona a la vista. El registro queda a cargo del administrador del punto al momento de la atención.</w:t>
      </w:r>
    </w:p>
    <w:p>
      <w:pPr>
        <w:spacing w:after="160"/>
        <w:jc w:val="both"/>
      </w:pPr>
      <w:r>
        <w:t>Atenciones, servicios y satisfacción. Es el corazón del sistema y el que más directamente responde a la obligación 5: cada atención puede tener uno o varios servicios asociados, pasa por los estados pendiente, finalizada o cancelada, y al cerrarse puede quedar con una encuesta de satisfacción del ciudadano.</w:t>
      </w:r>
    </w:p>
    <w:p>
      <w:pPr>
        <w:spacing w:after="160"/>
        <w:jc w:val="both"/>
      </w:pPr>
      <w:r>
        <w:t>Recursos y préstamos. Inventario de equipos y materiales por punto, con préstamos a ciudadanos y control de devolución; el sistema no deja prestar algo que ya está prestado.</w:t>
      </w:r>
    </w:p>
    <w:p>
      <w:pPr>
        <w:spacing w:after="160"/>
        <w:jc w:val="both"/>
      </w:pPr>
      <w:r>
        <w:t>Cursos, salas y mantenimiento. Se pueden crear cursos con sus sesiones, inscribir ciudadanos y pasar asistencia sesión por sesión. Las salas tienen una agenda que impide reservar dos actividades a la misma hora en el mismo espacio. Y hay un módulo aparte para dejar registro de los mantenimientos que se le hacen a los equipos, con su propio reporte en Excel.</w:t>
      </w:r>
    </w:p>
    <w:p>
      <w:pPr>
        <w:spacing w:after="160"/>
        <w:jc w:val="both"/>
      </w:pPr>
      <w:r>
        <w:t>Evidencias. Se pueden adjuntar fotos como soporte de una actividad; el sistema revisa que el archivo sea realmente una imagen antes de guardarlo, no solo confía en la extensión del archivo.</w:t>
      </w:r>
    </w:p>
    <w:p>
      <w:pPr>
        <w:spacing w:after="160"/>
        <w:jc w:val="both"/>
      </w:pPr>
      <w:r>
        <w:t>Reportes y exportaciones. Un panel con los indicadores principales (ciudadanos, atenciones, servicios, préstamos, satisfacción) y el perfil demográfico de quienes se atienden, además de siete exportaciones a Excel independientes (atenciones, ciudadanos, servicios, satisfacción, préstamos, cursos y mantenimientos). Cuando quien exporta es un administrador de un punto específico, el reporte sale filtrado a su propio punto sin que tenga que pedirlo.</w:t>
      </w:r>
    </w:p>
    <w:p>
      <w:pPr>
        <w:spacing w:after="160"/>
        <w:jc w:val="both"/>
      </w:pPr>
      <w:r>
        <w:t>Roles, permisos y auditoría. Hay tres roles (Superusuario, Administrador TIC, Administrador de Punto Vive Digital) y un sistema propio de permisos que el Administrador TIC puede delegar puntualmente a un Administrador de Punto, o que se puede ajustar caso por caso para un usuario particular. Todo lo relevante que hace un usuario queda en un registro de auditoría consultable y exportable.</w:t>
      </w:r>
    </w:p>
    <w:p>
      <w:pPr>
        <w:spacing w:after="160"/>
        <w:jc w:val="both"/>
      </w:pPr>
      <w:r>
        <w:t>Acceso. El inicio de sesión bloquea intentos repetidos fallidos, y quien administra más de un punto elige con cuál trabajar al entrar.</w:t>
      </w:r>
    </w:p>
    <w:p>
      <w:pPr>
        <w:spacing w:before="320" w:after="160"/>
      </w:pPr>
      <w:r>
        <w:rPr>
          <w:rFonts w:ascii="Times New Roman" w:hAnsi="Times New Roman"/>
          <w:b/>
          <w:sz w:val="24"/>
        </w:rPr>
        <w:t>4. Cómo está construido y qué tan sólido es</w:t>
      </w:r>
    </w:p>
    <w:p>
      <w:pPr>
        <w:spacing w:after="160"/>
        <w:jc w:val="both"/>
      </w:pPr>
      <w:r>
        <w:t>Por dentro es Django 5 con base de datos MySQL en Aiven Cloud, sin ningún framework de JavaScript de por medio. Esa decisión fue deliberada: si en el futuro otra persona distinta al contratista tiene que darle mantenimiento, se va a encontrar con un proyecto Django estándar, no con una mezcla de tecnologías que solo el desarrollador original entienda.</w:t>
      </w:r>
    </w:p>
    <w:p>
      <w:pPr>
        <w:spacing w:after="160"/>
        <w:jc w:val="both"/>
      </w:pPr>
      <w:r>
        <w:t>Vale la pena contar el hallazgo más serio que salió de las pruebas de seguridad hechas al sistema: un administrador de un Punto Vive Digital podía, simplemente cambiando un número en la dirección del navegador, llegar a ver o modificar datos de ciudadanos de otro punto que no era el suyo. Como esos registros incluyen información sensible — discapacidad, etnia — protegida por la Ley 1581 de 2012 de Habeas Data, se trató como una prioridad y no como un detalle menor. Se corrigió en más de treinta vistas del sistema y quedaron pruebas automáticas permanentes para que, si algún cambio futuro vuelve a abrir esa puerta, se note de inmediato en vez de descubrirse por accidente.</w:t>
      </w:r>
    </w:p>
    <w:p>
      <w:pPr>
        <w:spacing w:after="160"/>
        <w:jc w:val="both"/>
      </w:pPr>
      <w:r>
        <w:t>De ahí en adelante, cada cambio que se sube al repositorio pasa automáticamente por esa batería de pruebas antes de darse por bueno (GitHub Actions). También se corrigió que el registro de auditoría guardara la dirección IP real del usuario — antes se podía falsificar —, se endureció la configuración de seguridad para producción, y quedó lista una rutina de respaldo diario con treinta días de retención, pendiente solo de activarse en el servidor definitivo.</w:t>
      </w:r>
    </w:p>
    <w:p>
      <w:pPr>
        <w:spacing w:before="320" w:after="160"/>
      </w:pPr>
      <w:r>
        <w:rPr>
          <w:rFonts w:ascii="Times New Roman" w:hAnsi="Times New Roman"/>
          <w:b/>
          <w:sz w:val="24"/>
        </w:rPr>
        <w:t>5. En qué queda el proyecto al cierre de este contrato</w:t>
      </w:r>
    </w:p>
    <w:p>
      <w:pPr>
        <w:spacing w:after="160"/>
        <w:jc w:val="both"/>
      </w:pPr>
      <w:r>
        <w:t>El sistema está completo, documentado y probado. No hay ningún módulo a medio construir. Lo único que falta para que las administradoras lo empiecen a usar de verdad es la asignación del servidor por parte del área de Sistemas — trámite para el cual ya se radicaron los documentos de requisitos y de solicitud de infraestructura correspondientes. En otras palabras: lo que queda pendiente no es una tarea técnica del contratista, es un trámite entre dependencias de la propia Alcaldía.</w:t>
      </w:r>
    </w:p>
    <w:p>
      <w:pPr>
        <w:spacing w:after="160"/>
        <w:jc w:val="both"/>
      </w:pPr>
      <w:r>
        <w:t>Precisamente por lo lento que ha resultado ese trámite, la sección siguiente plantea un camino distinto para el próximo periodo: que el servidor deje de depender de una asignación institucional aparte.</w:t>
      </w:r>
    </w:p>
    <w:p>
      <w:pPr>
        <w:spacing w:before="320" w:after="160"/>
      </w:pPr>
      <w:r>
        <w:rPr>
          <w:rFonts w:ascii="Times New Roman" w:hAnsi="Times New Roman"/>
          <w:b/>
          <w:sz w:val="24"/>
        </w:rPr>
        <w:t>6. Recomendaciones para el próximo semestre</w:t>
      </w:r>
    </w:p>
    <w:p>
      <w:pPr>
        <w:spacing w:after="160"/>
        <w:jc w:val="both"/>
      </w:pPr>
      <w:r>
        <w:t>Todo lo anterior ya resuelve para lo que se firmó el contrato. Lo que sigue aquí no es indispensable — el sistema funciona sin esto —, pero son puntos que quedaron anotados durante el desarrollo porque le sumarían valor si hay un próximo periodo de contratación.</w:t>
      </w:r>
    </w:p>
    <w:p>
      <w:pPr>
        <w:spacing w:after="160"/>
        <w:jc w:val="both"/>
      </w:pPr>
      <w:r>
        <w:t>Incluir el costo del servidor dentro del valor del contrato. Hasta ahora la puesta en marcha ha dependido de que el área de Sistemas asigne y pague un VPS institucional aparte, trámite que a la fecha de este informe sigue sin resolverse. Para el próximo semestre se plantea un camino más directo: que el valor del contrato incluya el costo del servidor, de modo que sea el propio contratista quien lo contrate y lo mantenga activo, sin quedar sujeto al trámite entre dependencias. La Solicitud de Infraestructura v1.2 cotizó el plan del proveedor en cerca de $78.000 mensuales, pero ese valor es el precio de lista y no incluye el IVA del 19% que aplica a los servicios digitales contratados desde el exterior ni la comisión por compra internacional que cobran la mayoría de las tarjetas colombianas; con esos dos cargos, el valor real facturado podría acercarse a $95.000 u $100.000 mensuales. Como todavía no se ha contratado ningún servidor, no hay una factura real con la cual verificar la cifra exacta, así que se sugiere presupuestar con margen — entre $550.000 y $650.000 para un periodo de seis meses — y confirmar el valor definitivo con la primera factura una vez el servicio esté activo. Se recomienda, además, mantener la cuenta del proveedor a nombre de un correo institucional y no personal, para que la continuidad del servicio no dependa de una sola persona.</w:t>
      </w:r>
    </w:p>
    <w:p>
      <w:pPr>
        <w:spacing w:after="160"/>
        <w:jc w:val="both"/>
      </w:pPr>
      <w:r>
        <w:t>Cerrar huecos de robustez. Hoy reglas como no permitir doble préstamo de un mismo recurso o no solapar horarios de sala solo se validan desde el formulario, no desde la propia base de datos. Reforzarlas a ese nivel, y agrupar en una sola operación los registros de varios pasos (una atención con su servicio y su evidencia, por ejemplo), evitaría que una caída a mitad de proceso deje información a medio guardar.</w:t>
      </w:r>
    </w:p>
    <w:p>
      <w:pPr>
        <w:spacing w:after="160"/>
        <w:jc w:val="both"/>
      </w:pPr>
      <w:r>
        <w:t>Revisar la seguridad con algo más de frecuencia. Se recomienda una revisión periódica — trimestral, por decir algo — de qué permisos tiene delegados cada administrador, y conversar con la Oficina TIC si vale la pena un segundo factor de autenticación para las cuentas de Superusuario y Administrador TIC. Esto último queda como pregunta abierta, no como algo que ya haya que hacer: la entidad decidirá si el riesgo lo justifica.</w:t>
      </w:r>
    </w:p>
    <w:p>
      <w:pPr>
        <w:spacing w:after="160"/>
        <w:jc w:val="both"/>
      </w:pPr>
      <w:r>
        <w:t>Tres funcionalidades que las administradoras probablemente pedirían. Un aviso automático cuando un préstamo o un mantenimiento programado esté por vencerse; poder sacar los reportes también en PDF con gráficas y no solo en Excel; y algunos ajustes de interfaz pensados para tableta, que es el tipo de equipo que suelen tener los puntos de atención.</w:t>
      </w:r>
    </w:p>
    <w:p>
      <w:pPr>
        <w:spacing w:after="160"/>
        <w:jc w:val="both"/>
      </w:pPr>
      <w:r>
        <w:t>La base de datos, para más adelante. Como quedó anotado en la Solicitud de Infraestructura versión 1.2, por ahora la base de datos se queda en Aiven Cloud para no arriesgar nada el día de la puesta en producción. Migrarla al servidor propio del municipio sigue siendo una opción razonable, pero es mejor evaluarla con calma en un próximo periodo, no el mismo día del despliegue.</w:t>
      </w:r>
    </w:p>
    <w:p>
      <w:pPr>
        <w:spacing w:after="160"/>
        <w:jc w:val="both"/>
      </w:pPr>
      <w:r>
        <w:t>Y lo obvio: terminar la capacitación. Apenas haya servidor, hay que completar la obligación 8 y aprovechar para mantener actualizado el Manual del Sistema con lo que se vaya agregando, para que el conocimiento del sistema no dependa solo de quien lo construyó.</w:t>
      </w:r>
    </w:p>
    <w:p>
      <w:pPr>
        <w:spacing w:before="320" w:after="160"/>
      </w:pPr>
      <w:r>
        <w:rPr>
          <w:rFonts w:ascii="Times New Roman" w:hAnsi="Times New Roman"/>
          <w:b/>
          <w:sz w:val="24"/>
        </w:rPr>
        <w:t>7. Para cerrar</w:t>
      </w:r>
    </w:p>
    <w:p>
      <w:pPr>
        <w:spacing w:after="160"/>
        <w:jc w:val="both"/>
      </w:pPr>
      <w:r>
        <w:t>El sistema se entrega funcionando y cumpliendo lo que el contrato pedía. Lo de la sección anterior son recomendaciones del contratista, hechas con la información de primera mano que da haber construido el sistema, para que la Alcaldía decida con criterio propio si le conviene continuar el proyecto en un próximo contrato.</w:t>
      </w:r>
    </w:p>
    <w:p/>
    <w:p/>
    <w:p>
      <w:pPr>
        <w:jc w:val="center"/>
      </w:pPr>
      <w:r>
        <w:rPr>
          <w:rFonts w:ascii="Times New Roman" w:hAnsi="Times New Roman"/>
          <w:sz w:val="24"/>
        </w:rPr>
        <w:t>Atentamente,</w:t>
      </w:r>
    </w:p>
    <w:p/>
    <w:p/>
    <w:p>
      <w:pPr>
        <w:jc w:val="center"/>
      </w:pPr>
      <w:r>
        <w:rPr>
          <w:rFonts w:ascii="Times New Roman" w:hAnsi="Times New Roman"/>
          <w:sz w:val="24"/>
        </w:rPr>
        <w:t>_______________________________</w:t>
      </w:r>
    </w:p>
    <w:p>
      <w:pPr>
        <w:jc w:val="center"/>
      </w:pPr>
      <w:r>
        <w:rPr>
          <w:rFonts w:ascii="Times New Roman" w:hAnsi="Times New Roman"/>
          <w:sz w:val="24"/>
        </w:rPr>
        <w:t>Esteban Sáenz Salazar</w:t>
      </w:r>
    </w:p>
    <w:p>
      <w:pPr>
        <w:jc w:val="center"/>
      </w:pPr>
      <w:r>
        <w:rPr>
          <w:rFonts w:ascii="Times New Roman" w:hAnsi="Times New Roman"/>
          <w:sz w:val="24"/>
        </w:rPr>
        <w:t>C.C. 1.113.037.186 — Contratista, apoyo a la gestión Oficina TIC — Contrato CD-224-2026</w:t>
      </w:r>
    </w:p>
    <w:p>
      <w:pPr>
        <w:jc w:val="center"/>
      </w:pPr>
      <w:r>
        <w:rPr>
          <w:rFonts w:ascii="Times New Roman" w:hAnsi="Times New Roman"/>
          <w:sz w:val="24"/>
        </w:rPr>
        <w:t>esteban200509@gmail.com · +57 312 636 8063</w:t>
      </w:r>
    </w:p>
    <w:sectPr w:rsidR="00FC693F" w:rsidRPr="0006063C" w:rsidSect="00034616">
      <w:footerReference w:type="default" r:id="rId9"/>
      <w:pgSz w:w="12240" w:h="15840"/>
      <w:pgMar w:top="1247" w:right="1531"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Informe de gestión — Sistema de Puntos Vive Digital de Bugalagrande    </w:t>
    </w:r>
    <w:r>
      <w:rPr>
        <w:rFonts w:ascii="Times New Roman" w:hAnsi="Times New Roman"/>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