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HISAT2 summary stats: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Total reads: 30096922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Aligned 0 time: 616289 (2.05%)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Aligned 1 time: 26919752 (89.44%)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Aligned &gt;1 times: 2560881 (8.51%)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Overall alignment rate: 97.95%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HISAT2 summary stats: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Total reads: 28312992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Aligned 0 time: 623563 (2.20%)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Aligned 1 time: 25158985 (88.86%)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Aligned &gt;1 times: 2530444 (8.94%)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Overall alignment rate: 97.80%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4029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33775" cy="401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