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31.png" ContentType="image/png"/>
  <Override PartName="/word/media/rId27.png" ContentType="image/png"/>
  <Override PartName="/word/media/rId23.png" ContentType="image/png"/>
  <Override PartName="/word/media/rId18.png" ContentType="image/png"/>
  <Override PartName="/word/media/rId40.png" ContentType="image/png"/>
  <Override PartName="/word/media/rId9.png" ContentType="image/png"/>
  <Override PartName="/word/media/rId35.png" ContentType="image/png"/>
  <Override PartName="/word/media/rId1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59"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it is modelled, and the apparent trends in bill width and trait variance do not persist.</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show no directional change in morphological traits within individual contributors over time (e.g., within-contributor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p>
      <w:r>
        <w:pict>
          <v:rect style="width:0;height:1.5pt" o:hralign="center" o:hrstd="t" o:hr="t"/>
        </w:pict>
      </w:r>
    </w:p>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p>
      <w:r>
        <w:pict>
          <v:rect style="width:0;height:1.5pt" o:hralign="center" o:hrstd="t" o:hr="t"/>
        </w:pict>
      </w:r>
    </w:p>
    <w:bookmarkEnd w:id="22"/>
    <w:bookmarkStart w:id="39" w:name="X68eeb86d4879946f6cedce42ee1bf90218f876b"/>
    <w:p>
      <w:pPr>
        <w:pStyle w:val="Heading2"/>
      </w:pPr>
      <w:r>
        <w:t xml:space="preserve">1.3 Supplementary Note S3: Century-Scale Museum Integration and Climate Breakpoint Analysis</w:t>
      </w:r>
    </w:p>
    <w:p>
      <w:pPr>
        <w:pStyle w:val="FirstParagraph"/>
      </w:pPr>
      <w:r>
        <w:t xml:space="preserve">To place the 24-year mist-netting record (1995–2018) into long-term macroecological perspective, we audited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ornithological collections, available via the ATLANTIC BIRD TRAITS database.</w:t>
      </w:r>
    </w:p>
    <w:p>
      <w:pPr>
        <w:pStyle w:val="BodyText"/>
      </w:pPr>
      <w:r>
        <w:t xml:space="preserve">We evaluated secular climate warming using NASA GISS Surface Temperature Analysis (GISTEMP v4; Zonal annual anomalies for</w:t>
      </w:r>
      <w:r>
        <w:t xml:space="preserve"> </w:t>
      </w:r>
      <m:oMath>
        <m:sSup>
          <m:e>
            <m:r>
              <m:t>24</m:t>
            </m:r>
          </m:e>
          <m:sup>
            <m:r>
              <m:rPr>
                <m:sty m:val="p"/>
              </m:rPr>
              <m:t>∘</m:t>
            </m:r>
          </m:sup>
        </m:sSup>
        <m:r>
          <m:rPr>
            <m:nor/>
            <m:sty m:val="p"/>
          </m:rPr>
          <m:t>S</m:t>
        </m:r>
        <m:r>
          <m:rPr>
            <m:nor/>
            <m:sty m:val="p"/>
          </m:rPr>
          <m:t>–Equator</m:t>
        </m:r>
      </m:oMath>
      <w:r>
        <w:t xml:space="preserve">, 1880–2018;</w:t>
      </w:r>
      <w:r>
        <w:t xml:space="preserve"> </w:t>
      </w:r>
      <w:r>
        <w:t xml:space="preserve">Lenssen et al. (2019)</w:t>
      </w:r>
      <w:r>
        <w:t xml:space="preserve">), which strongly correlates with local CRU-TS capture temperatures (</w:t>
      </w:r>
      <m:oMath>
        <m:r>
          <m:t>r</m:t>
        </m:r>
        <m:r>
          <m:rPr>
            <m:sty m:val="p"/>
          </m:rPr>
          <m:t>=</m:t>
        </m:r>
        <m:r>
          <m:t>0.744</m:t>
        </m:r>
      </m:oMath>
      <w:r>
        <w:t xml:space="preserve">). Using two-phase piecewise linear regression</w:t>
      </w:r>
      <w:r>
        <w:t xml:space="preserve"> </w:t>
      </w:r>
      <w:r>
        <w:t xml:space="preserve">(Muggeo 2003)</w:t>
      </w:r>
      <w:r>
        <w:t xml:space="preserve">, we conducted a grid search across candidate breakpoint years (1900–2005) to identify the structural inflection point in regional warming:</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The maximum-likelihood breakpoint emerged at</w:t>
      </w:r>
      <w:r>
        <w:t xml:space="preserve"> </w:t>
      </w:r>
      <m:oMath>
        <m:r>
          <m:t>τ</m:t>
        </m:r>
        <m:r>
          <m:rPr>
            <m:sty m:val="p"/>
          </m:rPr>
          <m:t>=</m:t>
        </m:r>
        <m:r>
          <m:t>1980</m:t>
        </m:r>
        <m:r>
          <m:rPr>
            <m:sty m:val="p"/>
          </m:rPr>
          <m:t>±</m:t>
        </m:r>
        <m:r>
          <m:t>3</m:t>
        </m:r>
      </m:oMath>
      <w:r>
        <w:t xml:space="preserve"> </w:t>
      </w:r>
      <w:r>
        <w:t xml:space="preserve">years:</w:t>
      </w:r>
      <w:r>
        <w:t xml:space="preserve"> </w:t>
      </w:r>
      <w:r>
        <w:t xml:space="preserve">-</w:t>
      </w:r>
      <w:r>
        <w:t xml:space="preserve"> </w:t>
      </w:r>
      <w:r>
        <w:rPr>
          <w:b/>
          <w:bCs/>
        </w:rPr>
        <w:t xml:space="preserve">Pre-1980 (1880–1979):</w:t>
      </w:r>
      <w:r>
        <w:t xml:space="preserve"> </w:t>
      </w:r>
      <m:oMath>
        <m:r>
          <m:rPr>
            <m:sty m:val="p"/>
          </m:rPr>
          <m:t>+</m:t>
        </m:r>
        <m:sSup>
          <m:e>
            <m:r>
              <m:t>0.036</m:t>
            </m:r>
          </m:e>
          <m:sup>
            <m:r>
              <m:rPr>
                <m:sty m:val="p"/>
              </m:rPr>
              <m:t>∘</m:t>
            </m:r>
          </m:sup>
        </m:sSup>
        <m:r>
          <m:rPr>
            <m:nor/>
            <m:sty m:val="p"/>
          </m:rPr>
          <m:t>C</m:t>
        </m:r>
      </m:oMath>
      <w:r>
        <w:t xml:space="preserve">/decade (</w:t>
      </w:r>
      <m:oMath>
        <m:r>
          <m:t>t</m:t>
        </m:r>
        <m:r>
          <m:rPr>
            <m:sty m:val="p"/>
          </m:rPr>
          <m:t>=</m:t>
        </m:r>
        <m:r>
          <m:t>2.05</m:t>
        </m:r>
        <m:r>
          <m:rPr>
            <m:sty m:val="p"/>
          </m:rPr>
          <m:t>,</m:t>
        </m:r>
        <m:r>
          <m:t>p</m:t>
        </m:r>
        <m:r>
          <m:rPr>
            <m:sty m:val="p"/>
          </m:rPr>
          <m:t>=</m:t>
        </m:r>
        <m:r>
          <m:t>0.042</m:t>
        </m:r>
      </m:oMath>
      <w:r>
        <w:t xml:space="preserve">), reflecting modest decadal fluctuations.</w:t>
      </w:r>
      <w:r>
        <w:t xml:space="preserve"> </w:t>
      </w:r>
      <w:r>
        <w:t xml:space="preserve">-</w:t>
      </w:r>
      <w:r>
        <w:t xml:space="preserve"> </w:t>
      </w:r>
      <w:r>
        <w:rPr>
          <w:b/>
          <w:bCs/>
        </w:rPr>
        <w:t xml:space="preserve">Post-1980 (1980–2018):</w:t>
      </w:r>
      <w:r>
        <w:t xml:space="preserve"> </w:t>
      </w:r>
      <m:oMath>
        <m:r>
          <m:rPr>
            <m:sty m:val="p"/>
          </m:rPr>
          <m:t>+</m:t>
        </m:r>
        <m:sSup>
          <m:e>
            <m:r>
              <m:t>0.190</m:t>
            </m:r>
          </m:e>
          <m:sup>
            <m:r>
              <m:rPr>
                <m:sty m:val="p"/>
              </m:rPr>
              <m:t>∘</m:t>
            </m:r>
          </m:sup>
        </m:sSup>
        <m:r>
          <m:rPr>
            <m:nor/>
            <m:sty m:val="p"/>
          </m:rPr>
          <m:t>C</m:t>
        </m:r>
      </m:oMath>
      <w:r>
        <w:t xml:space="preserve">/decade (</w:t>
      </w:r>
      <m:oMath>
        <m:r>
          <m:t>t</m:t>
        </m:r>
        <m:r>
          <m:rPr>
            <m:sty m:val="p"/>
          </m:rPr>
          <m:t>=</m:t>
        </m:r>
        <m:r>
          <m:t>8.62</m:t>
        </m:r>
        <m:r>
          <m:rPr>
            <m:sty m:val="p"/>
          </m:rPr>
          <m:t>,</m:t>
        </m:r>
        <m:r>
          <m:t>p</m:t>
        </m:r>
        <m:r>
          <m:rPr>
            <m:sty m:val="p"/>
          </m:rPr>
          <m:t>&lt;</m:t>
        </m:r>
        <m:sSup>
          <m:e>
            <m:r>
              <m:t>10</m:t>
            </m:r>
          </m:e>
          <m:sup>
            <m:r>
              <m:rPr>
                <m:sty m:val="p"/>
              </m:rPr>
              <m:t>−</m:t>
            </m:r>
            <m:r>
              <m:t>15</m:t>
            </m:r>
          </m:sup>
        </m:sSup>
      </m:oMath>
      <w:r>
        <w:t xml:space="preserve">), representing a</w:t>
      </w:r>
      <w:r>
        <w:t xml:space="preserve"> </w:t>
      </w:r>
      <m:oMath>
        <m:r>
          <m:rPr>
            <m:sty m:val="p"/>
          </m:rPr>
          <m:t>&gt;</m:t>
        </m:r>
        <m:r>
          <m:t>5</m:t>
        </m:r>
      </m:oMath>
      <w:r>
        <w:t xml:space="preserve">-fold acceleration in regional warming rate (</w:t>
      </w:r>
      <w:hyperlink w:anchor="fig-s-climate-morphometry">
        <w:r>
          <w:rPr>
            <w:rStyle w:val="Hyperlink"/>
          </w:rPr>
          <w:t xml:space="preserve">Figure 4</w:t>
        </w:r>
      </w:hyperlink>
      <w:r>
        <w:t xml:space="preserve"> </w:t>
      </w:r>
      <w:r>
        <w:t xml:space="preserve">A).</w:t>
      </w:r>
    </w:p>
    <w:p>
      <w:pPr>
        <w:pStyle w:val="BodyText"/>
      </w:pPr>
      <w:r>
        <w:t xml:space="preserve">Applying identical piecewise regressions to species-centered morphological deviations revealed that pre-1980 museum specimens exhibited strict stability or slight positive trajectories in wing length (</w:t>
      </w:r>
      <m:oMath>
        <m:r>
          <m:rPr>
            <m:sty m:val="p"/>
          </m:rPr>
          <m:t>+</m:t>
        </m:r>
        <m:r>
          <m:t>0.45</m:t>
        </m:r>
      </m:oMath>
      <w:r>
        <w:t xml:space="preserve"> </w:t>
      </w:r>
      <w:r>
        <w:t xml:space="preserve">mm/decade,</w:t>
      </w:r>
      <w:r>
        <w:t xml:space="preserve"> </w:t>
      </w:r>
      <m:oMath>
        <m:r>
          <m:t>t</m:t>
        </m:r>
        <m:r>
          <m:rPr>
            <m:sty m:val="p"/>
          </m:rPr>
          <m:t>=</m:t>
        </m:r>
        <m:r>
          <m:t>3.71</m:t>
        </m:r>
      </m:oMath>
      <w:r>
        <w:t xml:space="preserve">;</w:t>
      </w:r>
      <w:r>
        <w:t xml:space="preserve"> </w:t>
      </w:r>
      <w:hyperlink w:anchor="fig-s-climate-morphometry">
        <w:r>
          <w:rPr>
            <w:rStyle w:val="Hyperlink"/>
          </w:rPr>
          <w:t xml:space="preserve">Figure 4</w:t>
        </w:r>
      </w:hyperlink>
      <w:r>
        <w:t xml:space="preserve"> </w:t>
      </w:r>
      <w:r>
        <w:t xml:space="preserve">B), with zero thermal sensitivity to annual temperature anomalies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w:t>
      </w:r>
      <w:r>
        <w:t xml:space="preserve"> </w:t>
      </w:r>
      <w:hyperlink w:anchor="fig-s-climate-morphometry">
        <w:r>
          <w:rPr>
            <w:rStyle w:val="Hyperlink"/>
          </w:rPr>
          <w:t xml:space="preserve">Figure 4</w:t>
        </w:r>
      </w:hyperlink>
      <w:r>
        <w:t xml:space="preserve"> </w:t>
      </w:r>
      <w:r>
        <w:t xml:space="preserve">C). Wing shortening emerged synchronously with the post-1980 warming acceleration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thermal sensitivity</w:t>
      </w:r>
      <w:r>
        <w:t xml:space="preserve">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p>
      <w:pPr>
        <w:pStyle w:val="BodyText"/>
      </w:pPr>
      <w:r>
        <w:t xml:space="preserve">Similarly, historical body mass (1962–1979) was strictly invariant (</w:t>
      </w:r>
      <m:oMath>
        <m:r>
          <m:rPr>
            <m:sty m:val="p"/>
          </m:rPr>
          <m:t>−</m:t>
        </m:r>
        <m:r>
          <m:t>0.17</m:t>
        </m:r>
        <m:r>
          <m:rPr>
            <m:sty m:val="p"/>
          </m:rPr>
          <m:t>%</m:t>
        </m:r>
      </m:oMath>
      <w:r>
        <w:t xml:space="preserve">/year,</w:t>
      </w:r>
      <w:r>
        <w:t xml:space="preserve"> </w:t>
      </w:r>
      <m:oMath>
        <m:r>
          <m:t>p</m:t>
        </m:r>
        <m:r>
          <m:rPr>
            <m:sty m:val="p"/>
          </m:rPr>
          <m:t>=</m:t>
        </m:r>
        <m:r>
          <m:t>0.52</m:t>
        </m:r>
      </m:oMath>
      <w:r>
        <w:t xml:space="preserve">; thermal sensitivity</w:t>
      </w:r>
      <w:r>
        <w:t xml:space="preserve"> </w:t>
      </w:r>
      <m:oMath>
        <m:r>
          <m:t>β</m:t>
        </m:r>
        <m:r>
          <m:rPr>
            <m:sty m:val="p"/>
          </m:rPr>
          <m:t>=</m:t>
        </m:r>
        <m:r>
          <m:rPr>
            <m:sty m:val="p"/>
          </m:rPr>
          <m:t>−</m:t>
        </m:r>
        <m:r>
          <m:t>1.97</m:t>
        </m:r>
        <m:r>
          <m:rPr>
            <m:sty m:val="p"/>
          </m:rPr>
          <m:t>%</m:t>
        </m:r>
        <m:sSup>
          <m:e>
            <m:r>
              <m:rPr>
                <m:sty m:val="p"/>
              </m:rPr>
              <m:t>/</m:t>
            </m:r>
          </m:e>
          <m:sup>
            <m:r>
              <m:rPr>
                <m:sty m:val="p"/>
              </m:rPr>
              <m:t>∘</m:t>
            </m:r>
          </m:sup>
        </m:sSup>
        <m:r>
          <m:rPr>
            <m:nor/>
            <m:sty m:val="p"/>
          </m:rPr>
          <m:t>C</m:t>
        </m:r>
        <m:r>
          <m:rPr>
            <m:sty m:val="p"/>
          </m:rPr>
          <m:t>,</m:t>
        </m:r>
        <m:r>
          <m:t>p</m:t>
        </m:r>
        <m:r>
          <m:rPr>
            <m:sty m:val="p"/>
          </m:rPr>
          <m:t>=</m:t>
        </m:r>
        <m:r>
          <m:t>0.86</m:t>
        </m:r>
      </m:oMath>
      <w:r>
        <w:t xml:space="preserve">;</w:t>
      </w:r>
      <w:r>
        <w:t xml:space="preserve"> </w:t>
      </w:r>
      <w:hyperlink w:anchor="fig-s-climate-mass">
        <w:r>
          <w:rPr>
            <w:rStyle w:val="Hyperlink"/>
          </w:rPr>
          <w:t xml:space="preserve">Figure 5</w:t>
        </w:r>
      </w:hyperlink>
      <w:r>
        <w:t xml:space="preserve">), and bivariate allometry followed geometric isometry prior to 1980 (</w:t>
      </w:r>
      <m:oMath>
        <m:sSub>
          <m:e>
            <m:r>
              <m:rPr>
                <m:sty m:val="p"/>
              </m:rPr>
              <m:t>Δ</m:t>
            </m:r>
          </m:e>
          <m:sub>
            <m:r>
              <m:rPr>
                <m:nor/>
                <m:sty m:val="p"/>
              </m:rPr>
              <m:t>iso</m:t>
            </m:r>
          </m:sub>
        </m:sSub>
        <m:r>
          <m:rPr>
            <m:sty m:val="p"/>
          </m:rPr>
          <m:t>:</m:t>
        </m:r>
        <m:r>
          <m:t>p</m:t>
        </m:r>
        <m:r>
          <m:rPr>
            <m:sty m:val="p"/>
          </m:rPr>
          <m:t>=</m:t>
        </m:r>
        <m:r>
          <m:t>0.69</m:t>
        </m:r>
      </m:oMath>
      <w:r>
        <w:t xml:space="preserve">), shifting to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 thermal sensitivity</w:t>
      </w:r>
      <w:r>
        <w:t xml:space="preserve">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r>
        <w:t xml:space="preserve"> </w:t>
      </w:r>
      <w:hyperlink w:anchor="fig-s-climate-allometry">
        <w:r>
          <w:rPr>
            <w:rStyle w:val="Hyperlink"/>
          </w:rPr>
          <w:t xml:space="preserve">Figure 6</w:t>
        </w:r>
      </w:hyperlink>
      <w:r>
        <w:t xml:space="preserve">). For 175 species continuously connecting museum skins to modern field captures, the secular wing decline was</w:t>
      </w:r>
      <w:r>
        <w:t xml:space="preserve"> </w:t>
      </w:r>
      <m:oMath>
        <m:r>
          <m:rPr>
            <m:sty m:val="p"/>
          </m:rPr>
          <m:t>−</m:t>
        </m:r>
        <m:r>
          <m:t>0.71</m:t>
        </m:r>
        <m:r>
          <m:rPr>
            <m:sty m:val="p"/>
          </m:rPr>
          <m:t>%</m:t>
        </m:r>
      </m:oMath>
      <w:r>
        <w:t xml:space="preserve">/decade (</w:t>
      </w:r>
      <m:oMath>
        <m:r>
          <m:t>p</m:t>
        </m:r>
        <m:r>
          <m:rPr>
            <m:sty m:val="p"/>
          </m:rPr>
          <m:t>=</m:t>
        </m:r>
        <m:r>
          <m:t>0.047</m:t>
        </m:r>
      </m:oMath>
      <w:r>
        <w:t xml:space="preserve">;</w:t>
      </w:r>
      <w:r>
        <w:t xml:space="preserve"> </w:t>
      </w:r>
      <w:hyperlink w:anchor="fig-s-secular-trajectorie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s-climate-morphometry"/>
          <w:p>
            <w:pPr>
              <w:pStyle w:val="Compact"/>
              <w:jc w:val="center"/>
            </w:pPr>
            <w:r>
              <w:drawing>
                <wp:inline>
                  <wp:extent cx="5334000" cy="2963333"/>
                  <wp:effectExtent b="0" l="0" r="0" t="0"/>
                  <wp:docPr descr="" title="" id="24" name="Picture"/>
                  <a:graphic>
                    <a:graphicData uri="http://schemas.openxmlformats.org/drawingml/2006/picture">
                      <pic:pic>
                        <pic:nvPicPr>
                          <pic:cNvPr descr="images/fig-s-climate-morphometry.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Century-scale climate breakpoint (~1980) and morphometric coupling of wing length (1880–2018).</w:t>
            </w:r>
            <w:r>
              <w:t xml:space="preserve"> </w:t>
            </w:r>
            <w:r>
              <w:rPr>
                <w:b/>
                <w:bCs/>
              </w:rPr>
              <w:t xml:space="preserve">(A)</w:t>
            </w:r>
            <w:r>
              <w:t xml:space="preserve"> </w:t>
            </w:r>
            <w:r>
              <w:t xml:space="preserve">Regional temperature anomalies (NASA GISS Zonal</w:t>
            </w:r>
            <w:r>
              <w:t xml:space="preserve"> </w:t>
            </w:r>
            <m:oMath>
              <m:sSup>
                <m:e>
                  <m:r>
                    <m:t>24</m:t>
                  </m:r>
                </m:e>
                <m:sup>
                  <m:r>
                    <m:rPr>
                      <m:sty m:val="p"/>
                    </m:rPr>
                    <m:t>∘</m:t>
                  </m:r>
                </m:sup>
              </m:sSup>
              <m:r>
                <m:rPr>
                  <m:nor/>
                  <m:sty m:val="p"/>
                </m:rPr>
                <m:t>S</m:t>
              </m:r>
              <m:r>
                <m:rPr>
                  <m:nor/>
                  <m:sty m:val="p"/>
                </m:rPr>
                <m:t>–Equator</m:t>
              </m:r>
            </m:oMath>
            <w:r>
              <w:t xml:space="preserve">), showing the structural breakpoint in 1980 (dashed line;</w:t>
            </w:r>
            <w:r>
              <w:t xml:space="preserve"> </w:t>
            </w:r>
            <m:oMath>
              <m:r>
                <m:rPr>
                  <m:sty m:val="p"/>
                </m:rPr>
                <m:t>+</m:t>
              </m:r>
              <m:sSup>
                <m:e>
                  <m:r>
                    <m:t>0.036</m:t>
                  </m:r>
                </m:e>
                <m:sup>
                  <m:r>
                    <m:rPr>
                      <m:sty m:val="p"/>
                    </m:rPr>
                    <m:t>∘</m:t>
                  </m:r>
                </m:sup>
              </m:sSup>
              <m:r>
                <m:rPr>
                  <m:nor/>
                  <m:sty m:val="p"/>
                </m:rPr>
                <m:t>C</m:t>
              </m:r>
            </m:oMath>
            <w:r>
              <w:t xml:space="preserve">/dec pre-1980 vs. </w:t>
            </w:r>
            <m:oMath>
              <m:r>
                <m:rPr>
                  <m:sty m:val="p"/>
                </m:rPr>
                <m:t>+</m:t>
              </m:r>
              <m:sSup>
                <m:e>
                  <m:r>
                    <m:t>0.190</m:t>
                  </m:r>
                </m:e>
                <m:sup>
                  <m:r>
                    <m:rPr>
                      <m:sty m:val="p"/>
                    </m:rPr>
                    <m:t>∘</m:t>
                  </m:r>
                </m:sup>
              </m:sSup>
              <m:r>
                <m:rPr>
                  <m:nor/>
                  <m:sty m:val="p"/>
                </m:rPr>
                <m:t>C</m:t>
              </m:r>
            </m:oMath>
            <w:r>
              <w:t xml:space="preserve">/dec post-1980).</w:t>
            </w:r>
            <w:r>
              <w:t xml:space="preserve"> </w:t>
            </w:r>
            <w:r>
              <w:rPr>
                <w:b/>
                <w:bCs/>
              </w:rPr>
              <w:t xml:space="preserve">(B)</w:t>
            </w:r>
            <w:r>
              <w:t xml:space="preserve"> </w:t>
            </w:r>
            <w:r>
              <w:t xml:space="preserve">Annual mean wing length deviations across 37,751 records (1884–2018), showing pre-1980 museum stability and post-1980 shortening.</w:t>
            </w:r>
            <w:r>
              <w:t xml:space="preserve"> </w:t>
            </w:r>
            <w:r>
              <w:rPr>
                <w:b/>
                <w:bCs/>
              </w:rPr>
              <w:t xml:space="preserve">(C)</w:t>
            </w:r>
            <w:r>
              <w:t xml:space="preserve"> </w:t>
            </w:r>
            <w:r>
              <w:t xml:space="preserve">Thermal sensitivity of wing length: pre-1980 morphology was decoupled from temperature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 whereas post-1980 exhibits strong negative thermal coupling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bookmarkEnd w:id="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s-climate-mass"/>
          <w:p>
            <w:pPr>
              <w:pStyle w:val="Compact"/>
              <w:jc w:val="center"/>
            </w:pPr>
            <w:r>
              <w:drawing>
                <wp:inline>
                  <wp:extent cx="5334000" cy="2963333"/>
                  <wp:effectExtent b="0" l="0" r="0" t="0"/>
                  <wp:docPr descr="" title="" id="28" name="Picture"/>
                  <a:graphic>
                    <a:graphicData uri="http://schemas.openxmlformats.org/drawingml/2006/picture">
                      <pic:pic>
                        <pic:nvPicPr>
                          <pic:cNvPr descr="images/fig-s-climate-mass.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S5.</w:t>
            </w:r>
            <w:r>
              <w:t xml:space="preserve"> </w:t>
            </w:r>
            <w:r>
              <w:t xml:space="preserve">Century-scale body mass trajectory and thermal decoupling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Species-centered body mass deviations across 50,058 passerine records, showing multi-decadal stability across both pre-1980 (</w:t>
            </w:r>
            <m:oMath>
              <m:r>
                <m:rPr>
                  <m:sty m:val="p"/>
                </m:rPr>
                <m:t>−</m:t>
              </m:r>
              <m:r>
                <m:t>0.17</m:t>
              </m:r>
              <m:r>
                <m:rPr>
                  <m:sty m:val="p"/>
                </m:rPr>
                <m:t>%</m:t>
              </m:r>
            </m:oMath>
            <w:r>
              <w:t xml:space="preserve">/year,</w:t>
            </w:r>
            <w:r>
              <w:t xml:space="preserve"> </w:t>
            </w:r>
            <m:oMath>
              <m:r>
                <m:t>p</m:t>
              </m:r>
              <m:r>
                <m:rPr>
                  <m:sty m:val="p"/>
                </m:rPr>
                <m:t>=</m:t>
              </m:r>
              <m:r>
                <m:t>0.52</m:t>
              </m:r>
            </m:oMath>
            <w:r>
              <w:t xml:space="preserve">) and post-1980 (</w:t>
            </w:r>
            <m:oMath>
              <m:r>
                <m:rPr>
                  <m:sty m:val="p"/>
                </m:rPr>
                <m:t>−</m:t>
              </m:r>
              <m:r>
                <m:t>0.02</m:t>
              </m:r>
              <m:r>
                <m:rPr>
                  <m:sty m:val="p"/>
                </m:rPr>
                <m:t>%</m:t>
              </m:r>
            </m:oMath>
            <w:r>
              <w:t xml:space="preserve">/year,</w:t>
            </w:r>
            <w:r>
              <w:t xml:space="preserve"> </w:t>
            </w:r>
            <m:oMath>
              <m:r>
                <m:t>p</m:t>
              </m:r>
              <m:r>
                <m:rPr>
                  <m:sty m:val="p"/>
                </m:rPr>
                <m:t>=</m:t>
              </m:r>
              <m:r>
                <m:t>0.49</m:t>
              </m:r>
            </m:oMath>
            <w:r>
              <w:t xml:space="preserve">) eras.</w:t>
            </w:r>
            <w:r>
              <w:t xml:space="preserve"> </w:t>
            </w:r>
            <w:r>
              <w:rPr>
                <w:b/>
                <w:bCs/>
              </w:rPr>
              <w:t xml:space="preserve">(C)</w:t>
            </w:r>
            <w:r>
              <w:t xml:space="preserve"> </w:t>
            </w:r>
            <w:r>
              <w:t xml:space="preserve">Thermal sensitivity of body mass, demonstrating complete thermal decoupling across all time periods (</w:t>
            </w:r>
            <m:oMath>
              <m:r>
                <m:t>p</m:t>
              </m:r>
              <m:r>
                <m:rPr>
                  <m:sty m:val="p"/>
                </m:rPr>
                <m:t>=</m:t>
              </m:r>
              <m:r>
                <m:t>0.86</m:t>
              </m:r>
            </m:oMath>
            <w:r>
              <w:t xml:space="preserve"> </w:t>
            </w:r>
            <w:r>
              <w:t xml:space="preserve">pre-1980;</w:t>
            </w:r>
            <w:r>
              <w:t xml:space="preserve"> </w:t>
            </w:r>
            <m:oMath>
              <m:r>
                <m:t>p</m:t>
              </m:r>
              <m:r>
                <m:rPr>
                  <m:sty m:val="p"/>
                </m:rPr>
                <m:t>=</m:t>
              </m:r>
              <m:r>
                <m:t>0.43</m:t>
              </m:r>
            </m:oMath>
            <w:r>
              <w:t xml:space="preserve"> </w:t>
            </w:r>
            <w:r>
              <w:t xml:space="preserve">post-1980).</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s-climate-allometry"/>
          <w:p>
            <w:pPr>
              <w:pStyle w:val="Compact"/>
              <w:jc w:val="center"/>
            </w:pPr>
            <w:r>
              <w:drawing>
                <wp:inline>
                  <wp:extent cx="5334000" cy="2963333"/>
                  <wp:effectExtent b="0" l="0" r="0" t="0"/>
                  <wp:docPr descr="" title="" id="32" name="Picture"/>
                  <a:graphic>
                    <a:graphicData uri="http://schemas.openxmlformats.org/drawingml/2006/picture">
                      <pic:pic>
                        <pic:nvPicPr>
                          <pic:cNvPr descr="images/fig-s-climate-allometry.png" id="33" name="Picture"/>
                          <pic:cNvPicPr>
                            <a:picLocks noChangeArrowheads="1" noChangeAspect="1"/>
                          </pic:cNvPicPr>
                        </pic:nvPicPr>
                        <pic:blipFill>
                          <a:blip r:embed="rId3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S6.</w:t>
            </w:r>
            <w:r>
              <w:t xml:space="preserve"> </w:t>
            </w:r>
            <w:r>
              <w:t xml:space="preserve">Century-scale allometric trajectory and thermal stoutening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across 29,871 shared records, showing strict isometry pre-1980 (</w:t>
            </w:r>
            <m:oMath>
              <m:r>
                <m:t>p</m:t>
              </m:r>
              <m:r>
                <m:rPr>
                  <m:sty m:val="p"/>
                </m:rPr>
                <m:t>=</m:t>
              </m:r>
              <m:r>
                <m:t>0.69</m:t>
              </m:r>
            </m:oMath>
            <w:r>
              <w:t xml:space="preserve">) and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w:t>
            </w:r>
            <w:r>
              <w:t xml:space="preserve"> </w:t>
            </w:r>
            <w:r>
              <w:rPr>
                <w:b/>
                <w:bCs/>
              </w:rPr>
              <w:t xml:space="preserve">(C)</w:t>
            </w:r>
            <w:r>
              <w:t xml:space="preserve"> </w:t>
            </w:r>
            <w:r>
              <w:t xml:space="preserve">Thermal sensitivity of allometry, showing strong positive coupling to regional warming post-1980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s-secular-trajectories"/>
          <w:p>
            <w:pPr>
              <w:pStyle w:val="Compact"/>
              <w:jc w:val="center"/>
            </w:pPr>
            <w:r>
              <w:drawing>
                <wp:inline>
                  <wp:extent cx="5334000" cy="4772526"/>
                  <wp:effectExtent b="0" l="0" r="0" t="0"/>
                  <wp:docPr descr="" title="" id="36" name="Picture"/>
                  <a:graphic>
                    <a:graphicData uri="http://schemas.openxmlformats.org/drawingml/2006/picture">
                      <pic:pic>
                        <pic:nvPicPr>
                          <pic:cNvPr descr="images/fig-s-secular-trajectories.png" id="37" name="Picture"/>
                          <pic:cNvPicPr>
                            <a:picLocks noChangeArrowheads="1" noChangeAspect="1"/>
                          </pic:cNvPicPr>
                        </pic:nvPicPr>
                        <pic:blipFill>
                          <a:blip r:embed="rId35"/>
                          <a:stretch>
                            <a:fillRect/>
                          </a:stretch>
                        </pic:blipFill>
                        <pic:spPr bwMode="auto">
                          <a:xfrm>
                            <a:off x="0" y="0"/>
                            <a:ext cx="5334000" cy="4772526"/>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Supplementary Figure S8.</w:t>
            </w:r>
            <w:r>
              <w:t xml:space="preserve"> </w:t>
            </w:r>
            <w:r>
              <w:t xml:space="preserve">Secular species-specific trajectories for 175 passerine species connecting historical museum skins (1884–1979) to modern field ringing records (1995–2018). Points represent annual species means sized by capture count; lines represent species-specific linear mixed-effects trajectories.</w:t>
            </w:r>
          </w:p>
          <w:bookmarkEnd w:id="38"/>
        </w:tc>
      </w:tr>
    </w:tbl>
    <w:p>
      <w:r>
        <w:pict>
          <v:rect style="width:0;height:1.5pt" o:hralign="center" o:hrstd="t" o:hr="t"/>
        </w:pict>
      </w:r>
    </w:p>
    <w:bookmarkEnd w:id="39"/>
    <w:bookmarkStart w:id="44" w:name="X6079c49a23a0d893b6bb2fa1d28d7b96257e404"/>
    <w:p>
      <w:pPr>
        <w:pStyle w:val="Heading2"/>
      </w:pPr>
      <w:r>
        <w:t xml:space="preserve">1.4 Supplementary Note S4: Community-Wide Sampling Expansion (Jirinec et al. 2021 Criteria)</w:t>
      </w:r>
    </w:p>
    <w:p>
      <w:pPr>
        <w:pStyle w:val="FirstParagraph"/>
      </w:pPr>
      <w:r>
        <w:t xml:space="preserve">To assess whether our focal sample restrictions (passerines, adults of known sex,</w:t>
      </w:r>
      <w:r>
        <w:t xml:space="preserve"> </w:t>
      </w:r>
      <m:oMath>
        <m:r>
          <m:t>n</m:t>
        </m:r>
        <m:r>
          <m:rPr>
            <m:sty m:val="p"/>
          </m:rPr>
          <m:t>≥</m:t>
        </m:r>
        <m:r>
          <m:t>30</m:t>
        </m:r>
      </m:oMath>
      <w:r>
        <w:t xml:space="preserve">,</w:t>
      </w:r>
      <w:r>
        <w:t xml:space="preserve"> </w:t>
      </w:r>
      <m:oMath>
        <m:r>
          <m:rPr>
            <m:sty m:val="p"/>
          </m:rPr>
          <m:t>≥</m:t>
        </m:r>
        <m:r>
          <m:t>5</m:t>
        </m:r>
      </m:oMath>
      <w:r>
        <w:t xml:space="preserve"> </w:t>
      </w:r>
      <w:r>
        <w:t xml:space="preserve">years span) influenced conclusions, we implemented a community-wide expansion following the less restrictive sampling design of</w:t>
      </w:r>
      <w:r>
        <w:t xml:space="preserve"> </w:t>
      </w:r>
      <w:r>
        <w:t xml:space="preserve">Jirinec et al. (2021)</w:t>
      </w:r>
      <w:r>
        <w:t xml:space="preserve">:</w:t>
      </w:r>
      <w:r>
        <w:t xml:space="preserve"> </w:t>
      </w:r>
      <w:r>
        <w:t xml:space="preserve">1. Inclusion of adult individuals of unknown sex;</w:t>
      </w:r>
      <w:r>
        <w:t xml:space="preserve"> </w:t>
      </w:r>
      <w:r>
        <w:t xml:space="preserve">2. Expansion from Passeriformes to all mist-netted understorey bird orders (Apodiformes, Columbiformes, Coraciiformes, Cuculiformes, Galbuliformes, Gruiformes, Passeriformes, Pelecaniformes, Piciformes, Strigiformes, Trogoniformes);</w:t>
      </w:r>
      <w:r>
        <w:t xml:space="preserve"> </w:t>
      </w:r>
      <w:r>
        <w:t xml:space="preserve">3. Temporal coverage criterion requiring</w:t>
      </w:r>
      <w:r>
        <w:t xml:space="preserve"> </w:t>
      </w:r>
      <m:oMath>
        <m:r>
          <m:rPr>
            <m:sty m:val="p"/>
          </m:rPr>
          <m:t>≥</m:t>
        </m:r>
        <m:r>
          <m:t>5</m:t>
        </m:r>
      </m:oMath>
      <w:r>
        <w:t xml:space="preserve"> </w:t>
      </w:r>
      <w:r>
        <w:t xml:space="preserve">captures before and after the median sampling year (2010).</w:t>
      </w:r>
    </w:p>
    <w:p>
      <w:pPr>
        <w:pStyle w:val="BodyText"/>
      </w:pPr>
      <w:r>
        <w:t xml:space="preserve">This expanded dataset comprised 46,663 body mass records (243 species) and 31,888 wing records (217 species). Linear mixed-effects models controlling for species random slopes, sampling locality, and contributor demonstrated that wing shortening remained invariant at</w:t>
      </w:r>
      <w:r>
        <w:t xml:space="preserve">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w:t>
      </w:r>
      <w:r>
        <w:t xml:space="preserve"> </w:t>
      </w:r>
      <w:hyperlink w:anchor="tbl-s1">
        <w:r>
          <w:rPr>
            <w:rStyle w:val="Hyperlink"/>
          </w:rPr>
          <w:t xml:space="preserve">Table 2</w:t>
        </w:r>
      </w:hyperlink>
      <w:r>
        <w:t xml:space="preserve">;</w:t>
      </w:r>
      <w:r>
        <w:t xml:space="preserve"> </w:t>
      </w:r>
      <w:hyperlink w:anchor="fig-s-model-comparison">
        <w:r>
          <w:rPr>
            <w:rStyle w:val="Hyperlink"/>
          </w:rPr>
          <w:t xml:space="preserve">Figure 8</w:t>
        </w:r>
      </w:hyperlink>
      <w:r>
        <w:t xml:space="preserve">). For body mass, the expanded community sample yielded a statistically detectable decadal decline of</w:t>
      </w:r>
      <w:r>
        <w:t xml:space="preserve"> </w:t>
      </w:r>
      <m:oMath>
        <m:r>
          <m:rPr>
            <m:sty m:val="p"/>
          </m:rPr>
          <m:t>−</m:t>
        </m:r>
        <m:r>
          <m:t>1.29</m:t>
        </m:r>
        <m:r>
          <m:rPr>
            <m:sty m:val="p"/>
          </m:rPr>
          <m:t>%</m:t>
        </m:r>
      </m:oMath>
      <w:r>
        <w:t xml:space="preserve">/decade (95% CI:</w:t>
      </w:r>
      <w:r>
        <w:t xml:space="preserve"> </w:t>
      </w:r>
      <m:oMath>
        <m:r>
          <m:rPr>
            <m:sty m:val="p"/>
          </m:rPr>
          <m:t>−</m:t>
        </m:r>
        <m:r>
          <m:t>2.30</m:t>
        </m:r>
      </m:oMath>
      <w:r>
        <w:t xml:space="preserve"> </w:t>
      </w:r>
      <w:r>
        <w:t xml:space="preserve">to</w:t>
      </w:r>
      <w:r>
        <w:t xml:space="preserve"> </w:t>
      </w:r>
      <m:oMath>
        <m:r>
          <m:rPr>
            <m:sty m:val="p"/>
          </m:rPr>
          <m:t>−</m:t>
        </m:r>
        <m:r>
          <m:t>0.27</m:t>
        </m:r>
        <m:r>
          <m:rPr>
            <m:sty m:val="p"/>
          </m:rPr>
          <m:t>%</m:t>
        </m:r>
      </m:oMath>
      <w:r>
        <w:t xml:space="preserve">/decade), positioning the Atlantic Forest intermediate between North American temperate migrants [</w:t>
      </w:r>
      <m:oMath>
        <m:r>
          <m:rPr>
            <m:sty m:val="p"/>
          </m:rPr>
          <m:t>−</m:t>
        </m:r>
        <m:r>
          <m:t>0.68</m:t>
        </m:r>
        <m:r>
          <m:rPr>
            <m:sty m:val="p"/>
          </m:rPr>
          <m:t>%</m:t>
        </m:r>
      </m:oMath>
      <w:r>
        <w:t xml:space="preserve">/decade;</w:t>
      </w:r>
      <w:r>
        <w:t xml:space="preserve"> </w:t>
      </w:r>
      <w:r>
        <w:t xml:space="preserve">Weeks et al. (2020)</w:t>
      </w:r>
      <w:r>
        <w:t xml:space="preserve">] and continuous Amazonian understorey [</w:t>
      </w:r>
      <m:oMath>
        <m:r>
          <m:rPr>
            <m:sty m:val="p"/>
          </m:rPr>
          <m:t>−</m:t>
        </m:r>
        <m:r>
          <m:t>1.80</m:t>
        </m:r>
        <m:r>
          <m:rPr>
            <m:sty m:val="p"/>
          </m:rPr>
          <m:t>%</m:t>
        </m:r>
      </m:oMath>
      <w:r>
        <w:t xml:space="preserve">/decade;</w:t>
      </w:r>
      <w:r>
        <w:t xml:space="preserve"> </w:t>
      </w:r>
      <w:r>
        <w:t xml:space="preserve">Jirinec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s-model-comparison"/>
          <w:p>
            <w:pPr>
              <w:pStyle w:val="Compact"/>
              <w:jc w:val="center"/>
            </w:pPr>
            <w:r>
              <w:drawing>
                <wp:inline>
                  <wp:extent cx="5334000" cy="3809999"/>
                  <wp:effectExtent b="0" l="0" r="0" t="0"/>
                  <wp:docPr descr="" title="" id="41" name="Picture"/>
                  <a:graphic>
                    <a:graphicData uri="http://schemas.openxmlformats.org/drawingml/2006/picture">
                      <pic:pic>
                        <pic:nvPicPr>
                          <pic:cNvPr descr="images/fig-s-model-comparison.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Supplementary Figure S7.</w:t>
            </w:r>
            <w:r>
              <w:t xml:space="preserve"> </w:t>
            </w:r>
            <w:r>
              <w:t xml:space="preserve">Forest plot comparing decadal rates of change (% per decade,</w:t>
            </w:r>
            <w:r>
              <w:t xml:space="preserve"> </w:t>
            </w:r>
            <m:oMath>
              <m:r>
                <m:rPr>
                  <m:sty m:val="p"/>
                </m:rPr>
                <m:t>±</m:t>
              </m:r>
              <m:r>
                <m:t>95</m:t>
              </m:r>
              <m:r>
                <m:rPr>
                  <m:sty m:val="p"/>
                </m:rPr>
                <m:t>%</m:t>
              </m:r>
            </m:oMath>
            <w:r>
              <w:t xml:space="preserve"> </w:t>
            </w:r>
            <w:r>
              <w:t xml:space="preserve">CI) across sequential analytical tiers (T1–T6) for wing length (blue) and body mass (orange). Benchmarks from</w:t>
            </w:r>
            <w:r>
              <w:t xml:space="preserve"> </w:t>
            </w:r>
            <w:r>
              <w:t xml:space="preserve">Weeks et al. (2020)</w:t>
            </w:r>
            <w:r>
              <w:t xml:space="preserve"> </w:t>
            </w:r>
            <w:r>
              <w:t xml:space="preserve">(temperate migrants) and</w:t>
            </w:r>
            <w:r>
              <w:t xml:space="preserve"> </w:t>
            </w:r>
            <w:r>
              <w:t xml:space="preserve">Jirinec et al. (2021)</w:t>
            </w:r>
            <w:r>
              <w:t xml:space="preserve"> </w:t>
            </w:r>
            <w:r>
              <w:t xml:space="preserve">(Amazonian understorey) are displayed for comparison.</w:t>
            </w:r>
          </w:p>
          <w:bookmarkEnd w:id="43"/>
        </w:tc>
      </w:tr>
    </w:tbl>
    <w:p>
      <w:r>
        <w:pict>
          <v:rect style="width:0;height:1.5pt" o:hralign="center" o:hrstd="t" o:hr="t"/>
        </w:pict>
      </w:r>
    </w:p>
    <w:bookmarkEnd w:id="44"/>
    <w:bookmarkStart w:id="49" w:name="X6ceccdb6db35aaae2f1e6a1c11236893a873cd2"/>
    <w:p>
      <w:pPr>
        <w:pStyle w:val="Heading2"/>
      </w:pPr>
      <w:r>
        <w:t xml:space="preserve">1.5 Supplementary Note S5: Exploratory Distributional Structural Equation Modeling (drmSEM)</w:t>
      </w:r>
    </w:p>
    <w:p>
      <w:pPr>
        <w:pStyle w:val="FirstParagraph"/>
      </w:pPr>
      <w:r>
        <w:t xml:space="preserve">To evaluate causal pathways connecting climate warming, potential prey availability, and avian morphometrics, we formulated a distributional causal DAG using</w:t>
      </w:r>
      <w:r>
        <w:t xml:space="preserve"> </w:t>
      </w:r>
      <w:r>
        <w:rPr>
          <w:rStyle w:val="VerbatimChar"/>
        </w:rPr>
        <w:t xml:space="preserve">drmSEM</w:t>
      </w:r>
      <w:r>
        <w:t xml:space="preserve"> </w:t>
      </w:r>
      <w:r>
        <w:t xml:space="preserve">/</w:t>
      </w:r>
      <w:r>
        <w:t xml:space="preserve"> </w:t>
      </w:r>
      <w:r>
        <w:rPr>
          <w:rStyle w:val="VerbatimChar"/>
        </w:rPr>
        <w:t xml:space="preserve">glmmTMB</w:t>
      </w:r>
      <w:r>
        <w:t xml:space="preserve"> </w:t>
      </w:r>
      <w:r>
        <w:t xml:space="preserve">(</w:t>
      </w:r>
      <w:hyperlink w:anchor="fig-s-drmsem">
        <w:r>
          <w:rPr>
            <w:rStyle w:val="Hyperlink"/>
          </w:rPr>
          <w:t xml:space="preserve">Figure 9</w:t>
        </w:r>
      </w:hyperlink>
      <w:r>
        <w:t xml:space="preserve">). The model simultaneously estimates mean paths (</w:t>
      </w:r>
      <m:oMath>
        <m:r>
          <m:t>μ</m:t>
        </m:r>
      </m:oMath>
      <w:r>
        <w:t xml:space="preserve">) and heteroscedastic dispersion paths (</w:t>
      </w:r>
      <m:oMath>
        <m:r>
          <m:rPr>
            <m:sty m:val="p"/>
          </m:rPr>
          <m:t>log</m:t>
        </m:r>
        <m:r>
          <m:t>σ</m:t>
        </m:r>
      </m:oMath>
      <w:r>
        <w:t xml:space="preserve">). In accordance with the main findings, direct temperature effects on wing length were modest, body mass showed stability, and regional prey indices (litter ants) showed no direct causal constraint on avian body condition.</w:t>
      </w:r>
    </w:p>
    <w:tbl>
      <w:tblPr>
        <w:tblStyle w:val="Table"/>
        <w:tblW w:type="pct" w:w="5000"/>
        <w:tblLayout w:type="fixed"/>
        <w:tblLook w:firstRow="0" w:lastRow="0" w:firstColumn="0" w:lastColumn="0" w:noHBand="0" w:noVBand="0" w:val="0000"/>
      </w:tblPr>
      <w:tblGrid>
        <w:gridCol w:w="7920"/>
      </w:tblGrid>
      <w:tr>
        <w:tc>
          <w:tcPr/>
          <w:bookmarkStart w:id="48" w:name="fig-s-drmsem"/>
          <w:p>
            <w:pPr>
              <w:pStyle w:val="Compact"/>
              <w:jc w:val="center"/>
            </w:pPr>
            <w:r>
              <w:drawing>
                <wp:inline>
                  <wp:extent cx="5334000" cy="3852333"/>
                  <wp:effectExtent b="0" l="0" r="0" t="0"/>
                  <wp:docPr descr="" title="" id="46" name="Picture"/>
                  <a:graphic>
                    <a:graphicData uri="http://schemas.openxmlformats.org/drawingml/2006/picture">
                      <pic:pic>
                        <pic:nvPicPr>
                          <pic:cNvPr descr="images/fig-drmsem.png" id="47" name="Picture"/>
                          <pic:cNvPicPr>
                            <a:picLocks noChangeArrowheads="1" noChangeAspect="1"/>
                          </pic:cNvPicPr>
                        </pic:nvPicPr>
                        <pic:blipFill>
                          <a:blip r:embed="rId45"/>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Supplementary Figure S9.</w:t>
            </w:r>
            <w:r>
              <w:t xml:space="preserve"> </w:t>
            </w:r>
            <w:r>
              <w:t xml:space="preserve">Distributional causal directed acyclic graph (drmSEM) evaluating environmental warming, prey availability, and avian phenotypic responses. Solid arrows represent mean structural paths (</w:t>
            </w:r>
            <m:oMath>
              <m:r>
                <m:t>μ</m:t>
              </m:r>
            </m:oMath>
            <w:r>
              <w:t xml:space="preserve">); dashed arrows represent dispersion paths (</w:t>
            </w:r>
            <m:oMath>
              <m:r>
                <m:rPr>
                  <m:sty m:val="p"/>
                </m:rPr>
                <m:t>log</m:t>
              </m:r>
              <m:r>
                <m:t>σ</m:t>
              </m:r>
            </m:oMath>
            <w:r>
              <w:t xml:space="preserve">). Standardized path coefficients (</w:t>
            </w:r>
            <m:oMath>
              <m:r>
                <m:rPr>
                  <m:sty m:val="p"/>
                </m:rPr>
                <m:t>±</m:t>
              </m:r>
              <m:r>
                <m:t>1</m:t>
              </m:r>
            </m:oMath>
            <w:r>
              <w:t xml:space="preserve"> </w:t>
            </w:r>
            <w:r>
              <w:t xml:space="preserve">SE) are displayed alongside each path.</w:t>
            </w:r>
          </w:p>
          <w:bookmarkEnd w:id="48"/>
        </w:tc>
      </w:tr>
    </w:tbl>
    <w:p>
      <w:r>
        <w:pict>
          <v:rect style="width:0;height:1.5pt" o:hralign="center" o:hrstd="t" o:hr="t"/>
        </w:pict>
      </w:r>
    </w:p>
    <w:bookmarkEnd w:id="49"/>
    <w:bookmarkStart w:id="54" w:name="Xb797f4ad9f8782127ccd0d6b327d36c520d836e"/>
    <w:p>
      <w:pPr>
        <w:pStyle w:val="Heading2"/>
      </w:pPr>
      <w:r>
        <w:t xml:space="preserve">1.6 Supplementary Note S6: Species-Level Phenotypic Variability (lnCVR)</w:t>
      </w:r>
    </w:p>
    <w:p>
      <w:pPr>
        <w:pStyle w:val="FirstParagraph"/>
      </w:pPr>
      <w:r>
        <w:t xml:space="preserve">Species-level log coefficient-of-variation ratios (</w:t>
      </w:r>
      <m:oMath>
        <m:r>
          <m:rPr>
            <m:sty m:val="p"/>
          </m:rPr>
          <m:t>ln</m:t>
        </m:r>
        <m:r>
          <m:rPr>
            <m:nor/>
            <m:sty m:val="p"/>
          </m:rPr>
          <m:t>CVR</m:t>
        </m:r>
      </m:oMath>
      <w:r>
        <w:t xml:space="preserve">) comparing the late (2013–2018) and early (1995–2006) sampling periods are shown below. Pooled across contributors these suggest increased variability; restricted to within the same contributor the pattern does not persist (see main text).</w:t>
      </w:r>
    </w:p>
    <w:tbl>
      <w:tblPr>
        <w:tblStyle w:val="Table"/>
        <w:tblW w:type="pct" w:w="5000"/>
        <w:tblLayout w:type="fixed"/>
        <w:tblLook w:firstRow="0" w:lastRow="0" w:firstColumn="0" w:lastColumn="0" w:noHBand="0" w:noVBand="0" w:val="0000"/>
      </w:tblPr>
      <w:tblGrid>
        <w:gridCol w:w="7920"/>
      </w:tblGrid>
      <w:tr>
        <w:tc>
          <w:tcPr/>
          <w:bookmarkStart w:id="53" w:name="fig-variability"/>
          <w:p>
            <w:pPr>
              <w:pStyle w:val="Compact"/>
              <w:jc w:val="center"/>
            </w:pPr>
            <w:r>
              <w:drawing>
                <wp:inline>
                  <wp:extent cx="5334000" cy="3270823"/>
                  <wp:effectExtent b="0" l="0" r="0" t="0"/>
                  <wp:docPr descr="" title="" id="51" name="Picture"/>
                  <a:graphic>
                    <a:graphicData uri="http://schemas.openxmlformats.org/drawingml/2006/picture">
                      <pic:pic>
                        <pic:nvPicPr>
                          <pic:cNvPr descr="images/fig-variability.png" id="52" name="Picture"/>
                          <pic:cNvPicPr>
                            <a:picLocks noChangeArrowheads="1" noChangeAspect="1"/>
                          </pic:cNvPicPr>
                        </pic:nvPicPr>
                        <pic:blipFill>
                          <a:blip r:embed="rId50"/>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w:t>
            </w:r>
            <w:r>
              <w:t xml:space="preserve"> </w:t>
            </w:r>
            <w:r>
              <w:rPr>
                <w:b/>
                <w:bCs/>
              </w:rPr>
              <w:t xml:space="preserve">Supplementary Figure S10.</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53"/>
        </w:tc>
      </w:tr>
    </w:tbl>
    <w:p>
      <w:r>
        <w:pict>
          <v:rect style="width:0;height:1.5pt" o:hralign="center" o:hrstd="t" o:hr="t"/>
        </w:pict>
      </w:r>
    </w:p>
    <w:bookmarkEnd w:id="54"/>
    <w:bookmarkStart w:id="55" w:name="X972d62fe909f9bd3296ef6e262c88979205636c"/>
    <w:p>
      <w:pPr>
        <w:pStyle w:val="Heading2"/>
      </w:pPr>
      <w:r>
        <w:t xml:space="preserve">1.7 Supplementary Note S7: Exploratory Regional Invertebrate Context</w:t>
      </w:r>
    </w:p>
    <w:bookmarkEnd w:id="55"/>
    <w:bookmarkStart w:id="56" w:name="X5ab1f4c6c09ca1351a10739abae005ffb75f60e"/>
    <w:p>
      <w:pPr>
        <w:pStyle w:val="Heading2"/>
      </w:pPr>
      <w:r>
        <w:t xml:space="preserve">1.8 Dietary reliance on invertebrates did not clearly explain variation in wing-length trajectories in the main analysis. To place that result in ecological context, we examined what regional invertebrate evidence is available.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Regional litter-ant richness declined in this compilation (−20.1%/decade, 95% CI: −31.1 to −7.4%), but the pattern was highly sensitive to sampling effort and site composition (e.g., PERD) and should be treated only as exploratory context. Litter-ant species richness is not a measure of prey abundance or biomass, ground-dwelling ants represent only one component of these birds’ invertebrate diets, and regional invertebrate compilations face the same spatial and protocol turnover challenges as vertebrate trait databases.</w:t>
      </w:r>
    </w:p>
    <w:bookmarkEnd w:id="56"/>
    <w:bookmarkStart w:id="58" w:name="X33c42f0a15b90d2168b91432e202b145250a318"/>
    <w:p>
      <w:pPr>
        <w:pStyle w:val="Heading2"/>
      </w:pPr>
      <w:r>
        <w:t xml:space="preserve">1.9 Supplementary Note S8: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s-thermal"/>
          <w:p>
            <w:pPr>
              <w:jc w:val="center"/>
            </w:pPr>
            <w:pPr>
              <w:jc w:val="left"/>
              <w:spacing w:before="200"/>
              <w:pStyle w:val="ImageCaption"/>
            </w:pPr>
            <w:r>
              <w:t xml:space="preserve">Table 1:</w:t>
            </w:r>
            <w:r>
              <w:t xml:space="preserve"> </w:t>
            </w:r>
            <w:r>
              <w:rPr>
                <w:b/>
                <w:bCs/>
              </w:rPr>
              <w:t xml:space="preserve">Supplementary Table S4.</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68"/>
              <w:gridCol w:w="1998"/>
              <w:gridCol w:w="740"/>
              <w:gridCol w:w="666"/>
              <w:gridCol w:w="592"/>
              <w:gridCol w:w="444"/>
              <w:gridCol w:w="666"/>
              <w:gridCol w:w="444"/>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0.05410</w:t>
                  </w:r>
                </w:p>
              </w:tc>
              <w:tc>
                <w:tcPr/>
                <w:p>
                  <w:pPr>
                    <w:pStyle w:val="Compact"/>
                    <w:jc w:val="right"/>
                    <w:jc w:val="center"/>
                  </w:pPr>
                  <w:r>
                    <w:t xml:space="preserve">0.19900</w:t>
                  </w:r>
                </w:p>
              </w:tc>
              <w:tc>
                <w:tcPr/>
                <w:p>
                  <w:pPr>
                    <w:pStyle w:val="Compact"/>
                    <w:jc w:val="right"/>
                    <w:jc w:val="center"/>
                  </w:pPr>
                  <w:r>
                    <w:t xml:space="preserve">0.27</w:t>
                  </w:r>
                </w:p>
              </w:tc>
              <w:tc>
                <w:tcPr/>
                <w:p>
                  <w:pPr>
                    <w:pStyle w:val="Compact"/>
                    <w:jc w:val="right"/>
                    <w:jc w:val="center"/>
                  </w:pPr>
                  <w:r>
                    <w:t xml:space="preserve">0.785000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-0.70000</w:t>
                  </w:r>
                </w:p>
              </w:tc>
              <w:tc>
                <w:tcPr/>
                <w:p>
                  <w:pPr>
                    <w:pStyle w:val="Compact"/>
                    <w:jc w:val="right"/>
                    <w:jc w:val="center"/>
                  </w:pPr>
                  <w:r>
                    <w:t xml:space="preserve">0.22500</w:t>
                  </w:r>
                </w:p>
              </w:tc>
              <w:tc>
                <w:tcPr/>
                <w:p>
                  <w:pPr>
                    <w:pStyle w:val="Compact"/>
                    <w:jc w:val="right"/>
                    <w:jc w:val="center"/>
                  </w:pPr>
                  <w:r>
                    <w:t xml:space="preserve">-3.11</w:t>
                  </w:r>
                </w:p>
              </w:tc>
              <w:tc>
                <w:tcPr/>
                <w:p>
                  <w:pPr>
                    <w:pStyle w:val="Compact"/>
                    <w:jc w:val="right"/>
                    <w:jc w:val="center"/>
                  </w:pPr>
                  <w:r>
                    <w:t xml:space="preserve">0.001870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-0.06020</w:t>
                  </w:r>
                </w:p>
              </w:tc>
              <w:tc>
                <w:tcPr/>
                <w:p>
                  <w:pPr>
                    <w:pStyle w:val="Compact"/>
                    <w:jc w:val="right"/>
                    <w:jc w:val="center"/>
                  </w:pPr>
                  <w:r>
                    <w:t xml:space="preserve">0.20100</w:t>
                  </w:r>
                </w:p>
              </w:tc>
              <w:tc>
                <w:tcPr/>
                <w:p>
                  <w:pPr>
                    <w:pStyle w:val="Compact"/>
                    <w:jc w:val="right"/>
                    <w:jc w:val="center"/>
                  </w:pPr>
                  <w:r>
                    <w:t xml:space="preserve">-0.30</w:t>
                  </w:r>
                </w:p>
              </w:tc>
              <w:tc>
                <w:tcPr/>
                <w:p>
                  <w:pPr>
                    <w:pStyle w:val="Compact"/>
                    <w:jc w:val="right"/>
                    <w:jc w:val="center"/>
                  </w:pPr>
                  <w:r>
                    <w:t xml:space="preserve">0.765000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0.00680</w:t>
                  </w:r>
                </w:p>
              </w:tc>
              <w:tc>
                <w:tcPr/>
                <w:p>
                  <w:pPr>
                    <w:pStyle w:val="Compact"/>
                    <w:jc w:val="right"/>
                    <w:jc w:val="center"/>
                  </w:pPr>
                  <w:r>
                    <w:t xml:space="preserve">0.00691</w:t>
                  </w:r>
                </w:p>
              </w:tc>
              <w:tc>
                <w:tcPr/>
                <w:p>
                  <w:pPr>
                    <w:pStyle w:val="Compact"/>
                    <w:jc w:val="right"/>
                    <w:jc w:val="center"/>
                  </w:pPr>
                  <w:r>
                    <w:t xml:space="preserve">0.98</w:t>
                  </w:r>
                </w:p>
              </w:tc>
              <w:tc>
                <w:tcPr/>
                <w:p>
                  <w:pPr>
                    <w:pStyle w:val="Compact"/>
                    <w:jc w:val="right"/>
                    <w:jc w:val="center"/>
                  </w:pPr>
                  <w:r>
                    <w:t xml:space="preserve">0.326000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-0.00332</w:t>
                  </w:r>
                </w:p>
              </w:tc>
              <w:tc>
                <w:tcPr/>
                <w:p>
                  <w:pPr>
                    <w:pStyle w:val="Compact"/>
                    <w:jc w:val="right"/>
                    <w:jc w:val="center"/>
                  </w:pPr>
                  <w:r>
                    <w:t xml:space="preserve">0.00446</w:t>
                  </w:r>
                </w:p>
              </w:tc>
              <w:tc>
                <w:tcPr/>
                <w:p>
                  <w:pPr>
                    <w:pStyle w:val="Compact"/>
                    <w:jc w:val="right"/>
                    <w:jc w:val="center"/>
                  </w:pPr>
                  <w:r>
                    <w:t xml:space="preserve">-0.74</w:t>
                  </w:r>
                </w:p>
              </w:tc>
              <w:tc>
                <w:tcPr/>
                <w:p>
                  <w:pPr>
                    <w:pStyle w:val="Compact"/>
                    <w:jc w:val="right"/>
                    <w:jc w:val="center"/>
                  </w:pPr>
                  <w:r>
                    <w:t xml:space="preserve">0.457000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0.00604</w:t>
                  </w:r>
                </w:p>
              </w:tc>
              <w:tc>
                <w:tcPr/>
                <w:p>
                  <w:pPr>
                    <w:pStyle w:val="Compact"/>
                    <w:jc w:val="right"/>
                    <w:jc w:val="center"/>
                  </w:pPr>
                  <w:r>
                    <w:t xml:space="preserve">0.00688</w:t>
                  </w:r>
                </w:p>
              </w:tc>
              <w:tc>
                <w:tcPr/>
                <w:p>
                  <w:pPr>
                    <w:pStyle w:val="Compact"/>
                    <w:jc w:val="right"/>
                    <w:jc w:val="center"/>
                  </w:pPr>
                  <w:r>
                    <w:t xml:space="preserve">0.88</w:t>
                  </w:r>
                </w:p>
              </w:tc>
              <w:tc>
                <w:tcPr/>
                <w:p>
                  <w:pPr>
                    <w:pStyle w:val="Compact"/>
                    <w:jc w:val="right"/>
                    <w:jc w:val="center"/>
                  </w:pPr>
                  <w:r>
                    <w:t xml:space="preserve">0.381000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0.01180</w:t>
                  </w:r>
                </w:p>
              </w:tc>
              <w:tc>
                <w:tcPr/>
                <w:p>
                  <w:pPr>
                    <w:pStyle w:val="Compact"/>
                    <w:jc w:val="right"/>
                    <w:jc w:val="center"/>
                  </w:pPr>
                  <w:r>
                    <w:t xml:space="preserve">0.01010</w:t>
                  </w:r>
                </w:p>
              </w:tc>
              <w:tc>
                <w:tcPr/>
                <w:p>
                  <w:pPr>
                    <w:pStyle w:val="Compact"/>
                    <w:jc w:val="right"/>
                    <w:jc w:val="center"/>
                  </w:pPr>
                  <w:r>
                    <w:t xml:space="preserve">1.18</w:t>
                  </w:r>
                </w:p>
              </w:tc>
              <w:tc>
                <w:tcPr/>
                <w:p>
                  <w:pPr>
                    <w:pStyle w:val="Compact"/>
                    <w:jc w:val="right"/>
                    <w:jc w:val="center"/>
                  </w:pPr>
                  <w:r>
                    <w:t xml:space="preserve">0.239000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0.02490</w:t>
                  </w:r>
                </w:p>
              </w:tc>
              <w:tc>
                <w:tcPr/>
                <w:p>
                  <w:pPr>
                    <w:pStyle w:val="Compact"/>
                    <w:jc w:val="right"/>
                    <w:jc w:val="center"/>
                  </w:pPr>
                  <w:r>
                    <w:t xml:space="preserve">0.00710</w:t>
                  </w:r>
                </w:p>
              </w:tc>
              <w:tc>
                <w:tcPr/>
                <w:p>
                  <w:pPr>
                    <w:pStyle w:val="Compact"/>
                    <w:jc w:val="right"/>
                    <w:jc w:val="center"/>
                  </w:pPr>
                  <w:r>
                    <w:t xml:space="preserve">3.52</w:t>
                  </w:r>
                </w:p>
              </w:tc>
              <w:tc>
                <w:tcPr/>
                <w:p>
                  <w:pPr>
                    <w:pStyle w:val="Compact"/>
                    <w:jc w:val="right"/>
                    <w:jc w:val="center"/>
                  </w:pPr>
                  <w:r>
                    <w:t xml:space="preserve">0.000439</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0.01590</w:t>
                  </w:r>
                </w:p>
              </w:tc>
              <w:tc>
                <w:tcPr/>
                <w:p>
                  <w:pPr>
                    <w:pStyle w:val="Compact"/>
                    <w:jc w:val="right"/>
                    <w:jc w:val="center"/>
                  </w:pPr>
                  <w:r>
                    <w:t xml:space="preserve">0.01010</w:t>
                  </w:r>
                </w:p>
              </w:tc>
              <w:tc>
                <w:tcPr/>
                <w:p>
                  <w:pPr>
                    <w:pStyle w:val="Compact"/>
                    <w:jc w:val="right"/>
                    <w:jc w:val="center"/>
                  </w:pPr>
                  <w:r>
                    <w:t xml:space="preserve">1.58</w:t>
                  </w:r>
                </w:p>
              </w:tc>
              <w:tc>
                <w:tcPr/>
                <w:p>
                  <w:pPr>
                    <w:pStyle w:val="Compact"/>
                    <w:jc w:val="right"/>
                    <w:jc w:val="center"/>
                  </w:pPr>
                  <w:r>
                    <w:t xml:space="preserve">0.114000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-0.00395</w:t>
                  </w:r>
                </w:p>
              </w:tc>
              <w:tc>
                <w:tcPr/>
                <w:p>
                  <w:pPr>
                    <w:pStyle w:val="Compact"/>
                    <w:jc w:val="right"/>
                    <w:jc w:val="center"/>
                  </w:pPr>
                  <w:r>
                    <w:t xml:space="preserve">0.00336</w:t>
                  </w:r>
                </w:p>
              </w:tc>
              <w:tc>
                <w:tcPr/>
                <w:p>
                  <w:pPr>
                    <w:pStyle w:val="Compact"/>
                    <w:jc w:val="right"/>
                    <w:jc w:val="center"/>
                  </w:pPr>
                  <w:r>
                    <w:t xml:space="preserve">-1.18</w:t>
                  </w:r>
                </w:p>
              </w:tc>
              <w:tc>
                <w:tcPr/>
                <w:p>
                  <w:pPr>
                    <w:pStyle w:val="Compact"/>
                    <w:jc w:val="right"/>
                    <w:jc w:val="center"/>
                  </w:pPr>
                  <w:r>
                    <w:t xml:space="preserve">0.239000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-0.00832</w:t>
                  </w:r>
                </w:p>
              </w:tc>
              <w:tc>
                <w:tcPr/>
                <w:p>
                  <w:pPr>
                    <w:pStyle w:val="Compact"/>
                    <w:jc w:val="right"/>
                    <w:jc w:val="center"/>
                  </w:pPr>
                  <w:r>
                    <w:t xml:space="preserve">0.00237</w:t>
                  </w:r>
                </w:p>
              </w:tc>
              <w:tc>
                <w:tcPr/>
                <w:p>
                  <w:pPr>
                    <w:pStyle w:val="Compact"/>
                    <w:jc w:val="right"/>
                    <w:jc w:val="center"/>
                  </w:pPr>
                  <w:r>
                    <w:t xml:space="preserve">-3.52</w:t>
                  </w:r>
                </w:p>
              </w:tc>
              <w:tc>
                <w:tcPr/>
                <w:p>
                  <w:pPr>
                    <w:pStyle w:val="Compact"/>
                    <w:jc w:val="right"/>
                    <w:jc w:val="center"/>
                  </w:pPr>
                  <w:r>
                    <w:t xml:space="preserve">0.000439</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-0.00530</w:t>
                  </w:r>
                </w:p>
              </w:tc>
              <w:tc>
                <w:tcPr/>
                <w:p>
                  <w:pPr>
                    <w:pStyle w:val="Compact"/>
                    <w:jc w:val="right"/>
                    <w:jc w:val="center"/>
                  </w:pPr>
                  <w:r>
                    <w:t xml:space="preserve">0.00335</w:t>
                  </w:r>
                </w:p>
              </w:tc>
              <w:tc>
                <w:tcPr/>
                <w:p>
                  <w:pPr>
                    <w:pStyle w:val="Compact"/>
                    <w:jc w:val="right"/>
                    <w:jc w:val="center"/>
                  </w:pPr>
                  <w:r>
                    <w:t xml:space="preserve">-1.58</w:t>
                  </w:r>
                </w:p>
              </w:tc>
              <w:tc>
                <w:tcPr/>
                <w:p>
                  <w:pPr>
                    <w:pStyle w:val="Compact"/>
                    <w:jc w:val="right"/>
                    <w:jc w:val="center"/>
                  </w:pPr>
                  <w:r>
                    <w:t xml:space="preserve">0.114000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-0.38800</w:t>
                  </w:r>
                </w:p>
              </w:tc>
              <w:tc>
                <w:tcPr/>
                <w:p>
                  <w:pPr>
                    <w:pStyle w:val="Compact"/>
                    <w:jc w:val="right"/>
                    <w:jc w:val="center"/>
                  </w:pPr>
                  <w:r>
                    <w:t xml:space="preserve">0.41200</w:t>
                  </w:r>
                </w:p>
              </w:tc>
              <w:tc>
                <w:tcPr/>
                <w:p>
                  <w:pPr>
                    <w:pStyle w:val="Compact"/>
                    <w:jc w:val="right"/>
                    <w:jc w:val="center"/>
                  </w:pPr>
                  <w:r>
                    <w:t xml:space="preserve">-0.94</w:t>
                  </w:r>
                </w:p>
              </w:tc>
              <w:tc>
                <w:tcPr/>
                <w:p>
                  <w:pPr>
                    <w:pStyle w:val="Compact"/>
                    <w:jc w:val="right"/>
                    <w:jc w:val="center"/>
                  </w:pPr>
                  <w:r>
                    <w:t xml:space="preserve">0.346000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0.00486</w:t>
                  </w:r>
                </w:p>
              </w:tc>
              <w:tc>
                <w:tcPr/>
                <w:p>
                  <w:pPr>
                    <w:pStyle w:val="Compact"/>
                    <w:jc w:val="right"/>
                    <w:jc w:val="center"/>
                  </w:pPr>
                  <w:r>
                    <w:t xml:space="preserve">0.01090</w:t>
                  </w:r>
                </w:p>
              </w:tc>
              <w:tc>
                <w:tcPr/>
                <w:p>
                  <w:pPr>
                    <w:pStyle w:val="Compact"/>
                    <w:jc w:val="right"/>
                    <w:jc w:val="center"/>
                  </w:pPr>
                  <w:r>
                    <w:t xml:space="preserve">0.45</w:t>
                  </w:r>
                </w:p>
              </w:tc>
              <w:tc>
                <w:tcPr/>
                <w:p>
                  <w:pPr>
                    <w:pStyle w:val="Compact"/>
                    <w:jc w:val="right"/>
                    <w:jc w:val="center"/>
                  </w:pPr>
                  <w:r>
                    <w:t xml:space="preserve">0.654000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0.02730</w:t>
                  </w:r>
                </w:p>
              </w:tc>
              <w:tc>
                <w:tcPr/>
                <w:p>
                  <w:pPr>
                    <w:pStyle w:val="Compact"/>
                    <w:jc w:val="right"/>
                    <w:jc w:val="center"/>
                  </w:pPr>
                  <w:r>
                    <w:t xml:space="preserve">0.01890</w:t>
                  </w:r>
                </w:p>
              </w:tc>
              <w:tc>
                <w:tcPr/>
                <w:p>
                  <w:pPr>
                    <w:pStyle w:val="Compact"/>
                    <w:jc w:val="right"/>
                    <w:jc w:val="center"/>
                  </w:pPr>
                  <w:r>
                    <w:t xml:space="preserve">1.44</w:t>
                  </w:r>
                </w:p>
              </w:tc>
              <w:tc>
                <w:tcPr/>
                <w:p>
                  <w:pPr>
                    <w:pStyle w:val="Compact"/>
                    <w:jc w:val="right"/>
                    <w:jc w:val="center"/>
                  </w:pPr>
                  <w:r>
                    <w:t xml:space="preserve">0.150000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-0.00909</w:t>
                  </w:r>
                </w:p>
              </w:tc>
              <w:tc>
                <w:tcPr/>
                <w:p>
                  <w:pPr>
                    <w:pStyle w:val="Compact"/>
                    <w:jc w:val="right"/>
                    <w:jc w:val="center"/>
                  </w:pPr>
                  <w:r>
                    <w:t xml:space="preserve">0.00631</w:t>
                  </w:r>
                </w:p>
              </w:tc>
              <w:tc>
                <w:tcPr/>
                <w:p>
                  <w:pPr>
                    <w:pStyle w:val="Compact"/>
                    <w:jc w:val="right"/>
                    <w:jc w:val="center"/>
                  </w:pPr>
                  <w:r>
                    <w:t xml:space="preserve">-1.44</w:t>
                  </w:r>
                </w:p>
              </w:tc>
              <w:tc>
                <w:tcPr/>
                <w:p>
                  <w:pPr>
                    <w:pStyle w:val="Compact"/>
                    <w:jc w:val="right"/>
                    <w:jc w:val="center"/>
                  </w:pPr>
                  <w:r>
                    <w:t xml:space="preserve">0.150000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0.08680</w:t>
                  </w:r>
                </w:p>
              </w:tc>
              <w:tc>
                <w:tcPr/>
                <w:p>
                  <w:pPr>
                    <w:pStyle w:val="Compact"/>
                    <w:jc w:val="right"/>
                    <w:jc w:val="center"/>
                  </w:pPr>
                  <w:r>
                    <w:t xml:space="preserve">0.20000</w:t>
                  </w:r>
                </w:p>
              </w:tc>
              <w:tc>
                <w:tcPr/>
                <w:p>
                  <w:pPr>
                    <w:pStyle w:val="Compact"/>
                    <w:jc w:val="right"/>
                    <w:jc w:val="center"/>
                  </w:pPr>
                  <w:r>
                    <w:t xml:space="preserve">0.44</w:t>
                  </w:r>
                </w:p>
              </w:tc>
              <w:tc>
                <w:tcPr/>
                <w:p>
                  <w:pPr>
                    <w:pStyle w:val="Compact"/>
                    <w:jc w:val="right"/>
                    <w:jc w:val="center"/>
                  </w:pPr>
                  <w:r>
                    <w:t xml:space="preserve">0.663000</w:t>
                  </w:r>
                </w:p>
              </w:tc>
              <w:tc>
                <w:tcPr/>
                <w:p>
                  <w:pPr>
                    <w:pStyle w:val="Compact"/>
                    <w:jc w:val="right"/>
                    <w:jc w:val="center"/>
                  </w:pPr>
                  <w:r>
                    <w:t xml:space="preserve">49</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0.23100</w:t>
                  </w:r>
                </w:p>
              </w:tc>
              <w:tc>
                <w:tcPr/>
                <w:p>
                  <w:pPr>
                    <w:pStyle w:val="Compact"/>
                    <w:jc w:val="right"/>
                    <w:jc w:val="center"/>
                  </w:pPr>
                  <w:r>
                    <w:t xml:space="preserve">0.19900</w:t>
                  </w:r>
                </w:p>
              </w:tc>
              <w:tc>
                <w:tcPr/>
                <w:p>
                  <w:pPr>
                    <w:pStyle w:val="Compact"/>
                    <w:jc w:val="right"/>
                    <w:jc w:val="center"/>
                  </w:pPr>
                  <w:r>
                    <w:t xml:space="preserve">1.16</w:t>
                  </w:r>
                </w:p>
              </w:tc>
              <w:tc>
                <w:tcPr/>
                <w:p>
                  <w:pPr>
                    <w:pStyle w:val="Compact"/>
                    <w:jc w:val="right"/>
                    <w:jc w:val="center"/>
                  </w:pPr>
                  <w:r>
                    <w:t xml:space="preserve">0.246000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-0.68200</w:t>
                  </w:r>
                </w:p>
              </w:tc>
              <w:tc>
                <w:tcPr/>
                <w:p>
                  <w:pPr>
                    <w:pStyle w:val="Compact"/>
                    <w:jc w:val="right"/>
                    <w:jc w:val="center"/>
                  </w:pPr>
                  <w:r>
                    <w:t xml:space="preserve">0.20900</w:t>
                  </w:r>
                </w:p>
              </w:tc>
              <w:tc>
                <w:tcPr/>
                <w:p>
                  <w:pPr>
                    <w:pStyle w:val="Compact"/>
                    <w:jc w:val="right"/>
                    <w:jc w:val="center"/>
                  </w:pPr>
                  <w:r>
                    <w:t xml:space="preserve">-3.27</w:t>
                  </w:r>
                </w:p>
              </w:tc>
              <w:tc>
                <w:tcPr/>
                <w:p>
                  <w:pPr>
                    <w:pStyle w:val="Compact"/>
                    <w:jc w:val="right"/>
                    <w:jc w:val="center"/>
                  </w:pPr>
                  <w:r>
                    <w:t xml:space="preserve">0.001090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0.00475</w:t>
                  </w:r>
                </w:p>
              </w:tc>
              <w:tc>
                <w:tcPr/>
                <w:p>
                  <w:pPr>
                    <w:pStyle w:val="Compact"/>
                    <w:jc w:val="right"/>
                    <w:jc w:val="center"/>
                  </w:pPr>
                  <w:r>
                    <w:t xml:space="preserve">0.00686</w:t>
                  </w:r>
                </w:p>
              </w:tc>
              <w:tc>
                <w:tcPr/>
                <w:p>
                  <w:pPr>
                    <w:pStyle w:val="Compact"/>
                    <w:jc w:val="right"/>
                    <w:jc w:val="center"/>
                  </w:pPr>
                  <w:r>
                    <w:t xml:space="preserve">0.69</w:t>
                  </w:r>
                </w:p>
              </w:tc>
              <w:tc>
                <w:tcPr/>
                <w:p>
                  <w:pPr>
                    <w:pStyle w:val="Compact"/>
                    <w:jc w:val="right"/>
                    <w:jc w:val="center"/>
                  </w:pPr>
                  <w:r>
                    <w:t xml:space="preserve">0.489000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0.00567</w:t>
                  </w:r>
                </w:p>
              </w:tc>
              <w:tc>
                <w:tcPr/>
                <w:p>
                  <w:pPr>
                    <w:pStyle w:val="Compact"/>
                    <w:jc w:val="right"/>
                    <w:jc w:val="center"/>
                  </w:pPr>
                  <w:r>
                    <w:t xml:space="preserve">0.00690</w:t>
                  </w:r>
                </w:p>
              </w:tc>
              <w:tc>
                <w:tcPr/>
                <w:p>
                  <w:pPr>
                    <w:pStyle w:val="Compact"/>
                    <w:jc w:val="right"/>
                    <w:jc w:val="center"/>
                  </w:pPr>
                  <w:r>
                    <w:t xml:space="preserve">0.82</w:t>
                  </w:r>
                </w:p>
              </w:tc>
              <w:tc>
                <w:tcPr/>
                <w:p>
                  <w:pPr>
                    <w:pStyle w:val="Compact"/>
                    <w:jc w:val="right"/>
                    <w:jc w:val="center"/>
                  </w:pPr>
                  <w:r>
                    <w:t xml:space="preserve">0.412000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-0.00120</w:t>
                  </w:r>
                </w:p>
              </w:tc>
              <w:tc>
                <w:tcPr/>
                <w:p>
                  <w:pPr>
                    <w:pStyle w:val="Compact"/>
                    <w:jc w:val="right"/>
                    <w:jc w:val="center"/>
                  </w:pPr>
                  <w:r>
                    <w:t xml:space="preserve">0.00349</w:t>
                  </w:r>
                </w:p>
              </w:tc>
              <w:tc>
                <w:tcPr/>
                <w:p>
                  <w:pPr>
                    <w:pStyle w:val="Compact"/>
                    <w:jc w:val="right"/>
                    <w:jc w:val="center"/>
                  </w:pPr>
                  <w:r>
                    <w:t xml:space="preserve">-0.35</w:t>
                  </w:r>
                </w:p>
              </w:tc>
              <w:tc>
                <w:tcPr/>
                <w:p>
                  <w:pPr>
                    <w:pStyle w:val="Compact"/>
                    <w:jc w:val="right"/>
                    <w:jc w:val="center"/>
                  </w:pPr>
                  <w:r>
                    <w:t xml:space="preserve">0.730000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0.00929</w:t>
                  </w:r>
                </w:p>
              </w:tc>
              <w:tc>
                <w:tcPr/>
                <w:p>
                  <w:pPr>
                    <w:pStyle w:val="Compact"/>
                    <w:jc w:val="right"/>
                    <w:jc w:val="center"/>
                  </w:pPr>
                  <w:r>
                    <w:t xml:space="preserve">0.01010</w:t>
                  </w:r>
                </w:p>
              </w:tc>
              <w:tc>
                <w:tcPr/>
                <w:p>
                  <w:pPr>
                    <w:pStyle w:val="Compact"/>
                    <w:jc w:val="right"/>
                    <w:jc w:val="center"/>
                  </w:pPr>
                  <w:r>
                    <w:t xml:space="preserve">0.92</w:t>
                  </w:r>
                </w:p>
              </w:tc>
              <w:tc>
                <w:tcPr/>
                <w:p>
                  <w:pPr>
                    <w:pStyle w:val="Compact"/>
                    <w:jc w:val="right"/>
                    <w:jc w:val="center"/>
                  </w:pPr>
                  <w:r>
                    <w:t xml:space="preserve">0.359000</w:t>
                  </w:r>
                </w:p>
              </w:tc>
              <w:tc>
                <w:tcPr/>
                <w:p>
                  <w:pPr>
                    <w:pStyle w:val="Compact"/>
                    <w:jc w:val="right"/>
                    <w:jc w:val="center"/>
                  </w:pPr>
                  <w:r>
                    <w:t xml:space="preserve">49</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0.00465</w:t>
                  </w:r>
                </w:p>
              </w:tc>
              <w:tc>
                <w:tcPr/>
                <w:p>
                  <w:pPr>
                    <w:pStyle w:val="Compact"/>
                    <w:jc w:val="right"/>
                    <w:jc w:val="center"/>
                  </w:pPr>
                  <w:r>
                    <w:t xml:space="preserve">0.01020</w:t>
                  </w:r>
                </w:p>
              </w:tc>
              <w:tc>
                <w:tcPr/>
                <w:p>
                  <w:pPr>
                    <w:pStyle w:val="Compact"/>
                    <w:jc w:val="right"/>
                    <w:jc w:val="center"/>
                  </w:pPr>
                  <w:r>
                    <w:t xml:space="preserve">0.46</w:t>
                  </w:r>
                </w:p>
              </w:tc>
              <w:tc>
                <w:tcPr/>
                <w:p>
                  <w:pPr>
                    <w:pStyle w:val="Compact"/>
                    <w:jc w:val="right"/>
                    <w:jc w:val="center"/>
                  </w:pPr>
                  <w:r>
                    <w:t xml:space="preserve">0.648000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0.02520</w:t>
                  </w:r>
                </w:p>
              </w:tc>
              <w:tc>
                <w:tcPr/>
                <w:p>
                  <w:pPr>
                    <w:pStyle w:val="Compact"/>
                    <w:jc w:val="right"/>
                    <w:jc w:val="center"/>
                  </w:pPr>
                  <w:r>
                    <w:t xml:space="preserve">0.00691</w:t>
                  </w:r>
                </w:p>
              </w:tc>
              <w:tc>
                <w:tcPr/>
                <w:p>
                  <w:pPr>
                    <w:pStyle w:val="Compact"/>
                    <w:jc w:val="right"/>
                    <w:jc w:val="center"/>
                  </w:pPr>
                  <w:r>
                    <w:t xml:space="preserve">3.65</w:t>
                  </w:r>
                </w:p>
              </w:tc>
              <w:tc>
                <w:tcPr/>
                <w:p>
                  <w:pPr>
                    <w:pStyle w:val="Compact"/>
                    <w:jc w:val="right"/>
                    <w:jc w:val="center"/>
                  </w:pPr>
                  <w:r>
                    <w:t xml:space="preserve">0.000265</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-0.00310</w:t>
                  </w:r>
                </w:p>
              </w:tc>
              <w:tc>
                <w:tcPr/>
                <w:p>
                  <w:pPr>
                    <w:pStyle w:val="Compact"/>
                    <w:jc w:val="right"/>
                    <w:jc w:val="center"/>
                  </w:pPr>
                  <w:r>
                    <w:t xml:space="preserve">0.00338</w:t>
                  </w:r>
                </w:p>
              </w:tc>
              <w:tc>
                <w:tcPr/>
                <w:p>
                  <w:pPr>
                    <w:pStyle w:val="Compact"/>
                    <w:jc w:val="right"/>
                    <w:jc w:val="center"/>
                  </w:pPr>
                  <w:r>
                    <w:t xml:space="preserve">-0.92</w:t>
                  </w:r>
                </w:p>
              </w:tc>
              <w:tc>
                <w:tcPr/>
                <w:p>
                  <w:pPr>
                    <w:pStyle w:val="Compact"/>
                    <w:jc w:val="right"/>
                    <w:jc w:val="center"/>
                  </w:pPr>
                  <w:r>
                    <w:t xml:space="preserve">0.359000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-0.00155</w:t>
                  </w:r>
                </w:p>
              </w:tc>
              <w:tc>
                <w:tcPr/>
                <w:p>
                  <w:pPr>
                    <w:pStyle w:val="Compact"/>
                    <w:jc w:val="right"/>
                    <w:jc w:val="center"/>
                  </w:pPr>
                  <w:r>
                    <w:t xml:space="preserve">0.00339</w:t>
                  </w:r>
                </w:p>
              </w:tc>
              <w:tc>
                <w:tcPr/>
                <w:p>
                  <w:pPr>
                    <w:pStyle w:val="Compact"/>
                    <w:jc w:val="right"/>
                    <w:jc w:val="center"/>
                  </w:pPr>
                  <w:r>
                    <w:t xml:space="preserve">-0.46</w:t>
                  </w:r>
                </w:p>
              </w:tc>
              <w:tc>
                <w:tcPr/>
                <w:p>
                  <w:pPr>
                    <w:pStyle w:val="Compact"/>
                    <w:jc w:val="right"/>
                    <w:jc w:val="center"/>
                  </w:pPr>
                  <w:r>
                    <w:t xml:space="preserve">0.648000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-0.00840</w:t>
                  </w:r>
                </w:p>
              </w:tc>
              <w:tc>
                <w:tcPr/>
                <w:p>
                  <w:pPr>
                    <w:pStyle w:val="Compact"/>
                    <w:jc w:val="right"/>
                    <w:jc w:val="center"/>
                  </w:pPr>
                  <w:r>
                    <w:t xml:space="preserve">0.00230</w:t>
                  </w:r>
                </w:p>
              </w:tc>
              <w:tc>
                <w:tcPr/>
                <w:p>
                  <w:pPr>
                    <w:pStyle w:val="Compact"/>
                    <w:jc w:val="right"/>
                    <w:jc w:val="center"/>
                  </w:pPr>
                  <w:r>
                    <w:t xml:space="preserve">-3.65</w:t>
                  </w:r>
                </w:p>
              </w:tc>
              <w:tc>
                <w:tcPr/>
                <w:p>
                  <w:pPr>
                    <w:pStyle w:val="Compact"/>
                    <w:jc w:val="right"/>
                    <w:jc w:val="center"/>
                  </w:pPr>
                  <w:r>
                    <w:t xml:space="preserve">0.000266</w:t>
                  </w:r>
                </w:p>
              </w:tc>
              <w:tc>
                <w:tcPr/>
                <w:p>
                  <w:pPr>
                    <w:pStyle w:val="Compact"/>
                    <w:jc w:val="right"/>
                    <w:jc w:val="center"/>
                  </w:pPr>
                  <w:r>
                    <w:t xml:space="preserve">50</w:t>
                  </w:r>
                </w:p>
              </w:tc>
            </w:tr>
          </w:tbl>
          <w:bookmarkEnd w:id="57"/>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p>
      <w:r>
        <w:pict>
          <v:rect style="width:0;height:1.5pt" o:hralign="center" o:hrstd="t" o:hr="t"/>
        </w:pict>
      </w:r>
    </w:p>
    <w:bookmarkEnd w:id="58"/>
    <w:bookmarkEnd w:id="59"/>
    <w:bookmarkStart w:id="6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60" w:name="tbl-s1"/>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Summary of decadal morphological trajectories across sequential analytical tiers and sample filtering criteria. Models control for species-specific random slopes and intercepts, geographic locality, and contributor/collection.</w:t>
            </w:r>
          </w:p>
          <w:tbl>
            <w:tblPr>
              <w:tblStyle w:val="Table"/>
              <w:tblW w:type="pct" w:w="5000"/>
              <w:tblLayout w:type="fixed"/>
              <w:tblLook w:firstRow="1" w:lastRow="0" w:firstColumn="0" w:lastColumn="0" w:noHBand="0" w:noVBand="0" w:val="0020"/>
            </w:tblPr>
            <w:tblGrid>
              <w:gridCol w:w="754"/>
              <w:gridCol w:w="754"/>
              <w:gridCol w:w="754"/>
              <w:gridCol w:w="942"/>
              <w:gridCol w:w="942"/>
              <w:gridCol w:w="942"/>
              <w:gridCol w:w="942"/>
              <w:gridCol w:w="942"/>
              <w:gridCol w:w="942"/>
            </w:tblGrid>
            <w:tr>
              <w:trPr>
                <w:tblHeader w:val="on"/>
              </w:trPr>
              <w:tc>
                <w:tcPr/>
                <w:p>
                  <w:pPr>
                    <w:pStyle w:val="Compact"/>
                    <w:jc w:val="left"/>
                    <w:jc w:val="center"/>
                  </w:pPr>
                  <w:r>
                    <w:t xml:space="preserve">Tier / Specification</w:t>
                  </w:r>
                </w:p>
              </w:tc>
              <w:tc>
                <w:tcPr/>
                <w:p>
                  <w:pPr>
                    <w:pStyle w:val="Compact"/>
                    <w:jc w:val="left"/>
                    <w:jc w:val="center"/>
                  </w:pPr>
                  <w:r>
                    <w:t xml:space="preserve">Trait</w:t>
                  </w:r>
                </w:p>
              </w:tc>
              <w:tc>
                <w:tcPr/>
                <w:p>
                  <w:pPr>
                    <w:pStyle w:val="Compact"/>
                    <w:jc w:val="left"/>
                    <w:jc w:val="center"/>
                  </w:pPr>
                  <w:r>
                    <w:t xml:space="preserve">Sample Description</w:t>
                  </w:r>
                </w:p>
              </w:tc>
              <w:tc>
                <w:tcPr/>
                <w:p>
                  <w:pPr>
                    <w:pStyle w:val="Compact"/>
                    <w:jc w:val="center"/>
                    <w:jc w:val="center"/>
                  </w:pPr>
                  <w:r>
                    <w:t xml:space="preserve">Records (</w:t>
                  </w:r>
                  <m:oMath>
                    <m:r>
                      <m:t>N</m:t>
                    </m:r>
                  </m:oMath>
                  <w:r>
                    <w:t xml:space="preserve">)</w:t>
                  </w:r>
                </w:p>
              </w:tc>
              <w:tc>
                <w:tcPr/>
                <w:p>
                  <w:pPr>
                    <w:pStyle w:val="Compact"/>
                    <w:jc w:val="center"/>
                    <w:jc w:val="center"/>
                  </w:pPr>
                  <w:r>
                    <w:t xml:space="preserve">Species (</w:t>
                  </w:r>
                  <m:oMath>
                    <m:r>
                      <m:t>k</m:t>
                    </m:r>
                  </m:oMath>
                  <w:r>
                    <w:t xml:space="preserve">)</w:t>
                  </w:r>
                </w:p>
              </w:tc>
              <w:tc>
                <w:tcPr/>
                <w:p>
                  <w:pPr>
                    <w:pStyle w:val="Compact"/>
                    <w:jc w:val="center"/>
                    <w:jc w:val="center"/>
                  </w:pPr>
                  <w:r>
                    <w:t xml:space="preserve">Time Span</w:t>
                  </w:r>
                </w:p>
              </w:tc>
              <w:tc>
                <w:tcPr/>
                <w:p>
                  <w:pPr>
                    <w:pStyle w:val="Compact"/>
                    <w:jc w:val="center"/>
                    <w:jc w:val="center"/>
                  </w:pPr>
                  <w:r>
                    <w:t xml:space="preserve">Decadal Rate (%/dec)</w:t>
                  </w:r>
                </w:p>
              </w:tc>
              <w:tc>
                <w:tcPr/>
                <w:p>
                  <w:pPr>
                    <w:pStyle w:val="Compact"/>
                    <w:jc w:val="center"/>
                    <w:jc w:val="center"/>
                  </w:pPr>
                  <w:r>
                    <w:t xml:space="preserve">95% Confidence Interval</w:t>
                  </w:r>
                </w:p>
              </w:tc>
              <w:tc>
                <w:tcPr/>
                <w:p>
                  <w:pPr>
                    <w:pStyle w:val="Compact"/>
                    <w:jc w:val="center"/>
                    <w:jc w:val="center"/>
                  </w:pPr>
                  <w:r>
                    <w:t xml:space="preserve">Raw Unit / decade</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Wing length</w:t>
                  </w:r>
                </w:p>
              </w:tc>
              <w:tc>
                <w:tcPr/>
                <w:p>
                  <w:pPr>
                    <w:pStyle w:val="Compact"/>
                    <w:jc w:val="left"/>
                    <w:jc w:val="center"/>
                  </w:pPr>
                  <w:r>
                    <w:t xml:space="preserve">Passerines, Adult, Known Sex, Live captures</w:t>
                  </w:r>
                </w:p>
              </w:tc>
              <w:tc>
                <w:tcPr/>
                <w:p>
                  <w:pPr>
                    <w:pStyle w:val="Compact"/>
                    <w:jc w:val="center"/>
                    <w:jc w:val="center"/>
                  </w:pPr>
                  <w:r>
                    <w:t xml:space="preserve">8,478</w:t>
                  </w:r>
                </w:p>
              </w:tc>
              <w:tc>
                <w:tcPr/>
                <w:p>
                  <w:pPr>
                    <w:pStyle w:val="Compact"/>
                    <w:jc w:val="center"/>
                    <w:jc w:val="center"/>
                  </w:pPr>
                  <w:r>
                    <w:t xml:space="preserve">72</w:t>
                  </w:r>
                </w:p>
              </w:tc>
              <w:tc>
                <w:tcPr/>
                <w:p>
                  <w:pPr>
                    <w:pStyle w:val="Compact"/>
                    <w:jc w:val="center"/>
                    <w:jc w:val="center"/>
                  </w:pPr>
                  <w:r>
                    <w:t xml:space="preserve">1995–2018</w:t>
                  </w:r>
                </w:p>
              </w:tc>
              <w:tc>
                <w:tcPr/>
                <w:p>
                  <w:pPr>
                    <w:pStyle w:val="Compact"/>
                    <w:jc w:val="center"/>
                    <w:jc w:val="center"/>
                  </w:pPr>
                  <m:oMath>
                    <m:r>
                      <m:rPr>
                        <m:sty m:val="p"/>
                      </m:rPr>
                      <m:t>−</m:t>
                    </m:r>
                    <m:r>
                      <m:t>1.48</m:t>
                    </m:r>
                    <m:r>
                      <m:rPr>
                        <m:sty m:val="p"/>
                      </m:rPr>
                      <m:t>%</m:t>
                    </m:r>
                  </m:oMath>
                </w:p>
              </w:tc>
              <w:tc>
                <w:tcPr/>
                <w:p>
                  <w:pPr>
                    <w:pStyle w:val="Compact"/>
                    <w:jc w:val="center"/>
                    <w:jc w:val="center"/>
                  </w:pPr>
                  <m:oMath>
                    <m:r>
                      <m:rPr>
                        <m:sty m:val="p"/>
                      </m:rPr>
                      <m:t>[</m:t>
                    </m:r>
                    <m:r>
                      <m:rPr>
                        <m:sty m:val="p"/>
                      </m:rPr>
                      <m:t>−</m:t>
                    </m:r>
                    <m:r>
                      <m:t>2.58</m:t>
                    </m:r>
                    <m:r>
                      <m:rPr>
                        <m:sty m:val="p"/>
                      </m:rPr>
                      <m:t>,</m:t>
                    </m:r>
                    <m:r>
                      <m:rPr>
                        <m:sty m:val="p"/>
                      </m:rPr>
                      <m:t>−</m:t>
                    </m:r>
                    <m:r>
                      <m:t>0.37</m:t>
                    </m:r>
                    <m:r>
                      <m:rPr>
                        <m:sty m:val="p"/>
                      </m:rPr>
                      <m:t>]</m:t>
                    </m:r>
                  </m:oMath>
                </w:p>
              </w:tc>
              <w:tc>
                <w:tcPr/>
                <w:p>
                  <w:pPr>
                    <w:pStyle w:val="Compact"/>
                    <w:jc w:val="center"/>
                    <w:jc w:val="center"/>
                  </w:pPr>
                  <m:oMath>
                    <m:r>
                      <m:rPr>
                        <m:sty m:val="p"/>
                      </m:rPr>
                      <m:t>−</m:t>
                    </m:r>
                    <m:r>
                      <m:t>1.05</m:t>
                    </m:r>
                  </m:oMath>
                  <w:r>
                    <w:t xml:space="preserve"> </w:t>
                  </w:r>
                  <w:r>
                    <w:t xml:space="preserve">mm</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Body mass</w:t>
                  </w:r>
                </w:p>
              </w:tc>
              <w:tc>
                <w:tcPr/>
                <w:p>
                  <w:pPr>
                    <w:pStyle w:val="Compact"/>
                    <w:jc w:val="left"/>
                    <w:jc w:val="center"/>
                  </w:pPr>
                  <w:r>
                    <w:t xml:space="preserve">Passerines, Adult, Known Sex, Live captures</w:t>
                  </w:r>
                </w:p>
              </w:tc>
              <w:tc>
                <w:tcPr/>
                <w:p>
                  <w:pPr>
                    <w:pStyle w:val="Compact"/>
                    <w:jc w:val="center"/>
                    <w:jc w:val="center"/>
                  </w:pPr>
                  <w:r>
                    <w:t xml:space="preserve">11,256</w:t>
                  </w:r>
                </w:p>
              </w:tc>
              <w:tc>
                <w:tcPr/>
                <w:p>
                  <w:pPr>
                    <w:pStyle w:val="Compact"/>
                    <w:jc w:val="center"/>
                    <w:jc w:val="center"/>
                  </w:pPr>
                  <w:r>
                    <w:t xml:space="preserve">73</w:t>
                  </w:r>
                </w:p>
              </w:tc>
              <w:tc>
                <w:tcPr/>
                <w:p>
                  <w:pPr>
                    <w:pStyle w:val="Compact"/>
                    <w:jc w:val="center"/>
                    <w:jc w:val="center"/>
                  </w:pPr>
                  <w:r>
                    <w:t xml:space="preserve">1995–2018</w:t>
                  </w:r>
                </w:p>
              </w:tc>
              <w:tc>
                <w:tcPr/>
                <w:p>
                  <w:pPr>
                    <w:pStyle w:val="Compact"/>
                    <w:jc w:val="center"/>
                    <w:jc w:val="center"/>
                  </w:pPr>
                  <m:oMath>
                    <m:r>
                      <m:rPr>
                        <m:sty m:val="p"/>
                      </m:rPr>
                      <m:t>−</m:t>
                    </m:r>
                    <m:r>
                      <m:t>1.12</m:t>
                    </m:r>
                    <m:r>
                      <m:rPr>
                        <m:sty m:val="p"/>
                      </m:rPr>
                      <m:t>%</m:t>
                    </m:r>
                  </m:oMath>
                </w:p>
              </w:tc>
              <w:tc>
                <w:tcPr/>
                <w:p>
                  <w:pPr>
                    <w:pStyle w:val="Compact"/>
                    <w:jc w:val="center"/>
                    <w:jc w:val="center"/>
                  </w:pPr>
                  <m:oMath>
                    <m:r>
                      <m:rPr>
                        <m:sty m:val="p"/>
                      </m:rPr>
                      <m:t>[</m:t>
                    </m:r>
                    <m:r>
                      <m:rPr>
                        <m:sty m:val="p"/>
                      </m:rPr>
                      <m:t>−</m:t>
                    </m:r>
                    <m:r>
                      <m:t>3.21</m:t>
                    </m:r>
                    <m:r>
                      <m:rPr>
                        <m:sty m:val="p"/>
                      </m:rPr>
                      <m:t>,</m:t>
                    </m:r>
                    <m:r>
                      <m:rPr>
                        <m:sty m:val="p"/>
                      </m:rPr>
                      <m:t>+</m:t>
                    </m:r>
                    <m:r>
                      <m:t>1.02</m:t>
                    </m:r>
                    <m:r>
                      <m:rPr>
                        <m:sty m:val="p"/>
                      </m:rPr>
                      <m:t>]</m:t>
                    </m:r>
                  </m:oMath>
                </w:p>
              </w:tc>
              <w:tc>
                <w:tcPr/>
                <w:p>
                  <w:pPr>
                    <w:pStyle w:val="Compact"/>
                    <w:jc w:val="center"/>
                    <w:jc w:val="center"/>
                  </w:pPr>
                  <m:oMath>
                    <m:r>
                      <m:rPr>
                        <m:sty m:val="p"/>
                      </m:rPr>
                      <m:t>−</m:t>
                    </m:r>
                    <m:r>
                      <m:t>0.011</m:t>
                    </m:r>
                  </m:oMath>
                  <w:r>
                    <w:t xml:space="preserve"> </w:t>
                  </w:r>
                  <w:r>
                    <w:t xml:space="preserve">log g</w:t>
                  </w:r>
                </w:p>
              </w:tc>
            </w:tr>
            <w:tr>
              <w:tc>
                <w:tcPr/>
                <w:p>
                  <w:pPr>
                    <w:pStyle w:val="Compact"/>
                    <w:jc w:val="left"/>
                    <w:jc w:val="center"/>
                  </w:pPr>
                  <w:r>
                    <w:rPr>
                      <w:b/>
                      <w:bCs/>
                    </w:rPr>
                    <w:t xml:space="preserve">T2. Jirinec Passerines (All Sexes)</w:t>
                  </w:r>
                </w:p>
              </w:tc>
              <w:tc>
                <w:tcPr/>
                <w:p>
                  <w:pPr>
                    <w:pStyle w:val="Compact"/>
                    <w:jc w:val="left"/>
                    <w:jc w:val="center"/>
                  </w:pPr>
                  <w:r>
                    <w:t xml:space="preserve">Wing length</w:t>
                  </w:r>
                </w:p>
              </w:tc>
              <w:tc>
                <w:tcPr/>
                <w:p>
                  <w:pPr>
                    <w:pStyle w:val="Compact"/>
                    <w:jc w:val="left"/>
                    <w:jc w:val="center"/>
                  </w:pPr>
                  <w:r>
                    <w:t xml:space="preserve">Passerines, All Sexes, Jirinec temporal coverage</w:t>
                  </w:r>
                </w:p>
              </w:tc>
              <w:tc>
                <w:tcPr/>
                <w:p>
                  <w:pPr>
                    <w:pStyle w:val="Compact"/>
                    <w:jc w:val="center"/>
                    <w:jc w:val="center"/>
                  </w:pPr>
                  <w:r>
                    <w:t xml:space="preserve">28,190</w:t>
                  </w:r>
                </w:p>
              </w:tc>
              <w:tc>
                <w:tcPr/>
                <w:p>
                  <w:pPr>
                    <w:pStyle w:val="Compact"/>
                    <w:jc w:val="center"/>
                    <w:jc w:val="center"/>
                  </w:pPr>
                  <w:r>
                    <w:t xml:space="preserve">178</w:t>
                  </w:r>
                </w:p>
              </w:tc>
              <w:tc>
                <w:tcPr/>
                <w:p>
                  <w:pPr>
                    <w:pStyle w:val="Compact"/>
                    <w:jc w:val="center"/>
                    <w:jc w:val="center"/>
                  </w:pPr>
                  <w:r>
                    <w:t xml:space="preserve">1995–2018</w:t>
                  </w:r>
                </w:p>
              </w:tc>
              <w:tc>
                <w:tcPr/>
                <w:p>
                  <w:pPr>
                    <w:pStyle w:val="Compact"/>
                    <w:jc w:val="center"/>
                    <w:jc w:val="center"/>
                  </w:pPr>
                  <m:oMath>
                    <m:r>
                      <m:rPr>
                        <m:sty m:val="p"/>
                      </m:rPr>
                      <m:t>−</m:t>
                    </m:r>
                    <m:r>
                      <m:t>0.88</m:t>
                    </m:r>
                    <m:r>
                      <m:rPr>
                        <m:sty m:val="p"/>
                      </m:rPr>
                      <m:t>%</m:t>
                    </m:r>
                  </m:oMath>
                </w:p>
              </w:tc>
              <w:tc>
                <w:tcPr/>
                <w:p>
                  <w:pPr>
                    <w:pStyle w:val="Compact"/>
                    <w:jc w:val="center"/>
                    <w:jc w:val="center"/>
                  </w:pPr>
                  <m:oMath>
                    <m:r>
                      <m:rPr>
                        <m:sty m:val="p"/>
                      </m:rPr>
                      <m:t>[</m:t>
                    </m:r>
                    <m:r>
                      <m:rPr>
                        <m:sty m:val="p"/>
                      </m:rPr>
                      <m:t>−</m:t>
                    </m:r>
                    <m:r>
                      <m:t>1.93</m:t>
                    </m:r>
                    <m:r>
                      <m:rPr>
                        <m:sty m:val="p"/>
                      </m:rPr>
                      <m:t>,</m:t>
                    </m:r>
                    <m:r>
                      <m:rPr>
                        <m:sty m:val="p"/>
                      </m:rPr>
                      <m:t>+</m:t>
                    </m:r>
                    <m:r>
                      <m:t>0.18</m:t>
                    </m:r>
                    <m:r>
                      <m:rPr>
                        <m:sty m:val="p"/>
                      </m:rPr>
                      <m:t>]</m:t>
                    </m:r>
                  </m:oMath>
                </w:p>
              </w:tc>
              <w:tc>
                <w:tcPr/>
                <w:p>
                  <w:pPr>
                    <w:pStyle w:val="Compact"/>
                    <w:jc w:val="center"/>
                    <w:jc w:val="center"/>
                  </w:pPr>
                  <m:oMath>
                    <m:r>
                      <m:rPr>
                        <m:sty m:val="p"/>
                      </m:rPr>
                      <m:t>−</m:t>
                    </m:r>
                    <m:r>
                      <m:t>0.66</m:t>
                    </m:r>
                  </m:oMath>
                  <w:r>
                    <w:t xml:space="preserve"> </w:t>
                  </w:r>
                  <w:r>
                    <w:t xml:space="preserve">mm</w:t>
                  </w:r>
                </w:p>
              </w:tc>
            </w:tr>
            <w:tr>
              <w:tc>
                <w:tcPr/>
                <w:p>
                  <w:pPr>
                    <w:pStyle w:val="Compact"/>
                    <w:jc w:val="left"/>
                    <w:jc w:val="center"/>
                  </w:pPr>
                  <w:r>
                    <w:rPr>
                      <w:b/>
                      <w:bCs/>
                    </w:rPr>
                    <w:t xml:space="preserve">T2. Jirinec Passerines (All Sexes)</w:t>
                  </w:r>
                </w:p>
              </w:tc>
              <w:tc>
                <w:tcPr/>
                <w:p>
                  <w:pPr>
                    <w:pStyle w:val="Compact"/>
                    <w:jc w:val="left"/>
                    <w:jc w:val="center"/>
                  </w:pPr>
                  <w:r>
                    <w:t xml:space="preserve">Body mass</w:t>
                  </w:r>
                </w:p>
              </w:tc>
              <w:tc>
                <w:tcPr/>
                <w:p>
                  <w:pPr>
                    <w:pStyle w:val="Compact"/>
                    <w:jc w:val="left"/>
                    <w:jc w:val="center"/>
                  </w:pPr>
                  <w:r>
                    <w:t xml:space="preserve">Passerines, All Sexes, Jirinec temporal coverage</w:t>
                  </w:r>
                </w:p>
              </w:tc>
              <w:tc>
                <w:tcPr/>
                <w:p>
                  <w:pPr>
                    <w:pStyle w:val="Compact"/>
                    <w:jc w:val="center"/>
                    <w:jc w:val="center"/>
                  </w:pPr>
                  <w:r>
                    <w:t xml:space="preserve">41,258</w:t>
                  </w:r>
                </w:p>
              </w:tc>
              <w:tc>
                <w:tcPr/>
                <w:p>
                  <w:pPr>
                    <w:pStyle w:val="Compact"/>
                    <w:jc w:val="center"/>
                    <w:jc w:val="center"/>
                  </w:pPr>
                  <w:r>
                    <w:t xml:space="preserve">191</w:t>
                  </w:r>
                </w:p>
              </w:tc>
              <w:tc>
                <w:tcPr/>
                <w:p>
                  <w:pPr>
                    <w:pStyle w:val="Compact"/>
                    <w:jc w:val="center"/>
                    <w:jc w:val="center"/>
                  </w:pPr>
                  <w:r>
                    <w:t xml:space="preserve">1995–2018</w:t>
                  </w:r>
                </w:p>
              </w:tc>
              <w:tc>
                <w:tcPr/>
                <w:p>
                  <w:pPr>
                    <w:pStyle w:val="Compact"/>
                    <w:jc w:val="center"/>
                    <w:jc w:val="center"/>
                  </w:pPr>
                  <m:oMath>
                    <m:r>
                      <m:rPr>
                        <m:sty m:val="p"/>
                      </m:rPr>
                      <m:t>−</m:t>
                    </m:r>
                    <m:r>
                      <m:t>1.46</m:t>
                    </m:r>
                    <m:r>
                      <m:rPr>
                        <m:sty m:val="p"/>
                      </m:rPr>
                      <m:t>%</m:t>
                    </m:r>
                  </m:oMath>
                </w:p>
              </w:tc>
              <w:tc>
                <w:tcPr/>
                <w:p>
                  <w:pPr>
                    <w:pStyle w:val="Compact"/>
                    <w:jc w:val="center"/>
                    <w:jc w:val="center"/>
                  </w:pPr>
                  <m:oMath>
                    <m:r>
                      <m:rPr>
                        <m:sty m:val="p"/>
                      </m:rPr>
                      <m:t>[</m:t>
                    </m:r>
                    <m:r>
                      <m:rPr>
                        <m:sty m:val="p"/>
                      </m:rPr>
                      <m:t>−</m:t>
                    </m:r>
                    <m:r>
                      <m:t>2.55</m:t>
                    </m:r>
                    <m:r>
                      <m:rPr>
                        <m:sty m:val="p"/>
                      </m:rPr>
                      <m:t>,</m:t>
                    </m:r>
                    <m:r>
                      <m:rPr>
                        <m:sty m:val="p"/>
                      </m:rPr>
                      <m:t>−</m:t>
                    </m:r>
                    <m:r>
                      <m:t>0.36</m:t>
                    </m:r>
                    <m:r>
                      <m:rPr>
                        <m:sty m:val="p"/>
                      </m:rPr>
                      <m:t>]</m:t>
                    </m:r>
                  </m:oMath>
                </w:p>
              </w:tc>
              <w:tc>
                <w:tcPr/>
                <w:p>
                  <w:pPr>
                    <w:pStyle w:val="Compact"/>
                    <w:jc w:val="center"/>
                    <w:jc w:val="center"/>
                  </w:pPr>
                  <m:oMath>
                    <m:r>
                      <m:rPr>
                        <m:sty m:val="p"/>
                      </m:rPr>
                      <m:t>−</m:t>
                    </m:r>
                    <m:r>
                      <m:t>0.015</m:t>
                    </m:r>
                  </m:oMath>
                  <w:r>
                    <w:t xml:space="preserve"> </w:t>
                  </w:r>
                  <w:r>
                    <w:t xml:space="preserve">log g</w:t>
                  </w:r>
                </w:p>
              </w:tc>
            </w:tr>
            <w:tr>
              <w:tc>
                <w:tcPr/>
                <w:p>
                  <w:pPr>
                    <w:pStyle w:val="Compact"/>
                    <w:jc w:val="left"/>
                    <w:jc w:val="center"/>
                  </w:pPr>
                  <w:r>
                    <w:rPr>
                      <w:b/>
                      <w:bCs/>
                    </w:rPr>
                    <w:t xml:space="preserve">T3. Jirinec Community (All Orders)</w:t>
                  </w:r>
                </w:p>
              </w:tc>
              <w:tc>
                <w:tcPr/>
                <w:p>
                  <w:pPr>
                    <w:pStyle w:val="Compact"/>
                    <w:jc w:val="left"/>
                    <w:jc w:val="center"/>
                  </w:pPr>
                  <w:r>
                    <w:t xml:space="preserve">Wing length</w:t>
                  </w:r>
                </w:p>
              </w:tc>
              <w:tc>
                <w:tcPr/>
                <w:p>
                  <w:pPr>
                    <w:pStyle w:val="Compact"/>
                    <w:jc w:val="left"/>
                    <w:jc w:val="center"/>
                  </w:pPr>
                  <w:r>
                    <w:t xml:space="preserve">All Orders, All Sexes, Jirinec temporal coverage</w:t>
                  </w:r>
                </w:p>
              </w:tc>
              <w:tc>
                <w:tcPr/>
                <w:p>
                  <w:pPr>
                    <w:pStyle w:val="Compact"/>
                    <w:jc w:val="center"/>
                    <w:jc w:val="center"/>
                  </w:pPr>
                  <w:r>
                    <w:t xml:space="preserve">31,888</w:t>
                  </w:r>
                </w:p>
              </w:tc>
              <w:tc>
                <w:tcPr/>
                <w:p>
                  <w:pPr>
                    <w:pStyle w:val="Compact"/>
                    <w:jc w:val="center"/>
                    <w:jc w:val="center"/>
                  </w:pPr>
                  <w:r>
                    <w:t xml:space="preserve">217</w:t>
                  </w:r>
                </w:p>
              </w:tc>
              <w:tc>
                <w:tcPr/>
                <w:p>
                  <w:pPr>
                    <w:pStyle w:val="Compact"/>
                    <w:jc w:val="center"/>
                    <w:jc w:val="center"/>
                  </w:pPr>
                  <w:r>
                    <w:t xml:space="preserve">1995–2018</w:t>
                  </w:r>
                </w:p>
              </w:tc>
              <w:tc>
                <w:tcPr/>
                <w:p>
                  <w:pPr>
                    <w:pStyle w:val="Compact"/>
                    <w:jc w:val="center"/>
                    <w:jc w:val="center"/>
                  </w:pPr>
                  <m:oMath>
                    <m:r>
                      <m:rPr>
                        <m:sty m:val="p"/>
                      </m:rPr>
                      <m:t>−</m:t>
                    </m:r>
                    <m:r>
                      <m:t>1.00</m:t>
                    </m:r>
                    <m:r>
                      <m:rPr>
                        <m:sty m:val="p"/>
                      </m:rPr>
                      <m:t>%</m:t>
                    </m:r>
                  </m:oMath>
                </w:p>
              </w:tc>
              <w:tc>
                <w:tcPr/>
                <w:p>
                  <w:pPr>
                    <w:pStyle w:val="Compact"/>
                    <w:jc w:val="center"/>
                    <w:jc w:val="center"/>
                  </w:pPr>
                  <m:oMath>
                    <m:r>
                      <m:rPr>
                        <m:sty m:val="p"/>
                      </m:rPr>
                      <m:t>[</m:t>
                    </m:r>
                    <m:r>
                      <m:rPr>
                        <m:sty m:val="p"/>
                      </m:rPr>
                      <m:t>−</m:t>
                    </m:r>
                    <m:r>
                      <m:t>2.09</m:t>
                    </m:r>
                    <m:r>
                      <m:rPr>
                        <m:sty m:val="p"/>
                      </m:rPr>
                      <m:t>,</m:t>
                    </m:r>
                    <m:r>
                      <m:rPr>
                        <m:sty m:val="p"/>
                      </m:rPr>
                      <m:t>+</m:t>
                    </m:r>
                    <m:r>
                      <m:t>0.09</m:t>
                    </m:r>
                    <m:r>
                      <m:rPr>
                        <m:sty m:val="p"/>
                      </m:rPr>
                      <m:t>]</m:t>
                    </m:r>
                  </m:oMath>
                </w:p>
              </w:tc>
              <w:tc>
                <w:tcPr/>
                <w:p>
                  <w:pPr>
                    <w:pStyle w:val="Compact"/>
                    <w:jc w:val="center"/>
                    <w:jc w:val="center"/>
                  </w:pPr>
                  <m:oMath>
                    <m:r>
                      <m:rPr>
                        <m:sty m:val="p"/>
                      </m:rPr>
                      <m:t>−</m:t>
                    </m:r>
                    <m:r>
                      <m:t>0.76</m:t>
                    </m:r>
                  </m:oMath>
                  <w:r>
                    <w:t xml:space="preserve"> </w:t>
                  </w:r>
                  <w:r>
                    <w:t xml:space="preserve">mm</w:t>
                  </w:r>
                </w:p>
              </w:tc>
            </w:tr>
            <w:tr>
              <w:tc>
                <w:tcPr/>
                <w:p>
                  <w:pPr>
                    <w:pStyle w:val="Compact"/>
                    <w:jc w:val="left"/>
                    <w:jc w:val="center"/>
                  </w:pPr>
                  <w:r>
                    <w:rPr>
                      <w:b/>
                      <w:bCs/>
                    </w:rPr>
                    <w:t xml:space="preserve">T3. Jirinec Community (All Orders)</w:t>
                  </w:r>
                </w:p>
              </w:tc>
              <w:tc>
                <w:tcPr/>
                <w:p>
                  <w:pPr>
                    <w:pStyle w:val="Compact"/>
                    <w:jc w:val="left"/>
                    <w:jc w:val="center"/>
                  </w:pPr>
                  <w:r>
                    <w:t xml:space="preserve">Body mass</w:t>
                  </w:r>
                </w:p>
              </w:tc>
              <w:tc>
                <w:tcPr/>
                <w:p>
                  <w:pPr>
                    <w:pStyle w:val="Compact"/>
                    <w:jc w:val="left"/>
                    <w:jc w:val="center"/>
                  </w:pPr>
                  <w:r>
                    <w:t xml:space="preserve">All Orders, All Sexes, Jirinec temporal coverage</w:t>
                  </w:r>
                </w:p>
              </w:tc>
              <w:tc>
                <w:tcPr/>
                <w:p>
                  <w:pPr>
                    <w:pStyle w:val="Compact"/>
                    <w:jc w:val="center"/>
                    <w:jc w:val="center"/>
                  </w:pPr>
                  <w:r>
                    <w:t xml:space="preserve">46,663</w:t>
                  </w:r>
                </w:p>
              </w:tc>
              <w:tc>
                <w:tcPr/>
                <w:p>
                  <w:pPr>
                    <w:pStyle w:val="Compact"/>
                    <w:jc w:val="center"/>
                    <w:jc w:val="center"/>
                  </w:pPr>
                  <w:r>
                    <w:t xml:space="preserve">243</w:t>
                  </w:r>
                </w:p>
              </w:tc>
              <w:tc>
                <w:tcPr/>
                <w:p>
                  <w:pPr>
                    <w:pStyle w:val="Compact"/>
                    <w:jc w:val="center"/>
                    <w:jc w:val="center"/>
                  </w:pPr>
                  <w:r>
                    <w:t xml:space="preserve">1995–2018</w:t>
                  </w:r>
                </w:p>
              </w:tc>
              <w:tc>
                <w:tcPr/>
                <w:p>
                  <w:pPr>
                    <w:pStyle w:val="Compact"/>
                    <w:jc w:val="center"/>
                    <w:jc w:val="center"/>
                  </w:pPr>
                  <m:oMath>
                    <m:r>
                      <m:rPr>
                        <m:sty m:val="p"/>
                      </m:rPr>
                      <m:t>−</m:t>
                    </m:r>
                    <m:r>
                      <m:t>1.29</m:t>
                    </m:r>
                    <m:r>
                      <m:rPr>
                        <m:sty m:val="p"/>
                      </m:rPr>
                      <m:t>%</m:t>
                    </m:r>
                  </m:oMath>
                </w:p>
              </w:tc>
              <w:tc>
                <w:tcPr/>
                <w:p>
                  <w:pPr>
                    <w:pStyle w:val="Compact"/>
                    <w:jc w:val="center"/>
                    <w:jc w:val="center"/>
                  </w:pPr>
                  <m:oMath>
                    <m:r>
                      <m:rPr>
                        <m:sty m:val="p"/>
                      </m:rPr>
                      <m:t>[</m:t>
                    </m:r>
                    <m:r>
                      <m:rPr>
                        <m:sty m:val="p"/>
                      </m:rPr>
                      <m:t>−</m:t>
                    </m:r>
                    <m:r>
                      <m:t>2.30</m:t>
                    </m:r>
                    <m:r>
                      <m:rPr>
                        <m:sty m:val="p"/>
                      </m:rPr>
                      <m:t>,</m:t>
                    </m:r>
                    <m:r>
                      <m:rPr>
                        <m:sty m:val="p"/>
                      </m:rPr>
                      <m:t>−</m:t>
                    </m:r>
                    <m:r>
                      <m:t>0.27</m:t>
                    </m:r>
                    <m:r>
                      <m:rPr>
                        <m:sty m:val="p"/>
                      </m:rPr>
                      <m:t>]</m:t>
                    </m:r>
                  </m:oMath>
                </w:p>
              </w:tc>
              <w:tc>
                <w:tcPr/>
                <w:p>
                  <w:pPr>
                    <w:pStyle w:val="Compact"/>
                    <w:jc w:val="center"/>
                    <w:jc w:val="center"/>
                  </w:pPr>
                  <m:oMath>
                    <m:r>
                      <m:rPr>
                        <m:sty m:val="p"/>
                      </m:rPr>
                      <m:t>−</m:t>
                    </m:r>
                    <m:r>
                      <m:t>0.013</m:t>
                    </m:r>
                  </m:oMath>
                  <w:r>
                    <w:t xml:space="preserve"> </w:t>
                  </w:r>
                  <w:r>
                    <w:t xml:space="preserve">log g</w:t>
                  </w:r>
                </w:p>
              </w:tc>
            </w:tr>
            <w:tr>
              <w:tc>
                <w:tcPr/>
                <w:p>
                  <w:pPr>
                    <w:pStyle w:val="Compact"/>
                    <w:jc w:val="left"/>
                    <w:jc w:val="center"/>
                  </w:pPr>
                  <w:r>
                    <w:rPr>
                      <w:b/>
                      <w:bCs/>
                    </w:rPr>
                    <w:t xml:space="preserve">T4. Museum Historical Series</w:t>
                  </w:r>
                </w:p>
              </w:tc>
              <w:tc>
                <w:tcPr/>
                <w:p>
                  <w:pPr>
                    <w:pStyle w:val="Compact"/>
                    <w:jc w:val="left"/>
                    <w:jc w:val="center"/>
                  </w:pPr>
                  <w:r>
                    <w:t xml:space="preserve">Wing length</w:t>
                  </w:r>
                </w:p>
              </w:tc>
              <w:tc>
                <w:tcPr/>
                <w:p>
                  <w:pPr>
                    <w:pStyle w:val="Compact"/>
                    <w:jc w:val="left"/>
                    <w:jc w:val="center"/>
                  </w:pPr>
                  <w:r>
                    <w:t xml:space="preserve">Museum Study Skins only (MZUSP, MNRJ, etc.)</w:t>
                  </w:r>
                </w:p>
              </w:tc>
              <w:tc>
                <w:tcPr/>
                <w:p>
                  <w:pPr>
                    <w:pStyle w:val="Compact"/>
                    <w:jc w:val="center"/>
                    <w:jc w:val="center"/>
                  </w:pPr>
                  <w:r>
                    <w:t xml:space="preserve">3,439</w:t>
                  </w:r>
                </w:p>
              </w:tc>
              <w:tc>
                <w:tcPr/>
                <w:p>
                  <w:pPr>
                    <w:pStyle w:val="Compact"/>
                    <w:jc w:val="center"/>
                    <w:jc w:val="center"/>
                  </w:pPr>
                  <w:r>
                    <w:t xml:space="preserve">142</w:t>
                  </w:r>
                </w:p>
              </w:tc>
              <w:tc>
                <w:tcPr/>
                <w:p>
                  <w:pPr>
                    <w:pStyle w:val="Compact"/>
                    <w:jc w:val="center"/>
                    <w:jc w:val="center"/>
                  </w:pPr>
                  <w:r>
                    <w:t xml:space="preserve">1884–2017</w:t>
                  </w:r>
                </w:p>
              </w:tc>
              <w:tc>
                <w:tcPr/>
                <w:p>
                  <w:pPr>
                    <w:pStyle w:val="Compact"/>
                    <w:jc w:val="center"/>
                    <w:jc w:val="center"/>
                  </w:pPr>
                  <m:oMath>
                    <m:r>
                      <m:rPr>
                        <m:sty m:val="p"/>
                      </m:rPr>
                      <m:t>−</m:t>
                    </m:r>
                    <m:r>
                      <m:t>0.31</m:t>
                    </m:r>
                    <m:r>
                      <m:rPr>
                        <m:sty m:val="p"/>
                      </m:rPr>
                      <m:t>%</m:t>
                    </m:r>
                  </m:oMath>
                </w:p>
              </w:tc>
              <w:tc>
                <w:tcPr/>
                <w:p>
                  <w:pPr>
                    <w:pStyle w:val="Compact"/>
                    <w:jc w:val="center"/>
                    <w:jc w:val="center"/>
                  </w:pPr>
                  <m:oMath>
                    <m:r>
                      <m:rPr>
                        <m:sty m:val="p"/>
                      </m:rPr>
                      <m:t>[</m:t>
                    </m:r>
                    <m:r>
                      <m:rPr>
                        <m:sty m:val="p"/>
                      </m:rPr>
                      <m:t>−</m:t>
                    </m:r>
                    <m:r>
                      <m:t>1.95</m:t>
                    </m:r>
                    <m:r>
                      <m:rPr>
                        <m:sty m:val="p"/>
                      </m:rPr>
                      <m:t>,</m:t>
                    </m:r>
                    <m:r>
                      <m:rPr>
                        <m:sty m:val="p"/>
                      </m:rPr>
                      <m:t>+</m:t>
                    </m:r>
                    <m:r>
                      <m:t>1.34</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T5. Integrated Live + Museum</w:t>
                  </w:r>
                </w:p>
              </w:tc>
              <w:tc>
                <w:tcPr/>
                <w:p>
                  <w:pPr>
                    <w:pStyle w:val="Compact"/>
                    <w:jc w:val="left"/>
                    <w:jc w:val="center"/>
                  </w:pPr>
                  <w:r>
                    <w:t xml:space="preserve">Wing length</w:t>
                  </w:r>
                </w:p>
              </w:tc>
              <w:tc>
                <w:tcPr/>
                <w:p>
                  <w:pPr>
                    <w:pStyle w:val="Compact"/>
                    <w:jc w:val="left"/>
                    <w:jc w:val="center"/>
                  </w:pPr>
                  <w:r>
                    <w:t xml:space="preserve">Live Captures + Museum Skins (Status control)</w:t>
                  </w:r>
                </w:p>
              </w:tc>
              <w:tc>
                <w:tcPr/>
                <w:p>
                  <w:pPr>
                    <w:pStyle w:val="Compact"/>
                    <w:jc w:val="center"/>
                    <w:jc w:val="center"/>
                  </w:pPr>
                  <w:r>
                    <w:t xml:space="preserve">34,312</w:t>
                  </w:r>
                </w:p>
              </w:tc>
              <w:tc>
                <w:tcPr/>
                <w:p>
                  <w:pPr>
                    <w:pStyle w:val="Compact"/>
                    <w:jc w:val="center"/>
                    <w:jc w:val="center"/>
                  </w:pPr>
                  <w:r>
                    <w:t xml:space="preserve">184</w:t>
                  </w:r>
                </w:p>
              </w:tc>
              <w:tc>
                <w:tcPr/>
                <w:p>
                  <w:pPr>
                    <w:pStyle w:val="Compact"/>
                    <w:jc w:val="center"/>
                    <w:jc w:val="center"/>
                  </w:pPr>
                  <w:r>
                    <w:t xml:space="preserve">1884–2018</w:t>
                  </w:r>
                </w:p>
              </w:tc>
              <w:tc>
                <w:tcPr/>
                <w:p>
                  <w:pPr>
                    <w:pStyle w:val="Compact"/>
                    <w:jc w:val="center"/>
                    <w:jc w:val="center"/>
                  </w:pPr>
                  <m:oMath>
                    <m:r>
                      <m:rPr>
                        <m:sty m:val="p"/>
                      </m:rPr>
                      <m:t>−</m:t>
                    </m:r>
                    <m:r>
                      <m:t>0.36</m:t>
                    </m:r>
                    <m:r>
                      <m:rPr>
                        <m:sty m:val="p"/>
                      </m:rPr>
                      <m:t>%</m:t>
                    </m:r>
                  </m:oMath>
                </w:p>
              </w:tc>
              <w:tc>
                <w:tcPr/>
                <w:p>
                  <w:pPr>
                    <w:pStyle w:val="Compact"/>
                    <w:jc w:val="center"/>
                    <w:jc w:val="center"/>
                  </w:pPr>
                  <m:oMath>
                    <m:r>
                      <m:rPr>
                        <m:sty m:val="p"/>
                      </m:rPr>
                      <m:t>[</m:t>
                    </m:r>
                    <m:r>
                      <m:rPr>
                        <m:sty m:val="p"/>
                      </m:rPr>
                      <m:t>−</m:t>
                    </m:r>
                    <m:r>
                      <m:t>0.92</m:t>
                    </m:r>
                    <m:r>
                      <m:rPr>
                        <m:sty m:val="p"/>
                      </m:rPr>
                      <m:t>,</m:t>
                    </m:r>
                    <m:r>
                      <m:rPr>
                        <m:sty m:val="p"/>
                      </m:rPr>
                      <m:t>+</m:t>
                    </m:r>
                    <m:r>
                      <m:t>0.20</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T6. Spanning Species Cohort</w:t>
                  </w:r>
                </w:p>
              </w:tc>
              <w:tc>
                <w:tcPr/>
                <w:p>
                  <w:pPr>
                    <w:pStyle w:val="Compact"/>
                    <w:jc w:val="left"/>
                    <w:jc w:val="center"/>
                  </w:pPr>
                  <w:r>
                    <w:t xml:space="preserve">Wing length</w:t>
                  </w:r>
                </w:p>
              </w:tc>
              <w:tc>
                <w:tcPr/>
                <w:p>
                  <w:pPr>
                    <w:pStyle w:val="Compact"/>
                    <w:jc w:val="left"/>
                    <w:jc w:val="center"/>
                  </w:pPr>
                  <w:r>
                    <w:t xml:space="preserve">175 Species sampled in both Historical and Modern eras</w:t>
                  </w:r>
                </w:p>
              </w:tc>
              <w:tc>
                <w:tcPr/>
                <w:p>
                  <w:pPr>
                    <w:pStyle w:val="Compact"/>
                    <w:jc w:val="center"/>
                    <w:jc w:val="center"/>
                  </w:pPr>
                  <w:r>
                    <w:t xml:space="preserve">24,583</w:t>
                  </w:r>
                </w:p>
              </w:tc>
              <w:tc>
                <w:tcPr/>
                <w:p>
                  <w:pPr>
                    <w:pStyle w:val="Compact"/>
                    <w:jc w:val="center"/>
                    <w:jc w:val="center"/>
                  </w:pPr>
                  <w:r>
                    <w:t xml:space="preserve">175</w:t>
                  </w:r>
                </w:p>
              </w:tc>
              <w:tc>
                <w:tcPr/>
                <w:p>
                  <w:pPr>
                    <w:pStyle w:val="Compact"/>
                    <w:jc w:val="center"/>
                    <w:jc w:val="center"/>
                  </w:pPr>
                  <w:r>
                    <w:t xml:space="preserve">1884–2018</w:t>
                  </w:r>
                </w:p>
              </w:tc>
              <w:tc>
                <w:tcPr/>
                <w:p>
                  <w:pPr>
                    <w:pStyle w:val="Compact"/>
                    <w:jc w:val="center"/>
                    <w:jc w:val="center"/>
                  </w:pPr>
                  <m:oMath>
                    <m:r>
                      <m:rPr>
                        <m:sty m:val="p"/>
                      </m:rPr>
                      <m:t>−</m:t>
                    </m:r>
                    <m:r>
                      <m:t>0.71</m:t>
                    </m:r>
                    <m:r>
                      <m:rPr>
                        <m:sty m:val="p"/>
                      </m:rPr>
                      <m:t>%</m:t>
                    </m:r>
                  </m:oMath>
                </w:p>
              </w:tc>
              <w:tc>
                <w:tcPr/>
                <w:p>
                  <w:pPr>
                    <w:pStyle w:val="Compact"/>
                    <w:jc w:val="center"/>
                    <w:jc w:val="center"/>
                  </w:pPr>
                  <m:oMath>
                    <m:r>
                      <m:rPr>
                        <m:sty m:val="p"/>
                      </m:rPr>
                      <m:t>[</m:t>
                    </m:r>
                    <m:r>
                      <m:rPr>
                        <m:sty m:val="p"/>
                      </m:rPr>
                      <m:t>−</m:t>
                    </m:r>
                    <m:r>
                      <m:t>1.41</m:t>
                    </m:r>
                    <m:r>
                      <m:rPr>
                        <m:sty m:val="p"/>
                      </m:rPr>
                      <m:t>,</m:t>
                    </m:r>
                    <m:r>
                      <m:rPr>
                        <m:sty m:val="p"/>
                      </m:rPr>
                      <m:t>−</m:t>
                    </m:r>
                    <m:r>
                      <m:t>0.01</m:t>
                    </m:r>
                    <m:r>
                      <m:rPr>
                        <m:sty m:val="p"/>
                      </m:rPr>
                      <m:t>]</m:t>
                    </m:r>
                  </m:oMath>
                </w:p>
              </w:tc>
              <w:tc>
                <w:tcPr/>
                <w:p>
                  <w:pPr>
                    <w:pStyle w:val="Compact"/>
                    <w:jc w:val="center"/>
                    <w:jc w:val="center"/>
                  </w:pPr>
                  <m:oMath>
                    <m:r>
                      <m:rPr>
                        <m:sty m:val="p"/>
                      </m:rPr>
                      <m:t>−</m:t>
                    </m:r>
                    <m:r>
                      <m:t>0.55</m:t>
                    </m:r>
                  </m:oMath>
                  <w:r>
                    <w:t xml:space="preserve"> </w:t>
                  </w:r>
                  <w:r>
                    <w:t xml:space="preserve">mm</w:t>
                  </w:r>
                </w:p>
              </w:tc>
            </w:tr>
          </w:tbl>
          <w:bookmarkEnd w:id="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s-wing"/>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264"/>
              <w:gridCol w:w="990"/>
              <w:gridCol w:w="1142"/>
              <w:gridCol w:w="1066"/>
              <w:gridCol w:w="456"/>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Contributor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tbl-s-mass"/>
          <w:p>
            <w:pPr>
              <w:jc w:val="center"/>
            </w:pPr>
            <w:pPr>
              <w:jc w:val="left"/>
              <w:spacing w:before="200"/>
              <w:pStyle w:val="ImageCaption"/>
            </w:pPr>
            <w:r>
              <w:t xml:space="preserve">Table 4:</w:t>
            </w:r>
            <w:r>
              <w:t xml:space="preserve"> </w:t>
            </w:r>
            <w:r>
              <w:rPr>
                <w:b/>
                <w:bCs/>
              </w:rPr>
              <w:t xml:space="preserve">Supplementary Table S3.</w:t>
            </w:r>
            <w:r>
              <w:t xml:space="preserve"> </w:t>
            </w:r>
            <w:r>
              <w:t xml:space="preserve">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Contributor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(Contributor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(Contributor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62"/>
          <w:p/>
        </w:tc>
      </w:tr>
    </w:tbl>
    <w:p>
      <w:r>
        <w:pict>
          <v:rect style="width:0;height:1.5pt" o:hralign="center" o:hrstd="t" o:hr="t"/>
        </w:pict>
      </w:r>
    </w:p>
    <w:bookmarkEnd w:id="63"/>
    <w:bookmarkStart w:id="86" w:name="references"/>
    <w:p>
      <w:pPr>
        <w:pStyle w:val="Heading1"/>
      </w:pPr>
      <w:r>
        <w:t xml:space="preserve">References</w:t>
      </w:r>
    </w:p>
    <w:bookmarkStart w:id="85" w:name="refs"/>
    <w:bookmarkStart w:id="6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4">
        <w:r>
          <w:rPr>
            <w:rStyle w:val="Hyperlink"/>
          </w:rPr>
          <w:t xml:space="preserve">https://doi.org/10.1007/s11135-018-0802-x</w:t>
        </w:r>
      </w:hyperlink>
      <w:r>
        <w:t xml:space="preserve">.</w:t>
      </w:r>
    </w:p>
    <w:bookmarkEnd w:id="65"/>
    <w:bookmarkStart w:id="6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66">
        <w:r>
          <w:rPr>
            <w:rStyle w:val="Hyperlink"/>
          </w:rPr>
          <w:t xml:space="preserve">https://doi.org/10.1038/s41597-020-0453-3</w:t>
        </w:r>
      </w:hyperlink>
      <w:r>
        <w:t xml:space="preserve">.</w:t>
      </w:r>
    </w:p>
    <w:bookmarkEnd w:id="67"/>
    <w:bookmarkStart w:id="68"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68"/>
    <w:bookmarkStart w:id="70"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69">
        <w:r>
          <w:rPr>
            <w:rStyle w:val="Hyperlink"/>
          </w:rPr>
          <w:t xml:space="preserve">https://doi.org/10.1126/sciadv.abk1743</w:t>
        </w:r>
      </w:hyperlink>
      <w:r>
        <w:t xml:space="preserve">.</w:t>
      </w:r>
    </w:p>
    <w:bookmarkEnd w:id="70"/>
    <w:bookmarkStart w:id="72"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71">
        <w:r>
          <w:rPr>
            <w:rStyle w:val="Hyperlink"/>
          </w:rPr>
          <w:t xml:space="preserve">https://doi.org/10.1029/2018JD029522</w:t>
        </w:r>
      </w:hyperlink>
      <w:r>
        <w:t xml:space="preserve">.</w:t>
      </w:r>
    </w:p>
    <w:bookmarkEnd w:id="72"/>
    <w:bookmarkStart w:id="74"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73">
        <w:r>
          <w:rPr>
            <w:rStyle w:val="Hyperlink"/>
          </w:rPr>
          <w:t xml:space="preserve">https://doi.org/10.1098/rsbl.2022.0219</w:t>
        </w:r>
      </w:hyperlink>
      <w:r>
        <w:t xml:space="preserve">.</w:t>
      </w:r>
    </w:p>
    <w:bookmarkEnd w:id="74"/>
    <w:bookmarkStart w:id="76"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75">
        <w:r>
          <w:rPr>
            <w:rStyle w:val="Hyperlink"/>
          </w:rPr>
          <w:t xml:space="preserve">https://doi.org/10.1002/sim.1545</w:t>
        </w:r>
      </w:hyperlink>
      <w:r>
        <w:t xml:space="preserve">.</w:t>
      </w:r>
    </w:p>
    <w:bookmarkEnd w:id="76"/>
    <w:bookmarkStart w:id="78"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77">
        <w:r>
          <w:rPr>
            <w:rStyle w:val="Hyperlink"/>
          </w:rPr>
          <w:t xml:space="preserve">https://doi.org/10.2307/1913646</w:t>
        </w:r>
      </w:hyperlink>
      <w:r>
        <w:t xml:space="preserve">.</w:t>
      </w:r>
    </w:p>
    <w:bookmarkEnd w:id="78"/>
    <w:bookmarkStart w:id="80"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79">
        <w:r>
          <w:rPr>
            <w:rStyle w:val="Hyperlink"/>
          </w:rPr>
          <w:t xml:space="preserve">https://doi.org/10.1002/ecy.2647</w:t>
        </w:r>
      </w:hyperlink>
      <w:r>
        <w:t xml:space="preserve">.</w:t>
      </w:r>
    </w:p>
    <w:bookmarkEnd w:id="80"/>
    <w:bookmarkStart w:id="82"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81">
        <w:r>
          <w:rPr>
            <w:rStyle w:val="Hyperlink"/>
          </w:rPr>
          <w:t xml:space="preserve">https://doi.org/10.1002/ecy.3580</w:t>
        </w:r>
      </w:hyperlink>
      <w:r>
        <w:t xml:space="preserve">.</w:t>
      </w:r>
    </w:p>
    <w:bookmarkEnd w:id="82"/>
    <w:bookmarkStart w:id="84"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83">
        <w:r>
          <w:rPr>
            <w:rStyle w:val="Hyperlink"/>
          </w:rPr>
          <w:t xml:space="preserve">https://doi.org/10.1111/ele.13434</w:t>
        </w:r>
      </w:hyperlink>
      <w:r>
        <w:t xml:space="preserve">.</w:t>
      </w:r>
    </w:p>
    <w:bookmarkEnd w:id="84"/>
    <w:bookmarkEnd w:id="85"/>
    <w:bookmarkEnd w:id="86"/>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50" Target="media/rId50.png" /><Relationship Type="http://schemas.openxmlformats.org/officeDocument/2006/relationships/hyperlink" Id="rId79" Target="https://doi.org/10.1002/ecy.2647" TargetMode="External" /><Relationship Type="http://schemas.openxmlformats.org/officeDocument/2006/relationships/hyperlink" Id="rId81" Target="https://doi.org/10.1002/ecy.3580" TargetMode="External" /><Relationship Type="http://schemas.openxmlformats.org/officeDocument/2006/relationships/hyperlink" Id="rId75" Target="https://doi.org/10.1002/sim.1545" TargetMode="External" /><Relationship Type="http://schemas.openxmlformats.org/officeDocument/2006/relationships/hyperlink" Id="rId64" Target="https://doi.org/10.1007/s11135-018-0802-x" TargetMode="External" /><Relationship Type="http://schemas.openxmlformats.org/officeDocument/2006/relationships/hyperlink" Id="rId71" Target="https://doi.org/10.1029/2018JD029522" TargetMode="External" /><Relationship Type="http://schemas.openxmlformats.org/officeDocument/2006/relationships/hyperlink" Id="rId66" Target="https://doi.org/10.1038/s41597-020-0453-3" TargetMode="External" /><Relationship Type="http://schemas.openxmlformats.org/officeDocument/2006/relationships/hyperlink" Id="rId73" Target="https://doi.org/10.1098/rsbl.2022.0219" TargetMode="External" /><Relationship Type="http://schemas.openxmlformats.org/officeDocument/2006/relationships/hyperlink" Id="rId83" Target="https://doi.org/10.1111/ele.13434" TargetMode="External" /><Relationship Type="http://schemas.openxmlformats.org/officeDocument/2006/relationships/hyperlink" Id="rId69" Target="https://doi.org/10.1126/sciadv.abk1743" TargetMode="External" /><Relationship Type="http://schemas.openxmlformats.org/officeDocument/2006/relationships/hyperlink" Id="rId77"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2/ecy.2647" TargetMode="External" /><Relationship Type="http://schemas.openxmlformats.org/officeDocument/2006/relationships/hyperlink" Id="rId81" Target="https://doi.org/10.1002/ecy.3580" TargetMode="External" /><Relationship Type="http://schemas.openxmlformats.org/officeDocument/2006/relationships/hyperlink" Id="rId75" Target="https://doi.org/10.1002/sim.1545" TargetMode="External" /><Relationship Type="http://schemas.openxmlformats.org/officeDocument/2006/relationships/hyperlink" Id="rId64" Target="https://doi.org/10.1007/s11135-018-0802-x" TargetMode="External" /><Relationship Type="http://schemas.openxmlformats.org/officeDocument/2006/relationships/hyperlink" Id="rId71" Target="https://doi.org/10.1029/2018JD029522" TargetMode="External" /><Relationship Type="http://schemas.openxmlformats.org/officeDocument/2006/relationships/hyperlink" Id="rId66" Target="https://doi.org/10.1038/s41597-020-0453-3" TargetMode="External" /><Relationship Type="http://schemas.openxmlformats.org/officeDocument/2006/relationships/hyperlink" Id="rId73" Target="https://doi.org/10.1098/rsbl.2022.0219" TargetMode="External" /><Relationship Type="http://schemas.openxmlformats.org/officeDocument/2006/relationships/hyperlink" Id="rId83" Target="https://doi.org/10.1111/ele.13434" TargetMode="External" /><Relationship Type="http://schemas.openxmlformats.org/officeDocument/2006/relationships/hyperlink" Id="rId69" Target="https://doi.org/10.1126/sciadv.abk1743" TargetMode="External" /><Relationship Type="http://schemas.openxmlformats.org/officeDocument/2006/relationships/hyperlink" Id="rId77"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2026-09-19T17:42:28Z</dcterms:created>
  <dcterms:modified xsi:type="dcterms:W3CDTF">2026-09-19T17:42:28Z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