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6.png" ContentType="image/png"/>
  <Override PartName="/word/media/rId9.png" ContentType="image/png"/>
  <Override PartName="/word/media/rId12.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 Morphological stability and subtle phenotypic shifts in Atlantic Forest birds across two decades of climate warming</w:t>
      </w:r>
    </w:p>
    <w:p>
      <w:pPr>
        <w:pStyle w:val="Author"/>
      </w:pPr>
      <w:r>
        <w:t xml:space="preserve">Eduardo S.A. Santos</w:t>
      </w:r>
    </w:p>
    <w:p>
      <w:pPr>
        <w:pStyle w:val="Author"/>
      </w:pPr>
      <w:r>
        <w:t xml:space="preserve">Ayumi Mizuno</w:t>
      </w:r>
    </w:p>
    <w:p>
      <w:pPr>
        <w:pStyle w:val="Author"/>
      </w:pPr>
      <w:r>
        <w:t xml:space="preserve">Santiago Ortega</w:t>
      </w:r>
    </w:p>
    <w:p>
      <w:pPr>
        <w:pStyle w:val="Author"/>
      </w:pPr>
      <w:r>
        <w:t xml:space="preserve">Gustavo Burin</w:t>
      </w:r>
    </w:p>
    <w:bookmarkStart w:id="25" w:name="supplementary-notes"/>
    <w:p>
      <w:pPr>
        <w:pStyle w:val="Heading1"/>
      </w:pPr>
      <w:r>
        <w:t xml:space="preserve">1. Supplementary Notes</w:t>
      </w:r>
    </w:p>
    <w:bookmarkStart w:id="15" w:name="X4e68c3f739274d45bc5ddc3a85669f9b6075ca9"/>
    <w:p>
      <w:pPr>
        <w:pStyle w:val="Heading2"/>
      </w:pPr>
      <w:r>
        <w:t xml:space="preserve">1.1 Supplementary Note S1: Macroecological Provenance and Contributor Turnover</w:t>
      </w:r>
    </w:p>
    <w:p>
      <w:pPr>
        <w:pStyle w:val="FirstParagraph"/>
      </w:pPr>
      <w:r>
        <w:t xml:space="preserve">Large-scale biodiversity trait compilations aggregate measurements across numerous independent research initiatives spanning wide geographical territories and multiple decades</w:t>
      </w:r>
      <w:r>
        <w:t xml:space="preserve"> </w:t>
      </w:r>
      <w:r>
        <w:t xml:space="preserve">(Rodrigues et al. 2019)</w:t>
      </w:r>
      <w:r>
        <w:t xml:space="preserve">. In our analytical sample from the ATLANTIC BIRD TRAITS database, 47 contributors (research groups, identified by their principal investigator) carried out field mist-netting in 153 municipalities between 1995 and 2018 (42 contributors and 130 municipalities in the wing sample; Fig. S1).</w:t>
      </w:r>
    </w:p>
    <w:p>
      <w:pPr>
        <w:pStyle w:val="BodyText"/>
      </w:pPr>
      <w:r>
        <w:t xml:space="preserve">A provenance audit revealed substantial compositional turnover among active research teams over time: only 6 of the 42 contributors in the wing sample sampled birds in both the early period (1995–2006; 12 active contributors) and the late period (2013–2018; 33 active contributors; Fig. S1). Furthermore, spatial sampling expanded northward and into higher-elevation montane habitats during the latter half of the time series. In avian morphometrics, differences between observers can be of the same order as the temporal changes of interest</w:t>
      </w:r>
      <w:r>
        <w:t xml:space="preserve"> </w:t>
      </w:r>
      <w:r>
        <w:t xml:space="preserve">(Yezerinac et al. 1992)</w:t>
      </w:r>
      <w:r>
        <w:t xml:space="preserve">, and the column that supplied the analysed wing length also changed over time (Fig. S2). When contributor identity is left uncontrolled, compositional turnover can mimic temporal phenotypic change: the unadjusted wing-length decline attenuates by approximately 60% once contributor, municipality and the other covariates are modelled (Table S1), and the apparent trends in bill width and trait variance do not persist.</w:t>
      </w:r>
    </w:p>
    <w:p>
      <w:pPr>
        <w:pStyle w:val="BodyText"/>
      </w:pPr>
      <w:r>
        <w:t xml:space="preserve">To resolve genuine biological change from sampling turnover, all models beyond the baseline incorporate random intercepts for contributor and municipality (</w:t>
      </w:r>
      <w:r>
        <w:rPr>
          <w:rStyle w:val="VerbatimChar"/>
        </w:rPr>
        <w:t xml:space="preserve">(1 | Main_researcher)</w:t>
      </w:r>
      <w:r>
        <w:t xml:space="preserve">,</w:t>
      </w:r>
      <w:r>
        <w:t xml:space="preserve"> </w:t>
      </w:r>
      <w:r>
        <w:rPr>
          <w:rStyle w:val="VerbatimChar"/>
        </w:rPr>
        <w:t xml:space="preserve">(1 | Municipality)</w:t>
      </w:r>
      <w:r>
        <w:t xml:space="preserve">). Within-between random effects models [Mundlak REWB;</w:t>
      </w:r>
      <w:r>
        <w:t xml:space="preserve"> </w:t>
      </w:r>
      <w:r>
        <w:t xml:space="preserve">Mundlak (1978)</w:t>
      </w:r>
      <w:r>
        <w:t xml:space="preserve">;</w:t>
      </w:r>
      <w:r>
        <w:t xml:space="preserve"> </w:t>
      </w:r>
      <w:r>
        <w:t xml:space="preserve">Bell et al. (2019)</w:t>
      </w:r>
      <w:r>
        <w:t xml:space="preserve">] do not detect directional change within contributors, but estimate it imprecisely (within-contributor wing slope: −0.3 mm/decade, 95% CI: −1.6 to 1.0; complete cases: 0.1 mm/decade, 95% CI: −1.2 to 1.3; REML).</w:t>
      </w:r>
    </w:p>
    <w:p>
      <w:pPr>
        <w:pStyle w:val="CaptionedFigure"/>
      </w:pPr>
      <w:r>
        <w:drawing>
          <wp:inline>
            <wp:extent cx="5334000" cy="3923809"/>
            <wp:effectExtent b="0" l="0" r="0" t="0"/>
            <wp:docPr descr="Supplementary Figure S1. Temporal distribution of live-capture passerine wing records across contributors (1995–2018). (Top) Number of wing records per calendar year, stacked by the 12 largest research contributors (and an aggregated “Other (30)” category). Daggers (†) mark contributors that sampled birds in both the early (1995–2006) and late (2013–2018) periods. (Bottom) Number of active research contributors per calendar year." title="" id="10" name="Picture"/>
            <a:graphic>
              <a:graphicData uri="http://schemas.openxmlformats.org/drawingml/2006/picture">
                <pic:pic>
                  <pic:nvPicPr>
                    <pic:cNvPr descr="images/fig-s-records-by-source.png" id="11" name="Picture"/>
                    <pic:cNvPicPr>
                      <a:picLocks noChangeArrowheads="1" noChangeAspect="1"/>
                    </pic:cNvPicPr>
                  </pic:nvPicPr>
                  <pic:blipFill>
                    <a:blip r:embed="rId9"/>
                    <a:stretch>
                      <a:fillRect/>
                    </a:stretch>
                  </pic:blipFill>
                  <pic:spPr bwMode="auto">
                    <a:xfrm>
                      <a:off x="0" y="0"/>
                      <a:ext cx="5334000" cy="3923809"/>
                    </a:xfrm>
                    <a:prstGeom prst="rect">
                      <a:avLst/>
                    </a:prstGeom>
                    <a:noFill/>
                    <a:ln w="9525">
                      <a:noFill/>
                      <a:headEnd/>
                      <a:tailEnd/>
                    </a:ln>
                  </pic:spPr>
                </pic:pic>
              </a:graphicData>
            </a:graphic>
          </wp:inline>
        </w:drawing>
      </w:r>
    </w:p>
    <w:p>
      <w:pPr>
        <w:pStyle w:val="ImageCaption"/>
      </w:pPr>
      <w:r>
        <w:rPr>
          <w:b/>
          <w:bCs/>
        </w:rPr>
        <w:t xml:space="preserve">Supplementary Figure S1.</w:t>
      </w:r>
      <w:r>
        <w:t xml:space="preserve"> </w:t>
      </w:r>
      <w:r>
        <w:t xml:space="preserve">Temporal distribution of live-capture passerine wing records across contributors (1995–2018). (Top) Number of wing records per calendar year, stacked by the 12 largest research contributors (and an aggregated</w:t>
      </w:r>
      <w:r>
        <w:t xml:space="preserve"> </w:t>
      </w:r>
      <w:r>
        <w:t xml:space="preserve">“Other (30)”</w:t>
      </w:r>
      <w:r>
        <w:t xml:space="preserve"> </w:t>
      </w:r>
      <w:r>
        <w:t xml:space="preserve">category). Daggers (†) mark contributors that sampled birds in both the early (1995–2006) and late (2013–2018) periods. (Bottom) Number of active research contributors per calendar year.</w:t>
      </w:r>
    </w:p>
    <w:p>
      <w:pPr>
        <w:pStyle w:val="CaptionedFigure"/>
      </w:pPr>
      <w:r>
        <w:drawing>
          <wp:inline>
            <wp:extent cx="5334000" cy="2790028"/>
            <wp:effectExtent b="0" l="0" r="0" t="0"/>
            <wp:docPr descr="Supplementary Figure S2. Share of wing records by the wing-length column that supplied the analysed (coalesced) value, by year (priority: right, then left, then side-unspecified). Sample sizes (n) above bars are the annual numbers of wing records." title="" id="13" name="Picture"/>
            <a:graphic>
              <a:graphicData uri="http://schemas.openxmlformats.org/drawingml/2006/picture">
                <pic:pic>
                  <pic:nvPicPr>
                    <pic:cNvPr descr="images/fig-s-wingcol.png" id="14" name="Picture"/>
                    <pic:cNvPicPr>
                      <a:picLocks noChangeArrowheads="1" noChangeAspect="1"/>
                    </pic:cNvPicPr>
                  </pic:nvPicPr>
                  <pic:blipFill>
                    <a:blip r:embed="rId12"/>
                    <a:stretch>
                      <a:fillRect/>
                    </a:stretch>
                  </pic:blipFill>
                  <pic:spPr bwMode="auto">
                    <a:xfrm>
                      <a:off x="0" y="0"/>
                      <a:ext cx="5334000" cy="2790028"/>
                    </a:xfrm>
                    <a:prstGeom prst="rect">
                      <a:avLst/>
                    </a:prstGeom>
                    <a:noFill/>
                    <a:ln w="9525">
                      <a:noFill/>
                      <a:headEnd/>
                      <a:tailEnd/>
                    </a:ln>
                  </pic:spPr>
                </pic:pic>
              </a:graphicData>
            </a:graphic>
          </wp:inline>
        </w:drawing>
      </w:r>
    </w:p>
    <w:p>
      <w:pPr>
        <w:pStyle w:val="ImageCaption"/>
      </w:pPr>
      <w:r>
        <w:rPr>
          <w:b/>
          <w:bCs/>
        </w:rPr>
        <w:t xml:space="preserve">Supplementary Figure S2.</w:t>
      </w:r>
      <w:r>
        <w:t xml:space="preserve"> </w:t>
      </w:r>
      <w:r>
        <w:t xml:space="preserve">Share of wing records by the wing-length column that supplied the analysed (coalesced) value, by year (priority: right, then left, then side-unspecified). Sample sizes (</w:t>
      </w:r>
      <m:oMath>
        <m:r>
          <m:t>n</m:t>
        </m:r>
      </m:oMath>
      <w:r>
        <w:t xml:space="preserve">) above bars are the annual numbers of wing records.</w:t>
      </w:r>
    </w:p>
    <w:bookmarkEnd w:id="15"/>
    <w:bookmarkStart w:id="19" w:name="X2a7d5ad898091d94dab06be2b3f008a84b76bb1"/>
    <w:p>
      <w:pPr>
        <w:pStyle w:val="Heading2"/>
      </w:pPr>
      <w:r>
        <w:t xml:space="preserve">1.2 Supplementary Note S2: Regional Environmental and Climatic Trends (1995–2018)</w:t>
      </w:r>
    </w:p>
    <w:p>
      <w:pPr>
        <w:pStyle w:val="FirstParagraph"/>
      </w:pPr>
      <w:r>
        <w:t xml:space="preserve">We extracted monthly climate data from the WorldClim 2.1 historical monthly weather series [CRU-TS 4.09 downscaled to 2.5 arc-min;</w:t>
      </w:r>
      <w:r>
        <w:t xml:space="preserve"> </w:t>
      </w:r>
      <w:r>
        <w:t xml:space="preserve">Harris et al. (2020)</w:t>
      </w:r>
      <w:r>
        <w:t xml:space="preserve">;</w:t>
      </w:r>
      <w:r>
        <w:t xml:space="preserve"> </w:t>
      </w:r>
      <w:r>
        <w:t xml:space="preserve">Fick and Hijmans (2017)</w:t>
      </w:r>
      <w:r>
        <w:t xml:space="preserve">] at the capture localities. Of the 455 coordinate localities, 357 had raster values; the other 98 fall outside the land mask. SPEI-12 is the standardised 12-month climatic water balance, precipitation minus potential evapotranspiration</w:t>
      </w:r>
      <w:r>
        <w:t xml:space="preserve"> </w:t>
      </w:r>
      <w:r>
        <w:t xml:space="preserve">(Vicente-Serrano et al. 2010)</w:t>
      </w:r>
      <w:r>
        <w:t xml:space="preserve">; we calculated potential evapotranspiration with the Hargreaves–Samani method, took the December value of each year, and used 1990–2018 as the reference period. Trends were estimated from the locality-by-year values with linear mixed models on year, with random intercepts and slopes for locality and a random intercept for year.</w:t>
      </w:r>
    </w:p>
    <w:p>
      <w:pPr>
        <w:pStyle w:val="BodyText"/>
      </w:pPr>
      <w:r>
        <w:t xml:space="preserve">Across sampling localities, mean annual temperature increased by +0.246°C/decade (95% CI: +0.076 to +0.415°C/decade), an average warming of +0.56°C between 1995 and 2018 (Fig. S3, top left). Warmest-quarter maximum temperature rose at a similar rate but less certainly (+0.24°C/decade, 95% CI: −0.01 to +0.48; top right). Total annual precipitation (−44.7 mm/decade, 95% CI: −123.1 to +33.7) and SPEI-12 (−0.256 units/decade, 95% CI: −0.617 to +0.105; bottom left) showed no clear directional trend. Regional environmental change across our capture sites was therefore characterised mainly by warming, without a clear multi-decadal change in moisture availability.</w:t>
      </w:r>
    </w:p>
    <w:p>
      <w:pPr>
        <w:pStyle w:val="CaptionedFigure"/>
      </w:pPr>
      <w:r>
        <w:drawing>
          <wp:inline>
            <wp:extent cx="5334000" cy="3879272"/>
            <wp:effectExtent b="0" l="0" r="0" t="0"/>
            <wp:docPr descr="Supplementary Figure S3. Climate at the 357 coordinate localities with WorldClim values (1995–2018): annual mean temperature (top left), warmest-quarter maximum temperature (top right), December SPEI-12 (bottom left), and the distribution of per-locality temperature slopes (bottom right). Thin lines show individual localities, the black line the across-locality mean, and the dashed line the pooled random-slope trend (with a year random effect; 95% CI in the panel subtitles)." title="" id="17" name="Picture"/>
            <a:graphic>
              <a:graphicData uri="http://schemas.openxmlformats.org/drawingml/2006/picture">
                <pic:pic>
                  <pic:nvPicPr>
                    <pic:cNvPr descr="images/fig-s-climate-trends.png" id="18" name="Picture"/>
                    <pic:cNvPicPr>
                      <a:picLocks noChangeArrowheads="1" noChangeAspect="1"/>
                    </pic:cNvPicPr>
                  </pic:nvPicPr>
                  <pic:blipFill>
                    <a:blip r:embed="rId16"/>
                    <a:stretch>
                      <a:fillRect/>
                    </a:stretch>
                  </pic:blipFill>
                  <pic:spPr bwMode="auto">
                    <a:xfrm>
                      <a:off x="0" y="0"/>
                      <a:ext cx="5334000" cy="3879272"/>
                    </a:xfrm>
                    <a:prstGeom prst="rect">
                      <a:avLst/>
                    </a:prstGeom>
                    <a:noFill/>
                    <a:ln w="9525">
                      <a:noFill/>
                      <a:headEnd/>
                      <a:tailEnd/>
                    </a:ln>
                  </pic:spPr>
                </pic:pic>
              </a:graphicData>
            </a:graphic>
          </wp:inline>
        </w:drawing>
      </w:r>
    </w:p>
    <w:p>
      <w:pPr>
        <w:pStyle w:val="ImageCaption"/>
      </w:pPr>
      <w:r>
        <w:rPr>
          <w:b/>
          <w:bCs/>
        </w:rPr>
        <w:t xml:space="preserve">Supplementary Figure S3.</w:t>
      </w:r>
      <w:r>
        <w:t xml:space="preserve"> </w:t>
      </w:r>
      <w:r>
        <w:t xml:space="preserve">Climate at the 357 coordinate localities with WorldClim values (1995–2018): annual mean temperature (top left), warmest-quarter maximum temperature (top right), December SPEI-12 (bottom left), and the distribution of per-locality temperature slopes (bottom right). Thin lines show individual localities, the black line the across-locality mean, and the dashed line the pooled random-slope trend (with a year random effect; 95% CI in the panel subtitles).</w:t>
      </w:r>
    </w:p>
    <w:bookmarkEnd w:id="19"/>
    <w:bookmarkStart w:id="23" w:name="X3b085c09a546f6a398ad22d31a5b80de2348c06"/>
    <w:p>
      <w:pPr>
        <w:pStyle w:val="Heading2"/>
      </w:pPr>
      <w:r>
        <w:t xml:space="preserve">1.3 Supplementary Note S3: Species-Level Phenotypic Variability (lnCVR)</w:t>
      </w:r>
    </w:p>
    <w:p>
      <w:pPr>
        <w:pStyle w:val="FirstParagraph"/>
      </w:pPr>
      <w:r>
        <w:t xml:space="preserve">The main text reports among-individual phenotypic variability from continuous heteroscedastic dispersion models. As a complementary species-level summary, we computed log coefficient-of-variation ratios (</w:t>
      </w:r>
      <m:oMath>
        <m:r>
          <m:rPr>
            <m:sty m:val="p"/>
          </m:rPr>
          <m:t>ln</m:t>
        </m:r>
        <m:r>
          <m:rPr>
            <m:nor/>
            <m:sty m:val="p"/>
          </m:rPr>
          <m:t>CVR</m:t>
        </m:r>
      </m:oMath>
      <w:r>
        <w:t xml:space="preserve">) with small-sample bias correction</w:t>
      </w:r>
      <w:r>
        <w:t xml:space="preserve"> </w:t>
      </w:r>
      <w:r>
        <w:t xml:space="preserve">(Nakagawa et al. 2015)</w:t>
      </w:r>
      <w:r>
        <w:t xml:space="preserve"> </w:t>
      </w:r>
      <w:r>
        <w:t xml:space="preserve">for every species with a standard deviation in both the early (1995–2006) and late (2013–2018) periods (at least two records per period), pooling effect sizes in random-effects meta-analytic models using</w:t>
      </w:r>
      <w:r>
        <w:t xml:space="preserve"> </w:t>
      </w:r>
      <w:r>
        <w:rPr>
          <w:rStyle w:val="VerbatimChar"/>
        </w:rPr>
        <w:t xml:space="preserve">metafor</w:t>
      </w:r>
      <w:r>
        <w:t xml:space="preserve"> </w:t>
      </w:r>
      <w:r>
        <w:t xml:space="preserve">(Viechtbauer 2010)</w:t>
      </w:r>
      <w:r>
        <w:t xml:space="preserve">. Pooled across contributors, variability appeared to increase for wing length and body mass (wing length</w:t>
      </w:r>
      <w:r>
        <w:t xml:space="preserve"> </w:t>
      </w:r>
      <m:oMath>
        <m:r>
          <m:rPr>
            <m:sty m:val="p"/>
          </m:rPr>
          <m:t>ln</m:t>
        </m:r>
        <m:r>
          <m:rPr>
            <m:nor/>
            <m:sty m:val="p"/>
          </m:rPr>
          <m:t>CVR</m:t>
        </m:r>
        <m:r>
          <m:rPr>
            <m:sty m:val="p"/>
          </m:rPr>
          <m:t>=</m:t>
        </m:r>
        <m:r>
          <m:rPr>
            <m:sty m:val="p"/>
          </m:rPr>
          <m:t>+</m:t>
        </m:r>
        <m:r>
          <m:t>0.177</m:t>
        </m:r>
      </m:oMath>
      <w:r>
        <w:t xml:space="preserve">, 95% CI: 0.031 to 0.323,</w:t>
      </w:r>
      <w:r>
        <w:t xml:space="preserve"> </w:t>
      </w:r>
      <m:oMath>
        <m:r>
          <m:t>k</m:t>
        </m:r>
        <m:r>
          <m:rPr>
            <m:sty m:val="p"/>
          </m:rPr>
          <m:t>=</m:t>
        </m:r>
        <m:r>
          <m:t>54</m:t>
        </m:r>
      </m:oMath>
      <w:r>
        <w:t xml:space="preserve">; body mass</w:t>
      </w:r>
      <w:r>
        <w:t xml:space="preserve"> </w:t>
      </w:r>
      <m:oMath>
        <m:r>
          <m:rPr>
            <m:sty m:val="p"/>
          </m:rPr>
          <m:t>+</m:t>
        </m:r>
        <m:r>
          <m:t>0.193</m:t>
        </m:r>
      </m:oMath>
      <w:r>
        <w:t xml:space="preserve">, 95% CI: 0.021 to 0.366,</w:t>
      </w:r>
      <w:r>
        <w:t xml:space="preserve"> </w:t>
      </w:r>
      <m:oMath>
        <m:r>
          <m:t>k</m:t>
        </m:r>
        <m:r>
          <m:rPr>
            <m:sty m:val="p"/>
          </m:rPr>
          <m:t>=</m:t>
        </m:r>
        <m:r>
          <m:t>57</m:t>
        </m:r>
      </m:oMath>
      <w:r>
        <w:t xml:space="preserve">; bill width</w:t>
      </w:r>
      <w:r>
        <w:t xml:space="preserve"> </w:t>
      </w:r>
      <m:oMath>
        <m:r>
          <m:rPr>
            <m:sty m:val="p"/>
          </m:rPr>
          <m:t>+</m:t>
        </m:r>
        <m:r>
          <m:t>0.068</m:t>
        </m:r>
      </m:oMath>
      <w:r>
        <w:t xml:space="preserve">, 95% CI: −0.146 to +0.282,</w:t>
      </w:r>
      <w:r>
        <w:t xml:space="preserve"> </w:t>
      </w:r>
      <m:oMath>
        <m:r>
          <m:t>k</m:t>
        </m:r>
        <m:r>
          <m:rPr>
            <m:sty m:val="p"/>
          </m:rPr>
          <m:t>=</m:t>
        </m:r>
        <m:r>
          <m:t>36</m:t>
        </m:r>
      </m:oMath>
      <w:r>
        <w:t xml:space="preserve">). For wing length, restricted to species × sex cells measured by the same contributor in both periods (at least five records per period;</w:t>
      </w:r>
      <w:r>
        <w:t xml:space="preserve"> </w:t>
      </w:r>
      <m:oMath>
        <m:r>
          <m:t>k</m:t>
        </m:r>
        <m:r>
          <m:rPr>
            <m:sty m:val="p"/>
          </m:rPr>
          <m:t>=</m:t>
        </m:r>
        <m:r>
          <m:t>15</m:t>
        </m:r>
      </m:oMath>
      <w:r>
        <w:t xml:space="preserve"> </w:t>
      </w:r>
      <w:r>
        <w:t xml:space="preserve">cells), the apparent expansion was no longer evident (</w:t>
      </w:r>
      <m:oMath>
        <m:r>
          <m:rPr>
            <m:sty m:val="p"/>
          </m:rPr>
          <m:t>ln</m:t>
        </m:r>
        <m:r>
          <m:rPr>
            <m:nor/>
            <m:sty m:val="p"/>
          </m:rPr>
          <m:t>CVR</m:t>
        </m:r>
        <m:r>
          <m:rPr>
            <m:sty m:val="p"/>
          </m:rPr>
          <m:t>=</m:t>
        </m:r>
        <m:r>
          <m:rPr>
            <m:sty m:val="p"/>
          </m:rPr>
          <m:t>−</m:t>
        </m:r>
        <m:r>
          <m:t>0.25</m:t>
        </m:r>
      </m:oMath>
      <w:r>
        <w:t xml:space="preserve">, 95% CI: −0.51 to 0.02). This subset is small and compositionally narrow: 7 of the 15 cells come from one contributor, and the estimate depends on the threshold (−0.11 with at least two records per period,</w:t>
      </w:r>
      <w:r>
        <w:t xml:space="preserve"> </w:t>
      </w:r>
      <m:oMath>
        <m:r>
          <m:t>k</m:t>
        </m:r>
        <m:r>
          <m:rPr>
            <m:sty m:val="p"/>
          </m:rPr>
          <m:t>=</m:t>
        </m:r>
        <m:r>
          <m:t>58</m:t>
        </m:r>
      </m:oMath>
      <w:r>
        <w:t xml:space="preserve">; −0.42 with at least ten,</w:t>
      </w:r>
      <w:r>
        <w:t xml:space="preserve"> </w:t>
      </w:r>
      <m:oMath>
        <m:r>
          <m:t>k</m:t>
        </m:r>
        <m:r>
          <m:rPr>
            <m:sty m:val="p"/>
          </m:rPr>
          <m:t>=</m:t>
        </m:r>
        <m:r>
          <m:t>4</m:t>
        </m:r>
      </m:oMath>
      <w:r>
        <w:t xml:space="preserve">).</w:t>
      </w:r>
    </w:p>
    <w:p>
      <w:pPr>
        <w:pStyle w:val="CaptionedFigure"/>
      </w:pPr>
      <w:r>
        <w:drawing>
          <wp:inline>
            <wp:extent cx="5334000" cy="3270823"/>
            <wp:effectExtent b="0" l="0" r="0" t="0"/>
            <wp:docPr descr="Supplementary Figure S4. Interspecific patterns of among-individual phenotypic variability (\ln\text{CVR}) between early and late sampling periods. Forest plots display the species-level log coefficient-of-variation ratio (\ln\text{CVR}) comparing late (2013–2018) versus early (1995–2006) periods for (A) wing length (k = 54 species), (B) body mass (k = 57 species), and (C) bill width (k = 36 species) across Atlantic Forest passerines. Points and error bars represent species estimates and 95% confidence intervals; vertical lines and shaded bands represent random-effects meta-analytic means (\ln\text{CVR} = +0.177 for wing length; +0.193 for body mass; +0.068 for bill width)." title="" id="21" name="Picture"/>
            <a:graphic>
              <a:graphicData uri="http://schemas.openxmlformats.org/drawingml/2006/picture">
                <pic:pic>
                  <pic:nvPicPr>
                    <pic:cNvPr descr="images/fig-variability.png" id="22" name="Picture"/>
                    <pic:cNvPicPr>
                      <a:picLocks noChangeArrowheads="1" noChangeAspect="1"/>
                    </pic:cNvPicPr>
                  </pic:nvPicPr>
                  <pic:blipFill>
                    <a:blip r:embed="rId20"/>
                    <a:stretch>
                      <a:fillRect/>
                    </a:stretch>
                  </pic:blipFill>
                  <pic:spPr bwMode="auto">
                    <a:xfrm>
                      <a:off x="0" y="0"/>
                      <a:ext cx="5334000" cy="3270823"/>
                    </a:xfrm>
                    <a:prstGeom prst="rect">
                      <a:avLst/>
                    </a:prstGeom>
                    <a:noFill/>
                    <a:ln w="9525">
                      <a:noFill/>
                      <a:headEnd/>
                      <a:tailEnd/>
                    </a:ln>
                  </pic:spPr>
                </pic:pic>
              </a:graphicData>
            </a:graphic>
          </wp:inline>
        </w:drawing>
      </w:r>
    </w:p>
    <w:p>
      <w:pPr>
        <w:pStyle w:val="ImageCaption"/>
      </w:pPr>
      <w:r>
        <w:rPr>
          <w:b/>
          <w:bCs/>
        </w:rPr>
        <w:t xml:space="preserve">Supplementary Figure S4.</w:t>
      </w:r>
      <w:r>
        <w:t xml:space="preserve"> </w:t>
      </w:r>
      <w:r>
        <w:t xml:space="preserve">Interspecific patterns of among-individual phenotypic variability (</w:t>
      </w:r>
      <m:oMath>
        <m:r>
          <m:rPr>
            <m:sty m:val="p"/>
          </m:rPr>
          <m:t>ln</m:t>
        </m:r>
        <m:r>
          <m:rPr>
            <m:nor/>
            <m:sty m:val="p"/>
          </m:rPr>
          <m:t>CVR</m:t>
        </m:r>
      </m:oMath>
      <w:r>
        <w:t xml:space="preserve">) between early and late sampling periods. Forest plots display the species-level log coefficient-of-variation ratio (</w:t>
      </w:r>
      <m:oMath>
        <m:r>
          <m:rPr>
            <m:sty m:val="p"/>
          </m:rPr>
          <m:t>ln</m:t>
        </m:r>
        <m:r>
          <m:rPr>
            <m:nor/>
            <m:sty m:val="p"/>
          </m:rPr>
          <m:t>CVR</m:t>
        </m:r>
      </m:oMath>
      <w:r>
        <w:t xml:space="preserve">) comparing late (2013–2018) versus early (1995–2006) periods for (A) wing length (</w:t>
      </w:r>
      <m:oMath>
        <m:r>
          <m:t>k</m:t>
        </m:r>
        <m:r>
          <m:rPr>
            <m:sty m:val="p"/>
          </m:rPr>
          <m:t>=</m:t>
        </m:r>
        <m:r>
          <m:t>54</m:t>
        </m:r>
      </m:oMath>
      <w:r>
        <w:t xml:space="preserve"> </w:t>
      </w:r>
      <w:r>
        <w:t xml:space="preserve">species), (B) body mass (</w:t>
      </w:r>
      <m:oMath>
        <m:r>
          <m:t>k</m:t>
        </m:r>
        <m:r>
          <m:rPr>
            <m:sty m:val="p"/>
          </m:rPr>
          <m:t>=</m:t>
        </m:r>
        <m:r>
          <m:t>57</m:t>
        </m:r>
      </m:oMath>
      <w:r>
        <w:t xml:space="preserve"> </w:t>
      </w:r>
      <w:r>
        <w:t xml:space="preserve">species), and (C) bill width (</w:t>
      </w:r>
      <m:oMath>
        <m:r>
          <m:t>k</m:t>
        </m:r>
        <m:r>
          <m:rPr>
            <m:sty m:val="p"/>
          </m:rPr>
          <m:t>=</m:t>
        </m:r>
        <m:r>
          <m:t>36</m:t>
        </m:r>
      </m:oMath>
      <w:r>
        <w:t xml:space="preserve"> </w:t>
      </w:r>
      <w:r>
        <w:t xml:space="preserve">species) across Atlantic Forest passerines. Points and error bars represent species estimates and 95% confidence intervals; vertical lines and shaded bands represent random-effects meta-analytic means (</w:t>
      </w:r>
      <m:oMath>
        <m:r>
          <m:rPr>
            <m:sty m:val="p"/>
          </m:rPr>
          <m:t>ln</m:t>
        </m:r>
        <m:r>
          <m:rPr>
            <m:nor/>
            <m:sty m:val="p"/>
          </m:rPr>
          <m:t>CVR</m:t>
        </m:r>
        <m:r>
          <m:rPr>
            <m:sty m:val="p"/>
          </m:rPr>
          <m:t>=</m:t>
        </m:r>
        <m:r>
          <m:rPr>
            <m:sty m:val="p"/>
          </m:rPr>
          <m:t>+</m:t>
        </m:r>
        <m:r>
          <m:t>0.177</m:t>
        </m:r>
      </m:oMath>
      <w:r>
        <w:t xml:space="preserve"> </w:t>
      </w:r>
      <w:r>
        <w:t xml:space="preserve">for wing length;</w:t>
      </w:r>
      <w:r>
        <w:t xml:space="preserve"> </w:t>
      </w:r>
      <m:oMath>
        <m:r>
          <m:rPr>
            <m:sty m:val="p"/>
          </m:rPr>
          <m:t>+</m:t>
        </m:r>
        <m:r>
          <m:t>0.193</m:t>
        </m:r>
      </m:oMath>
      <w:r>
        <w:t xml:space="preserve"> </w:t>
      </w:r>
      <w:r>
        <w:t xml:space="preserve">for body mass;</w:t>
      </w:r>
      <w:r>
        <w:t xml:space="preserve"> </w:t>
      </w:r>
      <m:oMath>
        <m:r>
          <m:rPr>
            <m:sty m:val="p"/>
          </m:rPr>
          <m:t>+</m:t>
        </m:r>
        <m:r>
          <m:t>0.068</m:t>
        </m:r>
      </m:oMath>
      <w:r>
        <w:t xml:space="preserve"> </w:t>
      </w:r>
      <w:r>
        <w:t xml:space="preserve">for bill width).</w:t>
      </w:r>
    </w:p>
    <w:bookmarkEnd w:id="23"/>
    <w:bookmarkStart w:id="24" w:name="X44e14e2582f1f1a857d73e39aced1ad963ebf7b"/>
    <w:p>
      <w:pPr>
        <w:pStyle w:val="Heading2"/>
      </w:pPr>
      <w:r>
        <w:t xml:space="preserve">1.4 Supplementary Note S4: Temperature-Anomaly Models Across Specifications</w:t>
      </w:r>
    </w:p>
    <w:p>
      <w:pPr>
        <w:pStyle w:val="FirstParagraph"/>
      </w:pPr>
      <w:r>
        <w:t xml:space="preserve">The main text reports no clear association between morphology and the local annual temperature anomaly (</w:t>
      </w:r>
      <m:oMath>
        <m:r>
          <m:rPr>
            <m:sty m:val="p"/>
          </m:rPr>
          <m:t>Δ</m:t>
        </m:r>
        <m:sSub>
          <m:e>
            <m:r>
              <m:t>T</m:t>
            </m:r>
          </m:e>
          <m:sub>
            <m:r>
              <m:rPr>
                <m:nor/>
                <m:sty m:val="p"/>
              </m:rPr>
              <m:t>local</m:t>
            </m:r>
          </m:sub>
        </m:sSub>
      </m:oMath>
      <w:r>
        <w:t xml:space="preserve">) under the full M3 adjustment set. Because an anomaly measured over a warming study period is itself correlated with calendar year, and because all birds captured at one locality in one year share an anomaly value, we fitted five specifications (Table S3). All are produced by</w:t>
      </w:r>
      <w:r>
        <w:t xml:space="preserve"> </w:t>
      </w:r>
      <w:r>
        <w:rPr>
          <w:rStyle w:val="VerbatimChar"/>
        </w:rPr>
        <w:t xml:space="preserve">Analysis/scripts/referee_reruns.R</w:t>
      </w:r>
      <w:r>
        <w:t xml:space="preserve"> </w:t>
      </w:r>
      <w:r>
        <w:t xml:space="preserve">and stored in</w:t>
      </w:r>
      <w:r>
        <w:t xml:space="preserve"> </w:t>
      </w:r>
      <w:r>
        <w:rPr>
          <w:rStyle w:val="VerbatimChar"/>
        </w:rPr>
        <w:t xml:space="preserve">Analysis/output/referee_reruns/referee_reruns.rds</w:t>
      </w:r>
      <w:r>
        <w:t xml:space="preserve">.</w:t>
      </w:r>
    </w:p>
    <w:p>
      <w:pPr>
        <w:pStyle w:val="BodyText"/>
      </w:pPr>
      <w:r>
        <w:t xml:space="preserve">In the parsimonious models containing both terms (E1a), calendar year rather than the anomaly carries the signal for wing length and the isometry contrast; at full M3 adjustment (E3b), neither term is clearly associated with any trait. In the parsimonious fits the detrended anomaly (E1b) is associated with the isometry contrast (</w:t>
      </w:r>
      <m:oMath>
        <m:r>
          <m:t>p</m:t>
        </m:r>
        <m:r>
          <m:rPr>
            <m:sty m:val="p"/>
          </m:rPr>
          <m:t>=</m:t>
        </m:r>
        <m:r>
          <m:t>0.041</m:t>
        </m:r>
      </m:oMath>
      <w:r>
        <w:t xml:space="preserve">), in line with the consistently positive but uncertain sign reported in the main text. The locality-year intercept, included only in E2a, widens the anomaly standard errors by about 1.3 to 1.5 times relative to E1a, so the other rows may be somewhat over-precise. We did not use a cluster-robust variance estimator: the random-effects structure is non-nested, which available implementations (</w:t>
      </w:r>
      <w:r>
        <w:rPr>
          <w:rStyle w:val="VerbatimChar"/>
        </w:rPr>
        <w:t xml:space="preserve">clubSandwich</w:t>
      </w:r>
      <w:r>
        <w:t xml:space="preserve"> </w:t>
      </w:r>
      <w:r>
        <w:t xml:space="preserve">CR2) do not support, so locality-year clustering is handled with a random intercept instead.</w:t>
      </w:r>
    </w:p>
    <w:p>
      <w:pPr>
        <w:pStyle w:val="BodyText"/>
      </w:pPr>
      <w:r>
        <w:t xml:space="preserve">A further caveat is one of exposure window rather than statistics. Wing length is fixed at moult, so the mean temperature of the calendar year in which a bird happened to be captured is not a plausible causal exposure for its wing length. Any thermal mechanism would have to operate during feather growth, which these data cannot resolve.</w:t>
      </w:r>
    </w:p>
    <w:bookmarkEnd w:id="24"/>
    <w:bookmarkEnd w:id="25"/>
    <w:bookmarkStart w:id="26" w:name="supplementary-tables"/>
    <w:p>
      <w:pPr>
        <w:pStyle w:val="Heading1"/>
      </w:pPr>
      <w:r>
        <w:t xml:space="preserve">2. Supplementary Tables</w:t>
      </w:r>
    </w:p>
    <w:p>
      <w:pPr>
        <w:pStyle w:val="TableCaption"/>
      </w:pPr>
      <w:r>
        <w:rPr>
          <w:b/>
          <w:bCs/>
        </w:rPr>
        <w:t xml:space="preserve">Supplementary Table S1.</w:t>
      </w:r>
      <w:r>
        <w:t xml:space="preserve"> </w:t>
      </w:r>
      <w:r>
        <w:t xml:space="preserve">REML phylogenetic mixed models of wing length (glmmTMB, pooled across 50 trees; Wald 95% CI), evaluating temporal trajectories across sequential control tiers. M1a is shown to separate the contributor term from the municipality term, which M1 adds together.</w:t>
      </w:r>
    </w:p>
    <w:tbl>
      <w:tblPr>
        <w:tblStyle w:val="Table"/>
        <w:tblW w:type="pct" w:w="5000"/>
        <w:tblLayout w:type="fixed"/>
        <w:tblLook w:firstRow="1" w:lastRow="0" w:firstColumn="0" w:lastColumn="0" w:noHBand="0" w:noVBand="0" w:val="0020"/>
        <w:tblCaption w:val="Supplementary Table S1. REML phylogenetic mixed models of wing length (glmmTMB, pooled across 50 trees; Wald 95% CI), evaluating temporal trajectories across sequential control tiers. M1a is shown to separate the contributor term from the municipality term, which M1 adds together."/>
      </w:tblPr>
      <w:tblGrid>
        <w:gridCol w:w="4495"/>
        <w:gridCol w:w="927"/>
        <w:gridCol w:w="1070"/>
        <w:gridCol w:w="998"/>
        <w:gridCol w:w="428"/>
      </w:tblGrid>
      <w:tr>
        <w:trPr>
          <w:tblHeader w:val="on"/>
        </w:trPr>
        <w:tc>
          <w:tcPr/>
          <w:p>
            <w:pPr>
              <w:pStyle w:val="Compact"/>
              <w:jc w:val="left"/>
            </w:pPr>
            <w:r>
              <w:t xml:space="preserve">Model specification</w:t>
            </w:r>
          </w:p>
        </w:tc>
        <w:tc>
          <w:tcPr/>
          <w:p>
            <w:pPr>
              <w:pStyle w:val="Compact"/>
              <w:jc w:val="left"/>
            </w:pPr>
            <w:r>
              <w:t xml:space="preserve">β (mm/SD-yr)</w:t>
            </w:r>
          </w:p>
        </w:tc>
        <w:tc>
          <w:tcPr/>
          <w:p>
            <w:pPr>
              <w:pStyle w:val="Compact"/>
              <w:jc w:val="left"/>
            </w:pPr>
            <w:r>
              <w:t xml:space="preserve">95% CI</w:t>
            </w:r>
          </w:p>
        </w:tc>
        <w:tc>
          <w:tcPr/>
          <w:p>
            <w:pPr>
              <w:pStyle w:val="Compact"/>
              <w:jc w:val="left"/>
            </w:pPr>
            <w:r>
              <w:t xml:space="preserve">Rate (mm/dec)</w:t>
            </w:r>
          </w:p>
        </w:tc>
        <w:tc>
          <w:tcPr/>
          <w:p>
            <w:pPr>
              <w:pStyle w:val="Compact"/>
              <w:jc w:val="left"/>
            </w:pPr>
            <w:r>
              <w:t xml:space="preserve">N</w:t>
            </w:r>
          </w:p>
        </w:tc>
      </w:tr>
      <w:tr>
        <w:tc>
          <w:tcPr/>
          <w:p>
            <w:pPr>
              <w:pStyle w:val="Compact"/>
              <w:jc w:val="left"/>
            </w:pPr>
            <w:r>
              <w:t xml:space="preserve">M0: Baseline (sex + latitude + phylogeny)</w:t>
            </w:r>
          </w:p>
        </w:tc>
        <w:tc>
          <w:tcPr/>
          <w:p>
            <w:pPr>
              <w:pStyle w:val="Compact"/>
              <w:jc w:val="left"/>
            </w:pPr>
            <w:r>
              <w:t xml:space="preserve">−0.92</w:t>
            </w:r>
          </w:p>
        </w:tc>
        <w:tc>
          <w:tcPr/>
          <w:p>
            <w:pPr>
              <w:pStyle w:val="Compact"/>
              <w:jc w:val="left"/>
            </w:pPr>
            <w:r>
              <w:t xml:space="preserve">[−1.40, −0.44]</w:t>
            </w:r>
          </w:p>
        </w:tc>
        <w:tc>
          <w:tcPr/>
          <w:p>
            <w:pPr>
              <w:pStyle w:val="Compact"/>
              <w:jc w:val="left"/>
            </w:pPr>
            <w:r>
              <w:t xml:space="preserve">−1.8</w:t>
            </w:r>
          </w:p>
        </w:tc>
        <w:tc>
          <w:tcPr/>
          <w:p>
            <w:pPr>
              <w:pStyle w:val="Compact"/>
              <w:jc w:val="left"/>
            </w:pPr>
            <w:r>
              <w:t xml:space="preserve">8,478</w:t>
            </w:r>
          </w:p>
        </w:tc>
      </w:tr>
      <w:tr>
        <w:tc>
          <w:tcPr/>
          <w:p>
            <w:pPr>
              <w:pStyle w:val="Compact"/>
              <w:jc w:val="left"/>
            </w:pPr>
            <w:r>
              <w:t xml:space="preserve">M1a: + Contributor intercept only</w:t>
            </w:r>
          </w:p>
        </w:tc>
        <w:tc>
          <w:tcPr/>
          <w:p>
            <w:pPr>
              <w:pStyle w:val="Compact"/>
              <w:jc w:val="left"/>
            </w:pPr>
            <w:r>
              <w:t xml:space="preserve">−0.68</w:t>
            </w:r>
          </w:p>
        </w:tc>
        <w:tc>
          <w:tcPr/>
          <w:p>
            <w:pPr>
              <w:pStyle w:val="Compact"/>
              <w:jc w:val="left"/>
            </w:pPr>
            <w:r>
              <w:t xml:space="preserve">[−1.08, −0.28]</w:t>
            </w:r>
          </w:p>
        </w:tc>
        <w:tc>
          <w:tcPr/>
          <w:p>
            <w:pPr>
              <w:pStyle w:val="Compact"/>
              <w:jc w:val="left"/>
            </w:pPr>
            <w:r>
              <w:t xml:space="preserve">−1.4</w:t>
            </w:r>
          </w:p>
        </w:tc>
        <w:tc>
          <w:tcPr/>
          <w:p>
            <w:pPr>
              <w:pStyle w:val="Compact"/>
              <w:jc w:val="left"/>
            </w:pPr>
            <w:r>
              <w:t xml:space="preserve">8,478</w:t>
            </w:r>
          </w:p>
        </w:tc>
      </w:tr>
      <w:tr>
        <w:tc>
          <w:tcPr/>
          <w:p>
            <w:pPr>
              <w:pStyle w:val="Compact"/>
              <w:jc w:val="left"/>
            </w:pPr>
            <w:r>
              <w:t xml:space="preserve">M1: + Contributor and municipality intercepts</w:t>
            </w:r>
          </w:p>
        </w:tc>
        <w:tc>
          <w:tcPr/>
          <w:p>
            <w:pPr>
              <w:pStyle w:val="Compact"/>
              <w:jc w:val="left"/>
            </w:pPr>
            <w:r>
              <w:t xml:space="preserve">−0.53</w:t>
            </w:r>
          </w:p>
        </w:tc>
        <w:tc>
          <w:tcPr/>
          <w:p>
            <w:pPr>
              <w:pStyle w:val="Compact"/>
              <w:jc w:val="left"/>
            </w:pPr>
            <w:r>
              <w:t xml:space="preserve">[−0.92, −0.13]</w:t>
            </w:r>
          </w:p>
        </w:tc>
        <w:tc>
          <w:tcPr/>
          <w:p>
            <w:pPr>
              <w:pStyle w:val="Compact"/>
              <w:jc w:val="left"/>
            </w:pPr>
            <w:r>
              <w:t xml:space="preserve">−1.1</w:t>
            </w:r>
          </w:p>
        </w:tc>
        <w:tc>
          <w:tcPr/>
          <w:p>
            <w:pPr>
              <w:pStyle w:val="Compact"/>
              <w:jc w:val="left"/>
            </w:pPr>
            <w:r>
              <w:t xml:space="preserve">8,478</w:t>
            </w:r>
          </w:p>
        </w:tc>
      </w:tr>
      <w:tr>
        <w:tc>
          <w:tcPr/>
          <w:p>
            <w:pPr>
              <w:pStyle w:val="Compact"/>
              <w:jc w:val="left"/>
            </w:pPr>
            <w:r>
              <w:t xml:space="preserve">M2: M1 + Wing-column proxy + Longitude + Altitude</w:t>
            </w:r>
          </w:p>
        </w:tc>
        <w:tc>
          <w:tcPr/>
          <w:p>
            <w:pPr>
              <w:pStyle w:val="Compact"/>
              <w:jc w:val="left"/>
            </w:pPr>
            <w:r>
              <w:t xml:space="preserve">−0.50</w:t>
            </w:r>
          </w:p>
        </w:tc>
        <w:tc>
          <w:tcPr/>
          <w:p>
            <w:pPr>
              <w:pStyle w:val="Compact"/>
              <w:jc w:val="left"/>
            </w:pPr>
            <w:r>
              <w:t xml:space="preserve">[−0.90, −0.10]</w:t>
            </w:r>
          </w:p>
        </w:tc>
        <w:tc>
          <w:tcPr/>
          <w:p>
            <w:pPr>
              <w:pStyle w:val="Compact"/>
              <w:jc w:val="left"/>
            </w:pPr>
            <w:r>
              <w:t xml:space="preserve">−1.0</w:t>
            </w:r>
          </w:p>
        </w:tc>
        <w:tc>
          <w:tcPr/>
          <w:p>
            <w:pPr>
              <w:pStyle w:val="Compact"/>
              <w:jc w:val="left"/>
            </w:pPr>
            <w:r>
              <w:t xml:space="preserve">8,478</w:t>
            </w:r>
          </w:p>
        </w:tc>
      </w:tr>
      <w:tr>
        <w:tc>
          <w:tcPr/>
          <w:p>
            <w:pPr>
              <w:pStyle w:val="Compact"/>
              <w:jc w:val="left"/>
            </w:pPr>
            <w:r>
              <w:t xml:space="preserve">M3: Full controls (M2 + Season + Moult + Individual)</w:t>
            </w:r>
          </w:p>
        </w:tc>
        <w:tc>
          <w:tcPr/>
          <w:p>
            <w:pPr>
              <w:pStyle w:val="Compact"/>
              <w:jc w:val="left"/>
            </w:pPr>
            <w:r>
              <w:t xml:space="preserve">−0.37</w:t>
            </w:r>
          </w:p>
        </w:tc>
        <w:tc>
          <w:tcPr/>
          <w:p>
            <w:pPr>
              <w:pStyle w:val="Compact"/>
              <w:jc w:val="left"/>
            </w:pPr>
            <w:r>
              <w:t xml:space="preserve">[−0.78, 0.04]</w:t>
            </w:r>
          </w:p>
        </w:tc>
        <w:tc>
          <w:tcPr/>
          <w:p>
            <w:pPr>
              <w:pStyle w:val="Compact"/>
              <w:jc w:val="left"/>
            </w:pPr>
            <w:r>
              <w:t xml:space="preserve">−0.7</w:t>
            </w:r>
          </w:p>
        </w:tc>
        <w:tc>
          <w:tcPr/>
          <w:p>
            <w:pPr>
              <w:pStyle w:val="Compact"/>
              <w:jc w:val="left"/>
            </w:pPr>
            <w:r>
              <w:t xml:space="preserve">8,478</w:t>
            </w:r>
          </w:p>
        </w:tc>
      </w:tr>
      <w:tr>
        <w:tc>
          <w:tcPr/>
          <w:p>
            <w:pPr>
              <w:pStyle w:val="Compact"/>
              <w:jc w:val="left"/>
            </w:pPr>
            <w:r>
              <w:t xml:space="preserve">M3_cc: Full controls on complete cases (N = 8,282)</w:t>
            </w:r>
          </w:p>
        </w:tc>
        <w:tc>
          <w:tcPr/>
          <w:p>
            <w:pPr>
              <w:pStyle w:val="Compact"/>
              <w:jc w:val="left"/>
            </w:pPr>
            <w:r>
              <w:t xml:space="preserve">−0.29</w:t>
            </w:r>
          </w:p>
        </w:tc>
        <w:tc>
          <w:tcPr/>
          <w:p>
            <w:pPr>
              <w:pStyle w:val="Compact"/>
              <w:jc w:val="left"/>
            </w:pPr>
            <w:r>
              <w:t xml:space="preserve">[−0.65, 0.08]</w:t>
            </w:r>
          </w:p>
        </w:tc>
        <w:tc>
          <w:tcPr/>
          <w:p>
            <w:pPr>
              <w:pStyle w:val="Compact"/>
              <w:jc w:val="left"/>
            </w:pPr>
            <w:r>
              <w:t xml:space="preserve">−0.6</w:t>
            </w:r>
          </w:p>
        </w:tc>
        <w:tc>
          <w:tcPr/>
          <w:p>
            <w:pPr>
              <w:pStyle w:val="Compact"/>
              <w:jc w:val="left"/>
            </w:pPr>
            <w:r>
              <w:t xml:space="preserve">8,282</w:t>
            </w:r>
          </w:p>
        </w:tc>
      </w:tr>
      <w:tr>
        <w:tc>
          <w:tcPr/>
          <w:p>
            <w:pPr>
              <w:pStyle w:val="Compact"/>
              <w:jc w:val="left"/>
            </w:pPr>
            <w:r>
              <w:t xml:space="preserve">M3_noanom: Full controls without the anomalous sampling blocks</w:t>
            </w:r>
          </w:p>
        </w:tc>
        <w:tc>
          <w:tcPr/>
          <w:p>
            <w:pPr>
              <w:pStyle w:val="Compact"/>
              <w:jc w:val="left"/>
            </w:pPr>
            <w:r>
              <w:t xml:space="preserve">−0.43</w:t>
            </w:r>
          </w:p>
        </w:tc>
        <w:tc>
          <w:tcPr/>
          <w:p>
            <w:pPr>
              <w:pStyle w:val="Compact"/>
              <w:jc w:val="left"/>
            </w:pPr>
            <w:r>
              <w:t xml:space="preserve">[−0.82, −0.05]</w:t>
            </w:r>
          </w:p>
        </w:tc>
        <w:tc>
          <w:tcPr/>
          <w:p>
            <w:pPr>
              <w:pStyle w:val="Compact"/>
              <w:jc w:val="left"/>
            </w:pPr>
            <w:r>
              <w:t xml:space="preserve">−0.9</w:t>
            </w:r>
          </w:p>
        </w:tc>
        <w:tc>
          <w:tcPr/>
          <w:p>
            <w:pPr>
              <w:pStyle w:val="Compact"/>
              <w:jc w:val="left"/>
            </w:pPr>
            <w:r>
              <w:t xml:space="preserve">8,285</w:t>
            </w:r>
          </w:p>
        </w:tc>
      </w:tr>
      <w:tr>
        <w:tc>
          <w:tcPr/>
          <w:p>
            <w:pPr>
              <w:pStyle w:val="Compact"/>
              <w:jc w:val="left"/>
            </w:pPr>
            <w:r>
              <w:t xml:space="preserve">M5src: Within-contributor temporal slope (Mundlak REWB)</w:t>
            </w:r>
          </w:p>
        </w:tc>
        <w:tc>
          <w:tcPr/>
          <w:p>
            <w:pPr>
              <w:pStyle w:val="Compact"/>
              <w:jc w:val="left"/>
            </w:pPr>
            <w:r>
              <w:t xml:space="preserve">−0.16</w:t>
            </w:r>
          </w:p>
        </w:tc>
        <w:tc>
          <w:tcPr/>
          <w:p>
            <w:pPr>
              <w:pStyle w:val="Compact"/>
              <w:jc w:val="left"/>
            </w:pPr>
            <w:r>
              <w:t xml:space="preserve">[−0.80, 0.48]</w:t>
            </w:r>
          </w:p>
        </w:tc>
        <w:tc>
          <w:tcPr/>
          <w:p>
            <w:pPr>
              <w:pStyle w:val="Compact"/>
              <w:jc w:val="left"/>
            </w:pPr>
            <w:r>
              <w:t xml:space="preserve">−0.3</w:t>
            </w:r>
          </w:p>
        </w:tc>
        <w:tc>
          <w:tcPr/>
          <w:p>
            <w:pPr>
              <w:pStyle w:val="Compact"/>
              <w:jc w:val="left"/>
            </w:pPr>
            <w:r>
              <w:t xml:space="preserve">8,478</w:t>
            </w:r>
          </w:p>
        </w:tc>
      </w:tr>
      <w:tr>
        <w:tc>
          <w:tcPr/>
          <w:p>
            <w:pPr>
              <w:pStyle w:val="Compact"/>
              <w:jc w:val="left"/>
            </w:pPr>
            <w:r>
              <w:t xml:space="preserve">M5: Within-municipality temporal slope (Mundlak REWB)</w:t>
            </w:r>
          </w:p>
        </w:tc>
        <w:tc>
          <w:tcPr/>
          <w:p>
            <w:pPr>
              <w:pStyle w:val="Compact"/>
              <w:jc w:val="left"/>
            </w:pPr>
            <w:r>
              <w:t xml:space="preserve">−0.74</w:t>
            </w:r>
          </w:p>
        </w:tc>
        <w:tc>
          <w:tcPr/>
          <w:p>
            <w:pPr>
              <w:pStyle w:val="Compact"/>
              <w:jc w:val="left"/>
            </w:pPr>
            <w:r>
              <w:t xml:space="preserve">[−1.68, 0.21]</w:t>
            </w:r>
          </w:p>
        </w:tc>
        <w:tc>
          <w:tcPr/>
          <w:p>
            <w:pPr>
              <w:pStyle w:val="Compact"/>
              <w:jc w:val="left"/>
            </w:pPr>
            <w:r>
              <w:t xml:space="preserve">−1.5</w:t>
            </w:r>
          </w:p>
        </w:tc>
        <w:tc>
          <w:tcPr/>
          <w:p>
            <w:pPr>
              <w:pStyle w:val="Compact"/>
              <w:jc w:val="left"/>
            </w:pPr>
            <w:r>
              <w:t xml:space="preserve">8,478</w:t>
            </w:r>
          </w:p>
        </w:tc>
      </w:tr>
      <w:tr>
        <w:tc>
          <w:tcPr/>
          <w:p>
            <w:pPr>
              <w:pStyle w:val="Compact"/>
              <w:jc w:val="left"/>
            </w:pPr>
            <w:r>
              <w:t xml:space="preserve">M4: Separate trend per contributor (mean slope)</w:t>
            </w:r>
          </w:p>
        </w:tc>
        <w:tc>
          <w:tcPr/>
          <w:p>
            <w:pPr>
              <w:pStyle w:val="Compact"/>
              <w:jc w:val="left"/>
            </w:pPr>
            <w:r>
              <w:t xml:space="preserve">−0.88</w:t>
            </w:r>
          </w:p>
        </w:tc>
        <w:tc>
          <w:tcPr/>
          <w:p>
            <w:pPr>
              <w:pStyle w:val="Compact"/>
              <w:jc w:val="left"/>
            </w:pPr>
            <w:r>
              <w:t xml:space="preserve">[−1.76, 0.01]</w:t>
            </w:r>
          </w:p>
        </w:tc>
        <w:tc>
          <w:tcPr/>
          <w:p>
            <w:pPr>
              <w:pStyle w:val="Compact"/>
              <w:jc w:val="left"/>
            </w:pPr>
            <w:r>
              <w:t xml:space="preserve">−1.7</w:t>
            </w:r>
          </w:p>
        </w:tc>
        <w:tc>
          <w:tcPr/>
          <w:p>
            <w:pPr>
              <w:pStyle w:val="Compact"/>
              <w:jc w:val="left"/>
            </w:pPr>
            <w:r>
              <w:t xml:space="preserve">8,478</w:t>
            </w:r>
          </w:p>
        </w:tc>
      </w:tr>
      <w:tr>
        <w:tc>
          <w:tcPr/>
          <w:p>
            <w:pPr>
              <w:pStyle w:val="Compact"/>
              <w:jc w:val="left"/>
            </w:pPr>
            <w:r>
              <w:t xml:space="preserve">M3_longrun: Six long-running contributors only</w:t>
            </w:r>
          </w:p>
        </w:tc>
        <w:tc>
          <w:tcPr/>
          <w:p>
            <w:pPr>
              <w:pStyle w:val="Compact"/>
              <w:jc w:val="left"/>
            </w:pPr>
            <w:r>
              <w:t xml:space="preserve">0.09</w:t>
            </w:r>
          </w:p>
        </w:tc>
        <w:tc>
          <w:tcPr/>
          <w:p>
            <w:pPr>
              <w:pStyle w:val="Compact"/>
              <w:jc w:val="left"/>
            </w:pPr>
            <w:r>
              <w:t xml:space="preserve">[−0.53, 0.72]</w:t>
            </w:r>
          </w:p>
        </w:tc>
        <w:tc>
          <w:tcPr/>
          <w:p>
            <w:pPr>
              <w:pStyle w:val="Compact"/>
              <w:jc w:val="left"/>
            </w:pPr>
            <w:r>
              <w:t xml:space="preserve">0.2</w:t>
            </w:r>
          </w:p>
        </w:tc>
        <w:tc>
          <w:tcPr/>
          <w:p>
            <w:pPr>
              <w:pStyle w:val="Compact"/>
              <w:jc w:val="left"/>
            </w:pPr>
            <w:r>
              <w:t xml:space="preserve">3,017</w:t>
            </w:r>
          </w:p>
        </w:tc>
      </w:tr>
      <w:tr>
        <w:tc>
          <w:tcPr/>
          <w:p>
            <w:pPr>
              <w:pStyle w:val="Compact"/>
              <w:jc w:val="left"/>
            </w:pPr>
            <w:r>
              <w:t xml:space="preserve">M6: Unknown-sex replication (full M3 controls)</w:t>
            </w:r>
          </w:p>
        </w:tc>
        <w:tc>
          <w:tcPr/>
          <w:p>
            <w:pPr>
              <w:pStyle w:val="Compact"/>
              <w:jc w:val="left"/>
            </w:pPr>
            <w:r>
              <w:t xml:space="preserve">−0.69</w:t>
            </w:r>
          </w:p>
        </w:tc>
        <w:tc>
          <w:tcPr/>
          <w:p>
            <w:pPr>
              <w:pStyle w:val="Compact"/>
              <w:jc w:val="left"/>
            </w:pPr>
            <w:r>
              <w:t xml:space="preserve">[−1.21, −0.17]</w:t>
            </w:r>
          </w:p>
        </w:tc>
        <w:tc>
          <w:tcPr/>
          <w:p>
            <w:pPr>
              <w:pStyle w:val="Compact"/>
              <w:jc w:val="left"/>
            </w:pPr>
            <w:r>
              <w:t xml:space="preserve">−1.4</w:t>
            </w:r>
          </w:p>
        </w:tc>
        <w:tc>
          <w:tcPr/>
          <w:p>
            <w:pPr>
              <w:pStyle w:val="Compact"/>
              <w:jc w:val="left"/>
            </w:pPr>
            <w:r>
              <w:t xml:space="preserve">3,532</w:t>
            </w:r>
          </w:p>
        </w:tc>
      </w:tr>
      <w:tr>
        <w:tc>
          <w:tcPr/>
          <w:p>
            <w:pPr>
              <w:pStyle w:val="Compact"/>
              <w:jc w:val="left"/>
            </w:pPr>
            <w:r>
              <w:t xml:space="preserve">M7: First captures only (no recaptures)</w:t>
            </w:r>
          </w:p>
        </w:tc>
        <w:tc>
          <w:tcPr/>
          <w:p>
            <w:pPr>
              <w:pStyle w:val="Compact"/>
              <w:jc w:val="left"/>
            </w:pPr>
            <w:r>
              <w:t xml:space="preserve">−0.38</w:t>
            </w:r>
          </w:p>
        </w:tc>
        <w:tc>
          <w:tcPr/>
          <w:p>
            <w:pPr>
              <w:pStyle w:val="Compact"/>
              <w:jc w:val="left"/>
            </w:pPr>
            <w:r>
              <w:t xml:space="preserve">[−0.78, 0.02]</w:t>
            </w:r>
          </w:p>
        </w:tc>
        <w:tc>
          <w:tcPr/>
          <w:p>
            <w:pPr>
              <w:pStyle w:val="Compact"/>
              <w:jc w:val="left"/>
            </w:pPr>
            <w:r>
              <w:t xml:space="preserve">−0.8</w:t>
            </w:r>
          </w:p>
        </w:tc>
        <w:tc>
          <w:tcPr/>
          <w:p>
            <w:pPr>
              <w:pStyle w:val="Compact"/>
              <w:jc w:val="left"/>
            </w:pPr>
            <w:r>
              <w:t xml:space="preserve">7,791</w:t>
            </w:r>
          </w:p>
        </w:tc>
      </w:tr>
    </w:tbl>
    <w:p>
      <w:pPr>
        <w:pStyle w:val="BodyText"/>
      </w:pPr>
      <w:r>
        <w:t xml:space="preserve"> </w:t>
      </w:r>
    </w:p>
    <w:p>
      <w:pPr>
        <w:pStyle w:val="TableCaption"/>
      </w:pPr>
      <w:r>
        <w:rPr>
          <w:b/>
          <w:bCs/>
        </w:rPr>
        <w:t xml:space="preserve">Supplementary Table S2.</w:t>
      </w:r>
      <w:r>
        <w:t xml:space="preserve"> </w:t>
      </w:r>
      <w:r>
        <w:t xml:space="preserve">Body mass temporal models across control tiers (REML check on the Bayesian estimates, glmmTMB pooled across 50 phylogenetic trees). Moult is not included because it is not recorded for enough of the body-mass records; M3 and the within-contributor model use the complete-case sample.</w:t>
      </w:r>
    </w:p>
    <w:tbl>
      <w:tblPr>
        <w:tblStyle w:val="Table"/>
        <w:tblW w:type="pct" w:w="5000"/>
        <w:tblLayout w:type="fixed"/>
        <w:tblLook w:firstRow="1" w:lastRow="0" w:firstColumn="0" w:lastColumn="0" w:noHBand="0" w:noVBand="0" w:val="0020"/>
        <w:tblCaption w:val="Supplementary Table S2. Body mass temporal models across control tiers (REML check on the Bayesian estimates, glmmTMB pooled across 50 phylogenetic trees). Moult is not included because it is not recorded for enough of the body-mass records; M3 and the within-contributor model use the complete-case sample."/>
      </w:tblPr>
      <w:tblGrid>
        <w:gridCol w:w="4727"/>
        <w:gridCol w:w="859"/>
        <w:gridCol w:w="1105"/>
        <w:gridCol w:w="798"/>
        <w:gridCol w:w="429"/>
      </w:tblGrid>
      <w:tr>
        <w:trPr>
          <w:tblHeader w:val="on"/>
        </w:trPr>
        <w:tc>
          <w:tcPr/>
          <w:p>
            <w:pPr>
              <w:pStyle w:val="Compact"/>
              <w:jc w:val="left"/>
            </w:pPr>
            <w:r>
              <w:t xml:space="preserve">Model specification</w:t>
            </w:r>
          </w:p>
        </w:tc>
        <w:tc>
          <w:tcPr/>
          <w:p>
            <w:pPr>
              <w:pStyle w:val="Compact"/>
              <w:jc w:val="left"/>
            </w:pPr>
            <w:r>
              <w:t xml:space="preserve">β (per SD-yr)</w:t>
            </w:r>
          </w:p>
        </w:tc>
        <w:tc>
          <w:tcPr/>
          <w:p>
            <w:pPr>
              <w:pStyle w:val="Compact"/>
              <w:jc w:val="left"/>
            </w:pPr>
            <w:r>
              <w:t xml:space="preserve">95% CI</w:t>
            </w:r>
          </w:p>
        </w:tc>
        <w:tc>
          <w:tcPr/>
          <w:p>
            <w:pPr>
              <w:pStyle w:val="Compact"/>
              <w:jc w:val="left"/>
            </w:pPr>
            <w:r>
              <w:t xml:space="preserve">Rate (%/dec)</w:t>
            </w:r>
          </w:p>
        </w:tc>
        <w:tc>
          <w:tcPr/>
          <w:p>
            <w:pPr>
              <w:pStyle w:val="Compact"/>
              <w:jc w:val="left"/>
            </w:pPr>
            <w:r>
              <w:t xml:space="preserve">N</w:t>
            </w:r>
          </w:p>
        </w:tc>
      </w:tr>
      <w:tr>
        <w:tc>
          <w:tcPr/>
          <w:p>
            <w:pPr>
              <w:pStyle w:val="Compact"/>
              <w:jc w:val="left"/>
            </w:pPr>
            <w:r>
              <w:t xml:space="preserve">Body mass M0 Baseline (sex + latitude + phylogeny)</w:t>
            </w:r>
          </w:p>
        </w:tc>
        <w:tc>
          <w:tcPr/>
          <w:p>
            <w:pPr>
              <w:pStyle w:val="Compact"/>
              <w:jc w:val="left"/>
            </w:pPr>
            <w:r>
              <w:t xml:space="preserve">−0.0072</w:t>
            </w:r>
          </w:p>
        </w:tc>
        <w:tc>
          <w:tcPr/>
          <w:p>
            <w:pPr>
              <w:pStyle w:val="Compact"/>
              <w:jc w:val="left"/>
            </w:pPr>
            <w:r>
              <w:t xml:space="preserve">[−0.0165, 0.0021]</w:t>
            </w:r>
          </w:p>
        </w:tc>
        <w:tc>
          <w:tcPr/>
          <w:p>
            <w:pPr>
              <w:pStyle w:val="Compact"/>
              <w:jc w:val="left"/>
            </w:pPr>
            <w:r>
              <w:t xml:space="preserve">−1.4%</w:t>
            </w:r>
          </w:p>
        </w:tc>
        <w:tc>
          <w:tcPr/>
          <w:p>
            <w:pPr>
              <w:pStyle w:val="Compact"/>
              <w:jc w:val="left"/>
            </w:pPr>
            <w:r>
              <w:t xml:space="preserve">11,256</w:t>
            </w:r>
          </w:p>
        </w:tc>
      </w:tr>
      <w:tr>
        <w:tc>
          <w:tcPr/>
          <w:p>
            <w:pPr>
              <w:pStyle w:val="Compact"/>
              <w:jc w:val="left"/>
            </w:pPr>
            <w:r>
              <w:t xml:space="preserve">Body mass M1 (+ Contributor and municipality intercepts)</w:t>
            </w:r>
          </w:p>
        </w:tc>
        <w:tc>
          <w:tcPr/>
          <w:p>
            <w:pPr>
              <w:pStyle w:val="Compact"/>
              <w:jc w:val="left"/>
            </w:pPr>
            <w:r>
              <w:t xml:space="preserve">−0.0056</w:t>
            </w:r>
          </w:p>
        </w:tc>
        <w:tc>
          <w:tcPr/>
          <w:p>
            <w:pPr>
              <w:pStyle w:val="Compact"/>
              <w:jc w:val="left"/>
            </w:pPr>
            <w:r>
              <w:t xml:space="preserve">[−0.0164, 0.0051]</w:t>
            </w:r>
          </w:p>
        </w:tc>
        <w:tc>
          <w:tcPr/>
          <w:p>
            <w:pPr>
              <w:pStyle w:val="Compact"/>
              <w:jc w:val="left"/>
            </w:pPr>
            <w:r>
              <w:t xml:space="preserve">−1.1%</w:t>
            </w:r>
          </w:p>
        </w:tc>
        <w:tc>
          <w:tcPr/>
          <w:p>
            <w:pPr>
              <w:pStyle w:val="Compact"/>
              <w:jc w:val="left"/>
            </w:pPr>
            <w:r>
              <w:t xml:space="preserve">11,256</w:t>
            </w:r>
          </w:p>
        </w:tc>
      </w:tr>
      <w:tr>
        <w:tc>
          <w:tcPr/>
          <w:p>
            <w:pPr>
              <w:pStyle w:val="Compact"/>
              <w:jc w:val="left"/>
            </w:pPr>
            <w:r>
              <w:t xml:space="preserve">Body mass M3 Full controls (M1 + Longitude + Altitude + Season + Individual)</w:t>
            </w:r>
          </w:p>
        </w:tc>
        <w:tc>
          <w:tcPr/>
          <w:p>
            <w:pPr>
              <w:pStyle w:val="Compact"/>
              <w:jc w:val="left"/>
            </w:pPr>
            <w:r>
              <w:t xml:space="preserve">−0.0046</w:t>
            </w:r>
          </w:p>
        </w:tc>
        <w:tc>
          <w:tcPr/>
          <w:p>
            <w:pPr>
              <w:pStyle w:val="Compact"/>
              <w:jc w:val="left"/>
            </w:pPr>
            <w:r>
              <w:t xml:space="preserve">[−0.0138, 0.0047]</w:t>
            </w:r>
          </w:p>
        </w:tc>
        <w:tc>
          <w:tcPr/>
          <w:p>
            <w:pPr>
              <w:pStyle w:val="Compact"/>
              <w:jc w:val="left"/>
            </w:pPr>
            <w:r>
              <w:t xml:space="preserve">−0.9%</w:t>
            </w:r>
          </w:p>
        </w:tc>
        <w:tc>
          <w:tcPr/>
          <w:p>
            <w:pPr>
              <w:pStyle w:val="Compact"/>
              <w:jc w:val="left"/>
            </w:pPr>
            <w:r>
              <w:t xml:space="preserve">11,077</w:t>
            </w:r>
          </w:p>
        </w:tc>
      </w:tr>
      <w:tr>
        <w:tc>
          <w:tcPr/>
          <w:p>
            <w:pPr>
              <w:pStyle w:val="Compact"/>
              <w:jc w:val="left"/>
            </w:pPr>
            <w:r>
              <w:t xml:space="preserve">Body mass Mundlak within-contributor slope</w:t>
            </w:r>
          </w:p>
        </w:tc>
        <w:tc>
          <w:tcPr/>
          <w:p>
            <w:pPr>
              <w:pStyle w:val="Compact"/>
              <w:jc w:val="left"/>
            </w:pPr>
            <w:r>
              <w:t xml:space="preserve">−0.0032</w:t>
            </w:r>
          </w:p>
        </w:tc>
        <w:tc>
          <w:tcPr/>
          <w:p>
            <w:pPr>
              <w:pStyle w:val="Compact"/>
              <w:jc w:val="left"/>
            </w:pPr>
            <w:r>
              <w:t xml:space="preserve">[−0.0104, 0.0041]</w:t>
            </w:r>
          </w:p>
        </w:tc>
        <w:tc>
          <w:tcPr/>
          <w:p>
            <w:pPr>
              <w:pStyle w:val="Compact"/>
              <w:jc w:val="left"/>
            </w:pPr>
            <w:r>
              <w:t xml:space="preserve">−0.6%</w:t>
            </w:r>
          </w:p>
        </w:tc>
        <w:tc>
          <w:tcPr/>
          <w:p>
            <w:pPr>
              <w:pStyle w:val="Compact"/>
              <w:jc w:val="left"/>
            </w:pPr>
            <w:r>
              <w:t xml:space="preserve">11,077</w:t>
            </w:r>
          </w:p>
        </w:tc>
      </w:tr>
    </w:tbl>
    <w:p>
      <w:pPr>
        <w:pStyle w:val="BodyText"/>
      </w:pPr>
      <w:r>
        <w:t xml:space="preserve"> </w:t>
      </w:r>
    </w:p>
    <w:p>
      <w:pPr>
        <w:pStyle w:val="TableCaption"/>
      </w:pPr>
      <w:r>
        <w:rPr>
          <w:b/>
          <w:bCs/>
        </w:rPr>
        <w:t xml:space="preserve">Supplementary Table S3.</w:t>
      </w:r>
      <w:r>
        <w:t xml:space="preserve"> </w:t>
      </w:r>
      <w:r>
        <w:t xml:space="preserve">Temperature-anomaly associations across specifications (REML, glmmTMB). The anomaly effect is per °C and the year effect per SD of year; the isometry contrast is ln M − 3 ln L. E1a, E1b and E2a are fits without phylogeny, with contributor and municipality intercepts (a simpler control set than M3); E2a adds a locality-year intercept. E3 and E3b use the full M3 adjustment set across 50 phylogenetic trees;</w:t>
      </w:r>
      <w:r>
        <w:t xml:space="preserve"> </w:t>
      </w:r>
      <w:r>
        <w:rPr>
          <w:rStyle w:val="VerbatimChar"/>
        </w:rPr>
        <w:t xml:space="preserve">Trees</w:t>
      </w:r>
      <w:r>
        <w:t xml:space="preserve"> </w:t>
      </w:r>
      <w:r>
        <w:t xml:space="preserve">is the number of trees whose fits converged and were pooled (E3 converged on fewer than 50 trees for body mass and the isometry contrast, whereas every E3b fit used all 50).</w:t>
      </w:r>
    </w:p>
    <w:tbl>
      <w:tblPr>
        <w:tblStyle w:val="Table"/>
        <w:tblW w:type="pct" w:w="5000"/>
        <w:tblLayout w:type="fixed"/>
        <w:tblLook w:firstRow="1" w:lastRow="0" w:firstColumn="0" w:lastColumn="0" w:noHBand="0" w:noVBand="0" w:val="0020"/>
        <w:tblCaption w:val="Supplementary Table S3. Temperature-anomaly associations across specifications (REML, glmmTMB). The anomaly effect is per °C and the year effect per SD of year; the isometry contrast is ln M − 3 ln L. E1a, E1b and E2a are fits without phylogeny, with contributor and municipality intercepts (a simpler control set than M3); E2a adds a locality-year intercept. E3 and E3b use the full M3 adjustment set across 50 phylogenetic trees; Trees is the number of trees whose fits converged and were pooled (E3 converged on fewer than 50 trees for body mass and the isometry contrast, whereas every E3b fit used all 50)."/>
      </w:tblPr>
      <w:tblGrid>
        <w:gridCol w:w="1729"/>
        <w:gridCol w:w="1896"/>
        <w:gridCol w:w="1673"/>
        <w:gridCol w:w="501"/>
        <w:gridCol w:w="1059"/>
        <w:gridCol w:w="390"/>
        <w:gridCol w:w="334"/>
        <w:gridCol w:w="334"/>
      </w:tblGrid>
      <w:tr>
        <w:trPr>
          <w:tblHeader w:val="on"/>
        </w:trPr>
        <w:tc>
          <w:tcPr/>
          <w:p>
            <w:pPr>
              <w:pStyle w:val="Compact"/>
              <w:jc w:val="left"/>
            </w:pPr>
            <w:r>
              <w:t xml:space="preserve">Specification</w:t>
            </w:r>
          </w:p>
        </w:tc>
        <w:tc>
          <w:tcPr/>
          <w:p>
            <w:pPr>
              <w:pStyle w:val="Compact"/>
              <w:jc w:val="left"/>
            </w:pPr>
            <w:r>
              <w:t xml:space="preserve">Response</w:t>
            </w:r>
          </w:p>
        </w:tc>
        <w:tc>
          <w:tcPr/>
          <w:p>
            <w:pPr>
              <w:pStyle w:val="Compact"/>
              <w:jc w:val="left"/>
            </w:pPr>
            <w:r>
              <w:t xml:space="preserve">Term</w:t>
            </w:r>
          </w:p>
        </w:tc>
        <w:tc>
          <w:tcPr/>
          <w:p>
            <w:pPr>
              <w:pStyle w:val="Compact"/>
              <w:jc w:val="right"/>
            </w:pPr>
            <w:r>
              <w:t xml:space="preserve">Estimate</w:t>
            </w:r>
          </w:p>
        </w:tc>
        <w:tc>
          <w:tcPr/>
          <w:p>
            <w:pPr>
              <w:pStyle w:val="Compact"/>
              <w:jc w:val="left"/>
            </w:pPr>
            <w:r>
              <w:t xml:space="preserve">95% CI</w:t>
            </w:r>
          </w:p>
        </w:tc>
        <w:tc>
          <w:tcPr/>
          <w:p>
            <w:pPr>
              <w:pStyle w:val="Compact"/>
              <w:jc w:val="right"/>
            </w:pPr>
            <w:r>
              <w:t xml:space="preserve">p</w:t>
            </w:r>
          </w:p>
        </w:tc>
        <w:tc>
          <w:tcPr/>
          <w:p>
            <w:pPr>
              <w:pStyle w:val="Compact"/>
              <w:jc w:val="left"/>
            </w:pPr>
            <w:r>
              <w:t xml:space="preserve">N</w:t>
            </w:r>
          </w:p>
        </w:tc>
        <w:tc>
          <w:tcPr/>
          <w:p>
            <w:pPr>
              <w:pStyle w:val="Compact"/>
              <w:jc w:val="right"/>
            </w:pPr>
            <w:r>
              <w:t xml:space="preserve">Trees</w:t>
            </w:r>
          </w:p>
        </w:tc>
      </w:tr>
      <w:tr>
        <w:tc>
          <w:tcPr/>
          <w:p>
            <w:pPr>
              <w:pStyle w:val="Compact"/>
              <w:jc w:val="left"/>
            </w:pPr>
            <w:r>
              <w:t xml:space="preserve">E1a: anomaly + year</w:t>
            </w:r>
          </w:p>
        </w:tc>
        <w:tc>
          <w:tcPr/>
          <w:p>
            <w:pPr>
              <w:pStyle w:val="Compact"/>
              <w:jc w:val="left"/>
            </w:pPr>
            <w:r>
              <w:t xml:space="preserve">Wing length (mm)</w:t>
            </w:r>
          </w:p>
        </w:tc>
        <w:tc>
          <w:tcPr/>
          <w:p>
            <w:pPr>
              <w:pStyle w:val="Compact"/>
              <w:jc w:val="left"/>
            </w:pPr>
            <w:r>
              <w:t xml:space="preserve">ΔT (local annual anomaly, °C)</w:t>
            </w:r>
          </w:p>
        </w:tc>
        <w:tc>
          <w:tcPr/>
          <w:p>
            <w:pPr>
              <w:pStyle w:val="Compact"/>
              <w:jc w:val="right"/>
            </w:pPr>
            <w:r>
              <w:t xml:space="preserve">-0.02200</w:t>
            </w:r>
          </w:p>
        </w:tc>
        <w:tc>
          <w:tcPr/>
          <w:p>
            <w:pPr>
              <w:pStyle w:val="Compact"/>
              <w:jc w:val="left"/>
            </w:pPr>
            <w:r>
              <w:t xml:space="preserve">[-0.405, 0.361]</w:t>
            </w:r>
          </w:p>
        </w:tc>
        <w:tc>
          <w:tcPr/>
          <w:p>
            <w:pPr>
              <w:pStyle w:val="Compact"/>
              <w:jc w:val="right"/>
            </w:pPr>
            <w:r>
              <w:t xml:space="preserve">0.9100</w:t>
            </w:r>
          </w:p>
        </w:tc>
        <w:tc>
          <w:tcPr/>
          <w:p>
            <w:pPr>
              <w:pStyle w:val="Compact"/>
              <w:jc w:val="left"/>
            </w:pPr>
            <w:r>
              <w:t xml:space="preserve">7,224</w:t>
            </w:r>
          </w:p>
        </w:tc>
        <w:tc>
          <w:tcPr/>
          <w:p>
            <w:pPr>
              <w:pStyle w:val="Compact"/>
              <w:jc w:val="right"/>
            </w:pPr>
            <w:r>
              <w:t xml:space="preserve">1</w:t>
            </w:r>
          </w:p>
        </w:tc>
      </w:tr>
      <w:tr>
        <w:tc>
          <w:tcPr/>
          <w:p>
            <w:pPr>
              <w:pStyle w:val="Compact"/>
              <w:jc w:val="left"/>
            </w:pPr>
            <w:r>
              <w:t xml:space="preserve">E1a: anomaly + year</w:t>
            </w:r>
          </w:p>
        </w:tc>
        <w:tc>
          <w:tcPr/>
          <w:p>
            <w:pPr>
              <w:pStyle w:val="Compact"/>
              <w:jc w:val="left"/>
            </w:pPr>
            <w:r>
              <w:t xml:space="preserve">Wing length (mm)</w:t>
            </w:r>
          </w:p>
        </w:tc>
        <w:tc>
          <w:tcPr/>
          <w:p>
            <w:pPr>
              <w:pStyle w:val="Compact"/>
              <w:jc w:val="left"/>
            </w:pPr>
            <w:r>
              <w:t xml:space="preserve">Year (per SD)</w:t>
            </w:r>
          </w:p>
        </w:tc>
        <w:tc>
          <w:tcPr/>
          <w:p>
            <w:pPr>
              <w:pStyle w:val="Compact"/>
              <w:jc w:val="right"/>
            </w:pPr>
            <w:r>
              <w:t xml:space="preserve">-0.53800</w:t>
            </w:r>
          </w:p>
        </w:tc>
        <w:tc>
          <w:tcPr/>
          <w:p>
            <w:pPr>
              <w:pStyle w:val="Compact"/>
              <w:jc w:val="left"/>
            </w:pPr>
            <w:r>
              <w:t xml:space="preserve">[-0.967, -0.109]</w:t>
            </w:r>
          </w:p>
        </w:tc>
        <w:tc>
          <w:tcPr/>
          <w:p>
            <w:pPr>
              <w:pStyle w:val="Compact"/>
              <w:jc w:val="right"/>
            </w:pPr>
            <w:r>
              <w:t xml:space="preserve">0.0140</w:t>
            </w:r>
          </w:p>
        </w:tc>
        <w:tc>
          <w:tcPr/>
          <w:p>
            <w:pPr>
              <w:pStyle w:val="Compact"/>
              <w:jc w:val="left"/>
            </w:pPr>
            <w:r>
              <w:t xml:space="preserve">7,224</w:t>
            </w:r>
          </w:p>
        </w:tc>
        <w:tc>
          <w:tcPr/>
          <w:p>
            <w:pPr>
              <w:pStyle w:val="Compact"/>
              <w:jc w:val="right"/>
            </w:pPr>
            <w:r>
              <w:t xml:space="preserve">1</w:t>
            </w:r>
          </w:p>
        </w:tc>
      </w:tr>
      <w:tr>
        <w:tc>
          <w:tcPr/>
          <w:p>
            <w:pPr>
              <w:pStyle w:val="Compact"/>
              <w:jc w:val="left"/>
            </w:pPr>
            <w:r>
              <w:t xml:space="preserve">E1b: detrended anomaly</w:t>
            </w:r>
          </w:p>
        </w:tc>
        <w:tc>
          <w:tcPr/>
          <w:p>
            <w:pPr>
              <w:pStyle w:val="Compact"/>
              <w:jc w:val="left"/>
            </w:pPr>
            <w:r>
              <w:t xml:space="preserve">Wing length (mm)</w:t>
            </w:r>
          </w:p>
        </w:tc>
        <w:tc>
          <w:tcPr/>
          <w:p>
            <w:pPr>
              <w:pStyle w:val="Compact"/>
              <w:jc w:val="left"/>
            </w:pPr>
            <w:r>
              <w:t xml:space="preserve">ΔT detrended (°C)</w:t>
            </w:r>
          </w:p>
        </w:tc>
        <w:tc>
          <w:tcPr/>
          <w:p>
            <w:pPr>
              <w:pStyle w:val="Compact"/>
              <w:jc w:val="right"/>
            </w:pPr>
            <w:r>
              <w:t xml:space="preserve">-0.16300</w:t>
            </w:r>
          </w:p>
        </w:tc>
        <w:tc>
          <w:tcPr/>
          <w:p>
            <w:pPr>
              <w:pStyle w:val="Compact"/>
              <w:jc w:val="left"/>
            </w:pPr>
            <w:r>
              <w:t xml:space="preserve">[-0.546, 0.22]</w:t>
            </w:r>
          </w:p>
        </w:tc>
        <w:tc>
          <w:tcPr/>
          <w:p>
            <w:pPr>
              <w:pStyle w:val="Compact"/>
              <w:jc w:val="right"/>
            </w:pPr>
            <w:r>
              <w:t xml:space="preserve">0.4000</w:t>
            </w:r>
          </w:p>
        </w:tc>
        <w:tc>
          <w:tcPr/>
          <w:p>
            <w:pPr>
              <w:pStyle w:val="Compact"/>
              <w:jc w:val="left"/>
            </w:pPr>
            <w:r>
              <w:t xml:space="preserve">7,224</w:t>
            </w:r>
          </w:p>
        </w:tc>
        <w:tc>
          <w:tcPr/>
          <w:p>
            <w:pPr>
              <w:pStyle w:val="Compact"/>
              <w:jc w:val="right"/>
            </w:pPr>
            <w:r>
              <w:t xml:space="preserve">1</w:t>
            </w:r>
          </w:p>
        </w:tc>
      </w:tr>
      <w:tr>
        <w:tc>
          <w:tcPr/>
          <w:p>
            <w:pPr>
              <w:pStyle w:val="Compact"/>
              <w:jc w:val="left"/>
            </w:pPr>
            <w:r>
              <w:t xml:space="preserve">E1a: anomaly + year</w:t>
            </w:r>
          </w:p>
        </w:tc>
        <w:tc>
          <w:tcPr/>
          <w:p>
            <w:pPr>
              <w:pStyle w:val="Compact"/>
              <w:jc w:val="left"/>
            </w:pPr>
            <w:r>
              <w:t xml:space="preserve">log body mass</w:t>
            </w:r>
          </w:p>
        </w:tc>
        <w:tc>
          <w:tcPr/>
          <w:p>
            <w:pPr>
              <w:pStyle w:val="Compact"/>
              <w:jc w:val="left"/>
            </w:pPr>
            <w:r>
              <w:t xml:space="preserve">ΔT (local annual anomaly, °C)</w:t>
            </w:r>
          </w:p>
        </w:tc>
        <w:tc>
          <w:tcPr/>
          <w:p>
            <w:pPr>
              <w:pStyle w:val="Compact"/>
              <w:jc w:val="right"/>
            </w:pPr>
            <w:r>
              <w:t xml:space="preserve">0.00727</w:t>
            </w:r>
          </w:p>
        </w:tc>
        <w:tc>
          <w:tcPr/>
          <w:p>
            <w:pPr>
              <w:pStyle w:val="Compact"/>
              <w:jc w:val="left"/>
            </w:pPr>
            <w:r>
              <w:t xml:space="preserve">[-0.0062, 0.0207]</w:t>
            </w:r>
          </w:p>
        </w:tc>
        <w:tc>
          <w:tcPr/>
          <w:p>
            <w:pPr>
              <w:pStyle w:val="Compact"/>
              <w:jc w:val="right"/>
            </w:pPr>
            <w:r>
              <w:t xml:space="preserve">0.2900</w:t>
            </w:r>
          </w:p>
        </w:tc>
        <w:tc>
          <w:tcPr/>
          <w:p>
            <w:pPr>
              <w:pStyle w:val="Compact"/>
              <w:jc w:val="left"/>
            </w:pPr>
            <w:r>
              <w:t xml:space="preserve">7,224</w:t>
            </w:r>
          </w:p>
        </w:tc>
        <w:tc>
          <w:tcPr/>
          <w:p>
            <w:pPr>
              <w:pStyle w:val="Compact"/>
              <w:jc w:val="right"/>
            </w:pPr>
            <w:r>
              <w:t xml:space="preserve">1</w:t>
            </w:r>
          </w:p>
        </w:tc>
      </w:tr>
      <w:tr>
        <w:tc>
          <w:tcPr/>
          <w:p>
            <w:pPr>
              <w:pStyle w:val="Compact"/>
              <w:jc w:val="left"/>
            </w:pPr>
            <w:r>
              <w:t xml:space="preserve">E1a: anomaly + year</w:t>
            </w:r>
          </w:p>
        </w:tc>
        <w:tc>
          <w:tcPr/>
          <w:p>
            <w:pPr>
              <w:pStyle w:val="Compact"/>
              <w:jc w:val="left"/>
            </w:pPr>
            <w:r>
              <w:t xml:space="preserve">log body mass</w:t>
            </w:r>
          </w:p>
        </w:tc>
        <w:tc>
          <w:tcPr/>
          <w:p>
            <w:pPr>
              <w:pStyle w:val="Compact"/>
              <w:jc w:val="left"/>
            </w:pPr>
            <w:r>
              <w:t xml:space="preserve">Year (per SD)</w:t>
            </w:r>
          </w:p>
        </w:tc>
        <w:tc>
          <w:tcPr/>
          <w:p>
            <w:pPr>
              <w:pStyle w:val="Compact"/>
              <w:jc w:val="right"/>
            </w:pPr>
            <w:r>
              <w:t xml:space="preserve">-0.00189</w:t>
            </w:r>
          </w:p>
        </w:tc>
        <w:tc>
          <w:tcPr/>
          <w:p>
            <w:pPr>
              <w:pStyle w:val="Compact"/>
              <w:jc w:val="left"/>
            </w:pPr>
            <w:r>
              <w:t xml:space="preserve">[-0.0121, 0.00832]</w:t>
            </w:r>
          </w:p>
        </w:tc>
        <w:tc>
          <w:tcPr/>
          <w:p>
            <w:pPr>
              <w:pStyle w:val="Compact"/>
              <w:jc w:val="right"/>
            </w:pPr>
            <w:r>
              <w:t xml:space="preserve">0.7200</w:t>
            </w:r>
          </w:p>
        </w:tc>
        <w:tc>
          <w:tcPr/>
          <w:p>
            <w:pPr>
              <w:pStyle w:val="Compact"/>
              <w:jc w:val="left"/>
            </w:pPr>
            <w:r>
              <w:t xml:space="preserve">7,224</w:t>
            </w:r>
          </w:p>
        </w:tc>
        <w:tc>
          <w:tcPr/>
          <w:p>
            <w:pPr>
              <w:pStyle w:val="Compact"/>
              <w:jc w:val="right"/>
            </w:pPr>
            <w:r>
              <w:t xml:space="preserve">1</w:t>
            </w:r>
          </w:p>
        </w:tc>
      </w:tr>
      <w:tr>
        <w:tc>
          <w:tcPr/>
          <w:p>
            <w:pPr>
              <w:pStyle w:val="Compact"/>
              <w:jc w:val="left"/>
            </w:pPr>
            <w:r>
              <w:t xml:space="preserve">E1b: detrended anomaly</w:t>
            </w:r>
          </w:p>
        </w:tc>
        <w:tc>
          <w:tcPr/>
          <w:p>
            <w:pPr>
              <w:pStyle w:val="Compact"/>
              <w:jc w:val="left"/>
            </w:pPr>
            <w:r>
              <w:t xml:space="preserve">log body mass</w:t>
            </w:r>
          </w:p>
        </w:tc>
        <w:tc>
          <w:tcPr/>
          <w:p>
            <w:pPr>
              <w:pStyle w:val="Compact"/>
              <w:jc w:val="left"/>
            </w:pPr>
            <w:r>
              <w:t xml:space="preserve">ΔT detrended (°C)</w:t>
            </w:r>
          </w:p>
        </w:tc>
        <w:tc>
          <w:tcPr/>
          <w:p>
            <w:pPr>
              <w:pStyle w:val="Compact"/>
              <w:jc w:val="right"/>
            </w:pPr>
            <w:r>
              <w:t xml:space="preserve">0.00640</w:t>
            </w:r>
          </w:p>
        </w:tc>
        <w:tc>
          <w:tcPr/>
          <w:p>
            <w:pPr>
              <w:pStyle w:val="Compact"/>
              <w:jc w:val="left"/>
            </w:pPr>
            <w:r>
              <w:t xml:space="preserve">[-0.00695, 0.0198]</w:t>
            </w:r>
          </w:p>
        </w:tc>
        <w:tc>
          <w:tcPr/>
          <w:p>
            <w:pPr>
              <w:pStyle w:val="Compact"/>
              <w:jc w:val="right"/>
            </w:pPr>
            <w:r>
              <w:t xml:space="preserve">0.3500</w:t>
            </w:r>
          </w:p>
        </w:tc>
        <w:tc>
          <w:tcPr/>
          <w:p>
            <w:pPr>
              <w:pStyle w:val="Compact"/>
              <w:jc w:val="left"/>
            </w:pPr>
            <w:r>
              <w:t xml:space="preserve">7,224</w:t>
            </w:r>
          </w:p>
        </w:tc>
        <w:tc>
          <w:tcPr/>
          <w:p>
            <w:pPr>
              <w:pStyle w:val="Compact"/>
              <w:jc w:val="right"/>
            </w:pPr>
            <w:r>
              <w:t xml:space="preserve">1</w:t>
            </w:r>
          </w:p>
        </w:tc>
      </w:tr>
      <w:tr>
        <w:tc>
          <w:tcPr/>
          <w:p>
            <w:pPr>
              <w:pStyle w:val="Compact"/>
              <w:jc w:val="left"/>
            </w:pPr>
            <w:r>
              <w:t xml:space="preserve">E1a: anomaly + year</w:t>
            </w:r>
          </w:p>
        </w:tc>
        <w:tc>
          <w:tcPr/>
          <w:p>
            <w:pPr>
              <w:pStyle w:val="Compact"/>
              <w:jc w:val="left"/>
            </w:pPr>
            <w:r>
              <w:t xml:space="preserve">Isometry contrast (ln M − 3 ln L)</w:t>
            </w:r>
          </w:p>
        </w:tc>
        <w:tc>
          <w:tcPr/>
          <w:p>
            <w:pPr>
              <w:pStyle w:val="Compact"/>
              <w:jc w:val="left"/>
            </w:pPr>
            <w:r>
              <w:t xml:space="preserve">ΔT (local annual anomaly, °C)</w:t>
            </w:r>
          </w:p>
        </w:tc>
        <w:tc>
          <w:tcPr/>
          <w:p>
            <w:pPr>
              <w:pStyle w:val="Compact"/>
              <w:jc w:val="right"/>
            </w:pPr>
            <w:r>
              <w:t xml:space="preserve">0.01570</w:t>
            </w:r>
          </w:p>
        </w:tc>
        <w:tc>
          <w:tcPr/>
          <w:p>
            <w:pPr>
              <w:pStyle w:val="Compact"/>
              <w:jc w:val="left"/>
            </w:pPr>
            <w:r>
              <w:t xml:space="preserve">[-0.00379, 0.0352]</w:t>
            </w:r>
          </w:p>
        </w:tc>
        <w:tc>
          <w:tcPr/>
          <w:p>
            <w:pPr>
              <w:pStyle w:val="Compact"/>
              <w:jc w:val="right"/>
            </w:pPr>
            <w:r>
              <w:t xml:space="preserve">0.1100</w:t>
            </w:r>
          </w:p>
        </w:tc>
        <w:tc>
          <w:tcPr/>
          <w:p>
            <w:pPr>
              <w:pStyle w:val="Compact"/>
              <w:jc w:val="left"/>
            </w:pPr>
            <w:r>
              <w:t xml:space="preserve">7,224</w:t>
            </w:r>
          </w:p>
        </w:tc>
        <w:tc>
          <w:tcPr/>
          <w:p>
            <w:pPr>
              <w:pStyle w:val="Compact"/>
              <w:jc w:val="right"/>
            </w:pPr>
            <w:r>
              <w:t xml:space="preserve">1</w:t>
            </w:r>
          </w:p>
        </w:tc>
      </w:tr>
      <w:tr>
        <w:tc>
          <w:tcPr/>
          <w:p>
            <w:pPr>
              <w:pStyle w:val="Compact"/>
              <w:jc w:val="left"/>
            </w:pPr>
            <w:r>
              <w:t xml:space="preserve">E1a: anomaly + year</w:t>
            </w:r>
          </w:p>
        </w:tc>
        <w:tc>
          <w:tcPr/>
          <w:p>
            <w:pPr>
              <w:pStyle w:val="Compact"/>
              <w:jc w:val="left"/>
            </w:pPr>
            <w:r>
              <w:t xml:space="preserve">Isometry contrast (ln M − 3 ln L)</w:t>
            </w:r>
          </w:p>
        </w:tc>
        <w:tc>
          <w:tcPr/>
          <w:p>
            <w:pPr>
              <w:pStyle w:val="Compact"/>
              <w:jc w:val="left"/>
            </w:pPr>
            <w:r>
              <w:t xml:space="preserve">Year (per SD)</w:t>
            </w:r>
          </w:p>
        </w:tc>
        <w:tc>
          <w:tcPr/>
          <w:p>
            <w:pPr>
              <w:pStyle w:val="Compact"/>
              <w:jc w:val="right"/>
            </w:pPr>
            <w:r>
              <w:t xml:space="preserve">0.01990</w:t>
            </w:r>
          </w:p>
        </w:tc>
        <w:tc>
          <w:tcPr/>
          <w:p>
            <w:pPr>
              <w:pStyle w:val="Compact"/>
              <w:jc w:val="left"/>
            </w:pPr>
            <w:r>
              <w:t xml:space="preserve">[0.00579, 0.0341]</w:t>
            </w:r>
          </w:p>
        </w:tc>
        <w:tc>
          <w:tcPr/>
          <w:p>
            <w:pPr>
              <w:pStyle w:val="Compact"/>
              <w:jc w:val="right"/>
            </w:pPr>
            <w:r>
              <w:t xml:space="preserve">0.0057</w:t>
            </w:r>
          </w:p>
        </w:tc>
        <w:tc>
          <w:tcPr/>
          <w:p>
            <w:pPr>
              <w:pStyle w:val="Compact"/>
              <w:jc w:val="left"/>
            </w:pPr>
            <w:r>
              <w:t xml:space="preserve">7,224</w:t>
            </w:r>
          </w:p>
        </w:tc>
        <w:tc>
          <w:tcPr/>
          <w:p>
            <w:pPr>
              <w:pStyle w:val="Compact"/>
              <w:jc w:val="right"/>
            </w:pPr>
            <w:r>
              <w:t xml:space="preserve">1</w:t>
            </w:r>
          </w:p>
        </w:tc>
      </w:tr>
      <w:tr>
        <w:tc>
          <w:tcPr/>
          <w:p>
            <w:pPr>
              <w:pStyle w:val="Compact"/>
              <w:jc w:val="left"/>
            </w:pPr>
            <w:r>
              <w:t xml:space="preserve">E1b: detrended anomaly</w:t>
            </w:r>
          </w:p>
        </w:tc>
        <w:tc>
          <w:tcPr/>
          <w:p>
            <w:pPr>
              <w:pStyle w:val="Compact"/>
              <w:jc w:val="left"/>
            </w:pPr>
            <w:r>
              <w:t xml:space="preserve">Isometry contrast (ln M − 3 ln L)</w:t>
            </w:r>
          </w:p>
        </w:tc>
        <w:tc>
          <w:tcPr/>
          <w:p>
            <w:pPr>
              <w:pStyle w:val="Compact"/>
              <w:jc w:val="left"/>
            </w:pPr>
            <w:r>
              <w:t xml:space="preserve">ΔT detrended (°C)</w:t>
            </w:r>
          </w:p>
        </w:tc>
        <w:tc>
          <w:tcPr/>
          <w:p>
            <w:pPr>
              <w:pStyle w:val="Compact"/>
              <w:jc w:val="right"/>
            </w:pPr>
            <w:r>
              <w:t xml:space="preserve">0.02010</w:t>
            </w:r>
          </w:p>
        </w:tc>
        <w:tc>
          <w:tcPr/>
          <w:p>
            <w:pPr>
              <w:pStyle w:val="Compact"/>
              <w:jc w:val="left"/>
            </w:pPr>
            <w:r>
              <w:t xml:space="preserve">[0.000833, 0.0394]</w:t>
            </w:r>
          </w:p>
        </w:tc>
        <w:tc>
          <w:tcPr/>
          <w:p>
            <w:pPr>
              <w:pStyle w:val="Compact"/>
              <w:jc w:val="right"/>
            </w:pPr>
            <w:r>
              <w:t xml:space="preserve">0.0410</w:t>
            </w:r>
          </w:p>
        </w:tc>
        <w:tc>
          <w:tcPr/>
          <w:p>
            <w:pPr>
              <w:pStyle w:val="Compact"/>
              <w:jc w:val="left"/>
            </w:pPr>
            <w:r>
              <w:t xml:space="preserve">7,224</w:t>
            </w:r>
          </w:p>
        </w:tc>
        <w:tc>
          <w:tcPr/>
          <w:p>
            <w:pPr>
              <w:pStyle w:val="Compact"/>
              <w:jc w:val="right"/>
            </w:pPr>
            <w:r>
              <w:t xml:space="preserve">1</w:t>
            </w:r>
          </w:p>
        </w:tc>
      </w:tr>
      <w:tr>
        <w:tc>
          <w:tcPr/>
          <w:p>
            <w:pPr>
              <w:pStyle w:val="Compact"/>
              <w:jc w:val="left"/>
            </w:pPr>
            <w:r>
              <w:t xml:space="preserve">E2a: + locality-year intercept</w:t>
            </w:r>
          </w:p>
        </w:tc>
        <w:tc>
          <w:tcPr/>
          <w:p>
            <w:pPr>
              <w:pStyle w:val="Compact"/>
              <w:jc w:val="left"/>
            </w:pPr>
            <w:r>
              <w:t xml:space="preserve">Wing length (mm)</w:t>
            </w:r>
          </w:p>
        </w:tc>
        <w:tc>
          <w:tcPr/>
          <w:p>
            <w:pPr>
              <w:pStyle w:val="Compact"/>
              <w:jc w:val="left"/>
            </w:pPr>
            <w:r>
              <w:t xml:space="preserve">ΔT (local annual anomaly, °C)</w:t>
            </w:r>
          </w:p>
        </w:tc>
        <w:tc>
          <w:tcPr/>
          <w:p>
            <w:pPr>
              <w:pStyle w:val="Compact"/>
              <w:jc w:val="right"/>
            </w:pPr>
            <w:r>
              <w:t xml:space="preserve">-0.32900</w:t>
            </w:r>
          </w:p>
        </w:tc>
        <w:tc>
          <w:tcPr/>
          <w:p>
            <w:pPr>
              <w:pStyle w:val="Compact"/>
              <w:jc w:val="left"/>
            </w:pPr>
            <w:r>
              <w:t xml:space="preserve">[-0.902, 0.243]</w:t>
            </w:r>
          </w:p>
        </w:tc>
        <w:tc>
          <w:tcPr/>
          <w:p>
            <w:pPr>
              <w:pStyle w:val="Compact"/>
              <w:jc w:val="right"/>
            </w:pPr>
            <w:r>
              <w:t xml:space="preserve">0.2600</w:t>
            </w:r>
          </w:p>
        </w:tc>
        <w:tc>
          <w:tcPr/>
          <w:p>
            <w:pPr>
              <w:pStyle w:val="Compact"/>
              <w:jc w:val="left"/>
            </w:pPr>
            <w:r>
              <w:t xml:space="preserve">7,224</w:t>
            </w:r>
          </w:p>
        </w:tc>
        <w:tc>
          <w:tcPr/>
          <w:p>
            <w:pPr>
              <w:pStyle w:val="Compact"/>
              <w:jc w:val="right"/>
            </w:pPr>
            <w:r>
              <w:t xml:space="preserve">1</w:t>
            </w:r>
          </w:p>
        </w:tc>
      </w:tr>
      <w:tr>
        <w:tc>
          <w:tcPr/>
          <w:p>
            <w:pPr>
              <w:pStyle w:val="Compact"/>
              <w:jc w:val="left"/>
            </w:pPr>
            <w:r>
              <w:t xml:space="preserve">E2a: + locality-year intercept</w:t>
            </w:r>
          </w:p>
        </w:tc>
        <w:tc>
          <w:tcPr/>
          <w:p>
            <w:pPr>
              <w:pStyle w:val="Compact"/>
              <w:jc w:val="left"/>
            </w:pPr>
            <w:r>
              <w:t xml:space="preserve">log body mass</w:t>
            </w:r>
          </w:p>
        </w:tc>
        <w:tc>
          <w:tcPr/>
          <w:p>
            <w:pPr>
              <w:pStyle w:val="Compact"/>
              <w:jc w:val="left"/>
            </w:pPr>
            <w:r>
              <w:t xml:space="preserve">ΔT (local annual anomaly, °C)</w:t>
            </w:r>
          </w:p>
        </w:tc>
        <w:tc>
          <w:tcPr/>
          <w:p>
            <w:pPr>
              <w:pStyle w:val="Compact"/>
              <w:jc w:val="right"/>
            </w:pPr>
            <w:r>
              <w:t xml:space="preserve">0.00574</w:t>
            </w:r>
          </w:p>
        </w:tc>
        <w:tc>
          <w:tcPr/>
          <w:p>
            <w:pPr>
              <w:pStyle w:val="Compact"/>
              <w:jc w:val="left"/>
            </w:pPr>
            <w:r>
              <w:t xml:space="preserve">[-0.012, 0.0235]</w:t>
            </w:r>
          </w:p>
        </w:tc>
        <w:tc>
          <w:tcPr/>
          <w:p>
            <w:pPr>
              <w:pStyle w:val="Compact"/>
              <w:jc w:val="right"/>
            </w:pPr>
            <w:r>
              <w:t xml:space="preserve">0.5300</w:t>
            </w:r>
          </w:p>
        </w:tc>
        <w:tc>
          <w:tcPr/>
          <w:p>
            <w:pPr>
              <w:pStyle w:val="Compact"/>
              <w:jc w:val="left"/>
            </w:pPr>
            <w:r>
              <w:t xml:space="preserve">7,224</w:t>
            </w:r>
          </w:p>
        </w:tc>
        <w:tc>
          <w:tcPr/>
          <w:p>
            <w:pPr>
              <w:pStyle w:val="Compact"/>
              <w:jc w:val="right"/>
            </w:pPr>
            <w:r>
              <w:t xml:space="preserve">1</w:t>
            </w:r>
          </w:p>
        </w:tc>
      </w:tr>
      <w:tr>
        <w:tc>
          <w:tcPr/>
          <w:p>
            <w:pPr>
              <w:pStyle w:val="Compact"/>
              <w:jc w:val="left"/>
            </w:pPr>
            <w:r>
              <w:t xml:space="preserve">E2a: + locality-year intercept</w:t>
            </w:r>
          </w:p>
        </w:tc>
        <w:tc>
          <w:tcPr/>
          <w:p>
            <w:pPr>
              <w:pStyle w:val="Compact"/>
              <w:jc w:val="left"/>
            </w:pPr>
            <w:r>
              <w:t xml:space="preserve">Isometry contrast (ln M − 3 ln L)</w:t>
            </w:r>
          </w:p>
        </w:tc>
        <w:tc>
          <w:tcPr/>
          <w:p>
            <w:pPr>
              <w:pStyle w:val="Compact"/>
              <w:jc w:val="left"/>
            </w:pPr>
            <w:r>
              <w:t xml:space="preserve">ΔT (local annual anomaly, °C)</w:t>
            </w:r>
          </w:p>
        </w:tc>
        <w:tc>
          <w:tcPr/>
          <w:p>
            <w:pPr>
              <w:pStyle w:val="Compact"/>
              <w:jc w:val="right"/>
            </w:pPr>
            <w:r>
              <w:t xml:space="preserve">0.02570</w:t>
            </w:r>
          </w:p>
        </w:tc>
        <w:tc>
          <w:tcPr/>
          <w:p>
            <w:pPr>
              <w:pStyle w:val="Compact"/>
              <w:jc w:val="left"/>
            </w:pPr>
            <w:r>
              <w:t xml:space="preserve">[-0.00277, 0.0542]</w:t>
            </w:r>
          </w:p>
        </w:tc>
        <w:tc>
          <w:tcPr/>
          <w:p>
            <w:pPr>
              <w:pStyle w:val="Compact"/>
              <w:jc w:val="right"/>
            </w:pPr>
            <w:r>
              <w:t xml:space="preserve">0.0770</w:t>
            </w:r>
          </w:p>
        </w:tc>
        <w:tc>
          <w:tcPr/>
          <w:p>
            <w:pPr>
              <w:pStyle w:val="Compact"/>
              <w:jc w:val="left"/>
            </w:pPr>
            <w:r>
              <w:t xml:space="preserve">7,224</w:t>
            </w:r>
          </w:p>
        </w:tc>
        <w:tc>
          <w:tcPr/>
          <w:p>
            <w:pPr>
              <w:pStyle w:val="Compact"/>
              <w:jc w:val="right"/>
            </w:pPr>
            <w:r>
              <w:t xml:space="preserve">1</w:t>
            </w:r>
          </w:p>
        </w:tc>
      </w:tr>
      <w:tr>
        <w:tc>
          <w:tcPr/>
          <w:p>
            <w:pPr>
              <w:pStyle w:val="Compact"/>
              <w:jc w:val="left"/>
            </w:pPr>
            <w:r>
              <w:t xml:space="preserve">E3: M3 adjustment</w:t>
            </w:r>
          </w:p>
        </w:tc>
        <w:tc>
          <w:tcPr/>
          <w:p>
            <w:pPr>
              <w:pStyle w:val="Compact"/>
              <w:jc w:val="left"/>
            </w:pPr>
            <w:r>
              <w:t xml:space="preserve">Wing length (mm)</w:t>
            </w:r>
          </w:p>
        </w:tc>
        <w:tc>
          <w:tcPr/>
          <w:p>
            <w:pPr>
              <w:pStyle w:val="Compact"/>
              <w:jc w:val="left"/>
            </w:pPr>
            <w:r>
              <w:t xml:space="preserve">ΔT (local annual anomaly, °C)</w:t>
            </w:r>
          </w:p>
        </w:tc>
        <w:tc>
          <w:tcPr/>
          <w:p>
            <w:pPr>
              <w:pStyle w:val="Compact"/>
              <w:jc w:val="right"/>
            </w:pPr>
            <w:r>
              <w:t xml:space="preserve">0.01040</w:t>
            </w:r>
          </w:p>
        </w:tc>
        <w:tc>
          <w:tcPr/>
          <w:p>
            <w:pPr>
              <w:pStyle w:val="Compact"/>
              <w:jc w:val="left"/>
            </w:pPr>
            <w:r>
              <w:t xml:space="preserve">[-0.369, 0.39]</w:t>
            </w:r>
          </w:p>
        </w:tc>
        <w:tc>
          <w:tcPr/>
          <w:p>
            <w:pPr>
              <w:pStyle w:val="Compact"/>
              <w:jc w:val="right"/>
            </w:pPr>
            <w:r>
              <w:t xml:space="preserve">0.9600</w:t>
            </w:r>
          </w:p>
        </w:tc>
        <w:tc>
          <w:tcPr/>
          <w:p>
            <w:pPr>
              <w:pStyle w:val="Compact"/>
              <w:jc w:val="left"/>
            </w:pPr>
            <w:r>
              <w:t xml:space="preserve">7,070</w:t>
            </w:r>
          </w:p>
        </w:tc>
        <w:tc>
          <w:tcPr/>
          <w:p>
            <w:pPr>
              <w:pStyle w:val="Compact"/>
              <w:jc w:val="right"/>
            </w:pPr>
            <w:r>
              <w:t xml:space="preserve">50</w:t>
            </w:r>
          </w:p>
        </w:tc>
      </w:tr>
      <w:tr>
        <w:tc>
          <w:tcPr/>
          <w:p>
            <w:pPr>
              <w:pStyle w:val="Compact"/>
              <w:jc w:val="left"/>
            </w:pPr>
            <w:r>
              <w:t xml:space="preserve">E3b: M3 adjustment + year</w:t>
            </w:r>
          </w:p>
        </w:tc>
        <w:tc>
          <w:tcPr/>
          <w:p>
            <w:pPr>
              <w:pStyle w:val="Compact"/>
              <w:jc w:val="left"/>
            </w:pPr>
            <w:r>
              <w:t xml:space="preserve">Wing length (mm)</w:t>
            </w:r>
          </w:p>
        </w:tc>
        <w:tc>
          <w:tcPr/>
          <w:p>
            <w:pPr>
              <w:pStyle w:val="Compact"/>
              <w:jc w:val="left"/>
            </w:pPr>
            <w:r>
              <w:t xml:space="preserve">ΔT (local annual anomaly, °C)</w:t>
            </w:r>
          </w:p>
        </w:tc>
        <w:tc>
          <w:tcPr/>
          <w:p>
            <w:pPr>
              <w:pStyle w:val="Compact"/>
              <w:jc w:val="right"/>
            </w:pPr>
            <w:r>
              <w:t xml:space="preserve">0.11200</w:t>
            </w:r>
          </w:p>
        </w:tc>
        <w:tc>
          <w:tcPr/>
          <w:p>
            <w:pPr>
              <w:pStyle w:val="Compact"/>
              <w:jc w:val="left"/>
            </w:pPr>
            <w:r>
              <w:t xml:space="preserve">[-0.272, 0.496]</w:t>
            </w:r>
          </w:p>
        </w:tc>
        <w:tc>
          <w:tcPr/>
          <w:p>
            <w:pPr>
              <w:pStyle w:val="Compact"/>
              <w:jc w:val="right"/>
            </w:pPr>
            <w:r>
              <w:t xml:space="preserve">0.5700</w:t>
            </w:r>
          </w:p>
        </w:tc>
        <w:tc>
          <w:tcPr/>
          <w:p>
            <w:pPr>
              <w:pStyle w:val="Compact"/>
              <w:jc w:val="left"/>
            </w:pPr>
            <w:r>
              <w:t xml:space="preserve">7,070</w:t>
            </w:r>
          </w:p>
        </w:tc>
        <w:tc>
          <w:tcPr/>
          <w:p>
            <w:pPr>
              <w:pStyle w:val="Compact"/>
              <w:jc w:val="right"/>
            </w:pPr>
            <w:r>
              <w:t xml:space="preserve">50</w:t>
            </w:r>
          </w:p>
        </w:tc>
      </w:tr>
      <w:tr>
        <w:tc>
          <w:tcPr/>
          <w:p>
            <w:pPr>
              <w:pStyle w:val="Compact"/>
              <w:jc w:val="left"/>
            </w:pPr>
            <w:r>
              <w:t xml:space="preserve">E3b: M3 adjustment + year</w:t>
            </w:r>
          </w:p>
        </w:tc>
        <w:tc>
          <w:tcPr/>
          <w:p>
            <w:pPr>
              <w:pStyle w:val="Compact"/>
              <w:jc w:val="left"/>
            </w:pPr>
            <w:r>
              <w:t xml:space="preserve">Wing length (mm)</w:t>
            </w:r>
          </w:p>
        </w:tc>
        <w:tc>
          <w:tcPr/>
          <w:p>
            <w:pPr>
              <w:pStyle w:val="Compact"/>
              <w:jc w:val="left"/>
            </w:pPr>
            <w:r>
              <w:t xml:space="preserve">Year (per SD)</w:t>
            </w:r>
          </w:p>
        </w:tc>
        <w:tc>
          <w:tcPr/>
          <w:p>
            <w:pPr>
              <w:pStyle w:val="Compact"/>
              <w:jc w:val="right"/>
            </w:pPr>
            <w:r>
              <w:t xml:space="preserve">-0.29400</w:t>
            </w:r>
          </w:p>
        </w:tc>
        <w:tc>
          <w:tcPr/>
          <w:p>
            <w:pPr>
              <w:pStyle w:val="Compact"/>
              <w:jc w:val="left"/>
            </w:pPr>
            <w:r>
              <w:t xml:space="preserve">[-0.701, 0.113]</w:t>
            </w:r>
          </w:p>
        </w:tc>
        <w:tc>
          <w:tcPr/>
          <w:p>
            <w:pPr>
              <w:pStyle w:val="Compact"/>
              <w:jc w:val="right"/>
            </w:pPr>
            <w:r>
              <w:t xml:space="preserve">0.1600</w:t>
            </w:r>
          </w:p>
        </w:tc>
        <w:tc>
          <w:tcPr/>
          <w:p>
            <w:pPr>
              <w:pStyle w:val="Compact"/>
              <w:jc w:val="left"/>
            </w:pPr>
            <w:r>
              <w:t xml:space="preserve">7,070</w:t>
            </w:r>
          </w:p>
        </w:tc>
        <w:tc>
          <w:tcPr/>
          <w:p>
            <w:pPr>
              <w:pStyle w:val="Compact"/>
              <w:jc w:val="right"/>
            </w:pPr>
            <w:r>
              <w:t xml:space="preserve">50</w:t>
            </w:r>
          </w:p>
        </w:tc>
      </w:tr>
      <w:tr>
        <w:tc>
          <w:tcPr/>
          <w:p>
            <w:pPr>
              <w:pStyle w:val="Compact"/>
              <w:jc w:val="left"/>
            </w:pPr>
            <w:r>
              <w:t xml:space="preserve">E3: M3 adjustment</w:t>
            </w:r>
          </w:p>
        </w:tc>
        <w:tc>
          <w:tcPr/>
          <w:p>
            <w:pPr>
              <w:pStyle w:val="Compact"/>
              <w:jc w:val="left"/>
            </w:pPr>
            <w:r>
              <w:t xml:space="preserve">log body mass</w:t>
            </w:r>
          </w:p>
        </w:tc>
        <w:tc>
          <w:tcPr/>
          <w:p>
            <w:pPr>
              <w:pStyle w:val="Compact"/>
              <w:jc w:val="left"/>
            </w:pPr>
            <w:r>
              <w:t xml:space="preserve">ΔT (local annual anomaly, °C)</w:t>
            </w:r>
          </w:p>
        </w:tc>
        <w:tc>
          <w:tcPr/>
          <w:p>
            <w:pPr>
              <w:pStyle w:val="Compact"/>
              <w:jc w:val="right"/>
            </w:pPr>
            <w:r>
              <w:t xml:space="preserve">0.00485</w:t>
            </w:r>
          </w:p>
        </w:tc>
        <w:tc>
          <w:tcPr/>
          <w:p>
            <w:pPr>
              <w:pStyle w:val="Compact"/>
              <w:jc w:val="left"/>
            </w:pPr>
            <w:r>
              <w:t xml:space="preserve">[-0.00847, 0.0182]</w:t>
            </w:r>
          </w:p>
        </w:tc>
        <w:tc>
          <w:tcPr/>
          <w:p>
            <w:pPr>
              <w:pStyle w:val="Compact"/>
              <w:jc w:val="right"/>
            </w:pPr>
            <w:r>
              <w:t xml:space="preserve">0.4800</w:t>
            </w:r>
          </w:p>
        </w:tc>
        <w:tc>
          <w:tcPr/>
          <w:p>
            <w:pPr>
              <w:pStyle w:val="Compact"/>
              <w:jc w:val="left"/>
            </w:pPr>
            <w:r>
              <w:t xml:space="preserve">7,070</w:t>
            </w:r>
          </w:p>
        </w:tc>
        <w:tc>
          <w:tcPr/>
          <w:p>
            <w:pPr>
              <w:pStyle w:val="Compact"/>
              <w:jc w:val="right"/>
            </w:pPr>
            <w:r>
              <w:t xml:space="preserve">38</w:t>
            </w:r>
          </w:p>
        </w:tc>
      </w:tr>
      <w:tr>
        <w:tc>
          <w:tcPr/>
          <w:p>
            <w:pPr>
              <w:pStyle w:val="Compact"/>
              <w:jc w:val="left"/>
            </w:pPr>
            <w:r>
              <w:t xml:space="preserve">E3b: M3 adjustment + year</w:t>
            </w:r>
          </w:p>
        </w:tc>
        <w:tc>
          <w:tcPr/>
          <w:p>
            <w:pPr>
              <w:pStyle w:val="Compact"/>
              <w:jc w:val="left"/>
            </w:pPr>
            <w:r>
              <w:t xml:space="preserve">log body mass</w:t>
            </w:r>
          </w:p>
        </w:tc>
        <w:tc>
          <w:tcPr/>
          <w:p>
            <w:pPr>
              <w:pStyle w:val="Compact"/>
              <w:jc w:val="left"/>
            </w:pPr>
            <w:r>
              <w:t xml:space="preserve">ΔT (local annual anomaly, °C)</w:t>
            </w:r>
          </w:p>
        </w:tc>
        <w:tc>
          <w:tcPr/>
          <w:p>
            <w:pPr>
              <w:pStyle w:val="Compact"/>
              <w:jc w:val="right"/>
            </w:pPr>
            <w:r>
              <w:t xml:space="preserve">0.00596</w:t>
            </w:r>
          </w:p>
        </w:tc>
        <w:tc>
          <w:tcPr/>
          <w:p>
            <w:pPr>
              <w:pStyle w:val="Compact"/>
              <w:jc w:val="left"/>
            </w:pPr>
            <w:r>
              <w:t xml:space="preserve">[-0.00749, 0.0194]</w:t>
            </w:r>
          </w:p>
        </w:tc>
        <w:tc>
          <w:tcPr/>
          <w:p>
            <w:pPr>
              <w:pStyle w:val="Compact"/>
              <w:jc w:val="right"/>
            </w:pPr>
            <w:r>
              <w:t xml:space="preserve">0.3900</w:t>
            </w:r>
          </w:p>
        </w:tc>
        <w:tc>
          <w:tcPr/>
          <w:p>
            <w:pPr>
              <w:pStyle w:val="Compact"/>
              <w:jc w:val="left"/>
            </w:pPr>
            <w:r>
              <w:t xml:space="preserve">7,070</w:t>
            </w:r>
          </w:p>
        </w:tc>
        <w:tc>
          <w:tcPr/>
          <w:p>
            <w:pPr>
              <w:pStyle w:val="Compact"/>
              <w:jc w:val="right"/>
            </w:pPr>
            <w:r>
              <w:t xml:space="preserve">50</w:t>
            </w:r>
          </w:p>
        </w:tc>
      </w:tr>
      <w:tr>
        <w:tc>
          <w:tcPr/>
          <w:p>
            <w:pPr>
              <w:pStyle w:val="Compact"/>
              <w:jc w:val="left"/>
            </w:pPr>
            <w:r>
              <w:t xml:space="preserve">E3b: M3 adjustment + year</w:t>
            </w:r>
          </w:p>
        </w:tc>
        <w:tc>
          <w:tcPr/>
          <w:p>
            <w:pPr>
              <w:pStyle w:val="Compact"/>
              <w:jc w:val="left"/>
            </w:pPr>
            <w:r>
              <w:t xml:space="preserve">log body mass</w:t>
            </w:r>
          </w:p>
        </w:tc>
        <w:tc>
          <w:tcPr/>
          <w:p>
            <w:pPr>
              <w:pStyle w:val="Compact"/>
              <w:jc w:val="left"/>
            </w:pPr>
            <w:r>
              <w:t xml:space="preserve">Year (per SD)</w:t>
            </w:r>
          </w:p>
        </w:tc>
        <w:tc>
          <w:tcPr/>
          <w:p>
            <w:pPr>
              <w:pStyle w:val="Compact"/>
              <w:jc w:val="right"/>
            </w:pPr>
            <w:r>
              <w:t xml:space="preserve">-0.00179</w:t>
            </w:r>
          </w:p>
        </w:tc>
        <w:tc>
          <w:tcPr/>
          <w:p>
            <w:pPr>
              <w:pStyle w:val="Compact"/>
              <w:jc w:val="left"/>
            </w:pPr>
            <w:r>
              <w:t xml:space="preserve">[-0.0104, 0.00686]</w:t>
            </w:r>
          </w:p>
        </w:tc>
        <w:tc>
          <w:tcPr/>
          <w:p>
            <w:pPr>
              <w:pStyle w:val="Compact"/>
              <w:jc w:val="right"/>
            </w:pPr>
            <w:r>
              <w:t xml:space="preserve">0.6900</w:t>
            </w:r>
          </w:p>
        </w:tc>
        <w:tc>
          <w:tcPr/>
          <w:p>
            <w:pPr>
              <w:pStyle w:val="Compact"/>
              <w:jc w:val="left"/>
            </w:pPr>
            <w:r>
              <w:t xml:space="preserve">7,070</w:t>
            </w:r>
          </w:p>
        </w:tc>
        <w:tc>
          <w:tcPr/>
          <w:p>
            <w:pPr>
              <w:pStyle w:val="Compact"/>
              <w:jc w:val="right"/>
            </w:pPr>
            <w:r>
              <w:t xml:space="preserve">50</w:t>
            </w:r>
          </w:p>
        </w:tc>
      </w:tr>
      <w:tr>
        <w:tc>
          <w:tcPr/>
          <w:p>
            <w:pPr>
              <w:pStyle w:val="Compact"/>
              <w:jc w:val="left"/>
            </w:pPr>
            <w:r>
              <w:t xml:space="preserve">E3: M3 adjustment</w:t>
            </w:r>
          </w:p>
        </w:tc>
        <w:tc>
          <w:tcPr/>
          <w:p>
            <w:pPr>
              <w:pStyle w:val="Compact"/>
              <w:jc w:val="left"/>
            </w:pPr>
            <w:r>
              <w:t xml:space="preserve">Isometry contrast (ln M − 3 ln L)</w:t>
            </w:r>
          </w:p>
        </w:tc>
        <w:tc>
          <w:tcPr/>
          <w:p>
            <w:pPr>
              <w:pStyle w:val="Compact"/>
              <w:jc w:val="left"/>
            </w:pPr>
            <w:r>
              <w:t xml:space="preserve">ΔT (local annual anomaly, °C)</w:t>
            </w:r>
          </w:p>
        </w:tc>
        <w:tc>
          <w:tcPr/>
          <w:p>
            <w:pPr>
              <w:pStyle w:val="Compact"/>
              <w:jc w:val="right"/>
            </w:pPr>
            <w:r>
              <w:t xml:space="preserve">0.01170</w:t>
            </w:r>
          </w:p>
        </w:tc>
        <w:tc>
          <w:tcPr/>
          <w:p>
            <w:pPr>
              <w:pStyle w:val="Compact"/>
              <w:jc w:val="left"/>
            </w:pPr>
            <w:r>
              <w:t xml:space="preserve">[-0.00777, 0.0312]</w:t>
            </w:r>
          </w:p>
        </w:tc>
        <w:tc>
          <w:tcPr/>
          <w:p>
            <w:pPr>
              <w:pStyle w:val="Compact"/>
              <w:jc w:val="right"/>
            </w:pPr>
            <w:r>
              <w:t xml:space="preserve">0.2400</w:t>
            </w:r>
          </w:p>
        </w:tc>
        <w:tc>
          <w:tcPr/>
          <w:p>
            <w:pPr>
              <w:pStyle w:val="Compact"/>
              <w:jc w:val="left"/>
            </w:pPr>
            <w:r>
              <w:t xml:space="preserve">7,070</w:t>
            </w:r>
          </w:p>
        </w:tc>
        <w:tc>
          <w:tcPr/>
          <w:p>
            <w:pPr>
              <w:pStyle w:val="Compact"/>
              <w:jc w:val="right"/>
            </w:pPr>
            <w:r>
              <w:t xml:space="preserve">48</w:t>
            </w:r>
          </w:p>
        </w:tc>
      </w:tr>
      <w:tr>
        <w:tc>
          <w:tcPr/>
          <w:p>
            <w:pPr>
              <w:pStyle w:val="Compact"/>
              <w:jc w:val="left"/>
            </w:pPr>
            <w:r>
              <w:t xml:space="preserve">E3b: M3 adjustment + year</w:t>
            </w:r>
          </w:p>
        </w:tc>
        <w:tc>
          <w:tcPr/>
          <w:p>
            <w:pPr>
              <w:pStyle w:val="Compact"/>
              <w:jc w:val="left"/>
            </w:pPr>
            <w:r>
              <w:t xml:space="preserve">Isometry contrast (ln M − 3 ln L)</w:t>
            </w:r>
          </w:p>
        </w:tc>
        <w:tc>
          <w:tcPr/>
          <w:p>
            <w:pPr>
              <w:pStyle w:val="Compact"/>
              <w:jc w:val="left"/>
            </w:pPr>
            <w:r>
              <w:t xml:space="preserve">ΔT (local annual anomaly, °C)</w:t>
            </w:r>
          </w:p>
        </w:tc>
        <w:tc>
          <w:tcPr/>
          <w:p>
            <w:pPr>
              <w:pStyle w:val="Compact"/>
              <w:jc w:val="right"/>
            </w:pPr>
            <w:r>
              <w:t xml:space="preserve">0.00945</w:t>
            </w:r>
          </w:p>
        </w:tc>
        <w:tc>
          <w:tcPr/>
          <w:p>
            <w:pPr>
              <w:pStyle w:val="Compact"/>
              <w:jc w:val="left"/>
            </w:pPr>
            <w:r>
              <w:t xml:space="preserve">[-0.0102, 0.0292]</w:t>
            </w:r>
          </w:p>
        </w:tc>
        <w:tc>
          <w:tcPr/>
          <w:p>
            <w:pPr>
              <w:pStyle w:val="Compact"/>
              <w:jc w:val="right"/>
            </w:pPr>
            <w:r>
              <w:t xml:space="preserve">0.3500</w:t>
            </w:r>
          </w:p>
        </w:tc>
        <w:tc>
          <w:tcPr/>
          <w:p>
            <w:pPr>
              <w:pStyle w:val="Compact"/>
              <w:jc w:val="left"/>
            </w:pPr>
            <w:r>
              <w:t xml:space="preserve">7,070</w:t>
            </w:r>
          </w:p>
        </w:tc>
        <w:tc>
          <w:tcPr/>
          <w:p>
            <w:pPr>
              <w:pStyle w:val="Compact"/>
              <w:jc w:val="right"/>
            </w:pPr>
            <w:r>
              <w:t xml:space="preserve">50</w:t>
            </w:r>
          </w:p>
        </w:tc>
      </w:tr>
      <w:tr>
        <w:tc>
          <w:tcPr/>
          <w:p>
            <w:pPr>
              <w:pStyle w:val="Compact"/>
              <w:jc w:val="left"/>
            </w:pPr>
            <w:r>
              <w:t xml:space="preserve">E3b: M3 adjustment + year</w:t>
            </w:r>
          </w:p>
        </w:tc>
        <w:tc>
          <w:tcPr/>
          <w:p>
            <w:pPr>
              <w:pStyle w:val="Compact"/>
              <w:jc w:val="left"/>
            </w:pPr>
            <w:r>
              <w:t xml:space="preserve">Isometry contrast (ln M − 3 ln L)</w:t>
            </w:r>
          </w:p>
        </w:tc>
        <w:tc>
          <w:tcPr/>
          <w:p>
            <w:pPr>
              <w:pStyle w:val="Compact"/>
              <w:jc w:val="left"/>
            </w:pPr>
            <w:r>
              <w:t xml:space="preserve">Year (per SD)</w:t>
            </w:r>
          </w:p>
        </w:tc>
        <w:tc>
          <w:tcPr/>
          <w:p>
            <w:pPr>
              <w:pStyle w:val="Compact"/>
              <w:jc w:val="right"/>
            </w:pPr>
            <w:r>
              <w:t xml:space="preserve">0.01120</w:t>
            </w:r>
          </w:p>
        </w:tc>
        <w:tc>
          <w:tcPr/>
          <w:p>
            <w:pPr>
              <w:pStyle w:val="Compact"/>
              <w:jc w:val="left"/>
            </w:pPr>
            <w:r>
              <w:t xml:space="preserve">[-0.00248, 0.0248]</w:t>
            </w:r>
          </w:p>
        </w:tc>
        <w:tc>
          <w:tcPr/>
          <w:p>
            <w:pPr>
              <w:pStyle w:val="Compact"/>
              <w:jc w:val="right"/>
            </w:pPr>
            <w:r>
              <w:t xml:space="preserve">0.1100</w:t>
            </w:r>
          </w:p>
        </w:tc>
        <w:tc>
          <w:tcPr/>
          <w:p>
            <w:pPr>
              <w:pStyle w:val="Compact"/>
              <w:jc w:val="left"/>
            </w:pPr>
            <w:r>
              <w:t xml:space="preserve">7,070</w:t>
            </w:r>
          </w:p>
        </w:tc>
        <w:tc>
          <w:tcPr/>
          <w:p>
            <w:pPr>
              <w:pStyle w:val="Compact"/>
              <w:jc w:val="right"/>
            </w:pPr>
            <w:r>
              <w:t xml:space="preserve">50</w:t>
            </w:r>
          </w:p>
        </w:tc>
      </w:tr>
    </w:tbl>
    <w:bookmarkEnd w:id="26"/>
    <w:bookmarkStart w:id="46" w:name="references"/>
    <w:p>
      <w:pPr>
        <w:pStyle w:val="Heading1"/>
      </w:pPr>
      <w:r>
        <w:t xml:space="preserve">References</w:t>
      </w:r>
    </w:p>
    <w:bookmarkStart w:id="45" w:name="refs"/>
    <w:bookmarkStart w:id="28" w:name="ref-bell2019fixed"/>
    <w:p>
      <w:pPr>
        <w:pStyle w:val="Bibliography"/>
      </w:pPr>
      <w:r>
        <w:t xml:space="preserve">Bell, Andrew, Malcolm Fairbrother, and Kelvyn Jones. 2019.</w:t>
      </w:r>
      <w:r>
        <w:t xml:space="preserve"> </w:t>
      </w:r>
      <w:r>
        <w:t xml:space="preserve">“Fixed and Random Effects Models: Making an Informed Choice.”</w:t>
      </w:r>
      <w:r>
        <w:t xml:space="preserve"> </w:t>
      </w:r>
      <w:r>
        <w:rPr>
          <w:i/>
          <w:iCs/>
        </w:rPr>
        <w:t xml:space="preserve">Quality &amp; Quantity</w:t>
      </w:r>
      <w:r>
        <w:t xml:space="preserve"> </w:t>
      </w:r>
      <w:r>
        <w:t xml:space="preserve">53 (2): 1051–74.</w:t>
      </w:r>
      <w:r>
        <w:t xml:space="preserve"> </w:t>
      </w:r>
      <w:hyperlink r:id="rId27">
        <w:r>
          <w:rPr>
            <w:rStyle w:val="Hyperlink"/>
          </w:rPr>
          <w:t xml:space="preserve">https://doi.org/10.1007/s11135-018-0802-x</w:t>
        </w:r>
      </w:hyperlink>
      <w:r>
        <w:t xml:space="preserve">.</w:t>
      </w:r>
    </w:p>
    <w:bookmarkEnd w:id="28"/>
    <w:bookmarkStart w:id="30" w:name="ref-fick2017worldclim"/>
    <w:p>
      <w:pPr>
        <w:pStyle w:val="Bibliography"/>
      </w:pPr>
      <w:r>
        <w:t xml:space="preserve">Fick, Stephen E., and Robert J. Hijmans. 2017.</w:t>
      </w:r>
      <w:r>
        <w:t xml:space="preserve"> </w:t>
      </w:r>
      <w:r>
        <w:t xml:space="preserve">“WorldClim 2: New 1-Km Spatial Resolution Climate Surfaces for Global Land Areas.”</w:t>
      </w:r>
      <w:r>
        <w:t xml:space="preserve"> </w:t>
      </w:r>
      <w:r>
        <w:rPr>
          <w:i/>
          <w:iCs/>
        </w:rPr>
        <w:t xml:space="preserve">International Journal of Climatology</w:t>
      </w:r>
      <w:r>
        <w:t xml:space="preserve"> </w:t>
      </w:r>
      <w:r>
        <w:t xml:space="preserve">37 (12): 4302–15.</w:t>
      </w:r>
      <w:r>
        <w:t xml:space="preserve"> </w:t>
      </w:r>
      <w:hyperlink r:id="rId29">
        <w:r>
          <w:rPr>
            <w:rStyle w:val="Hyperlink"/>
          </w:rPr>
          <w:t xml:space="preserve">https://doi.org/10.1002/joc.5086</w:t>
        </w:r>
      </w:hyperlink>
      <w:r>
        <w:t xml:space="preserve">.</w:t>
      </w:r>
    </w:p>
    <w:bookmarkEnd w:id="30"/>
    <w:bookmarkStart w:id="32" w:name="ref-harris2020crudata"/>
    <w:p>
      <w:pPr>
        <w:pStyle w:val="Bibliography"/>
      </w:pPr>
      <w:r>
        <w:t xml:space="preserve">Harris, Ian, Timothy J. Osborn, Phil Jones, and David Lister. 2020.</w:t>
      </w:r>
      <w:r>
        <w:t xml:space="preserve"> </w:t>
      </w:r>
      <w:r>
        <w:t xml:space="preserve">“Version 4 of the</w:t>
      </w:r>
      <w:r>
        <w:t xml:space="preserve"> </w:t>
      </w:r>
      <w:r>
        <w:t xml:space="preserve">CRU TS</w:t>
      </w:r>
      <w:r>
        <w:t xml:space="preserve"> </w:t>
      </w:r>
      <w:r>
        <w:t xml:space="preserve">Monthly High-Resolution Gridded Multivariate Climate Dataset.”</w:t>
      </w:r>
      <w:r>
        <w:t xml:space="preserve"> </w:t>
      </w:r>
      <w:r>
        <w:rPr>
          <w:i/>
          <w:iCs/>
        </w:rPr>
        <w:t xml:space="preserve">Scientific Data</w:t>
      </w:r>
      <w:r>
        <w:t xml:space="preserve"> </w:t>
      </w:r>
      <w:r>
        <w:t xml:space="preserve">7 (1): 109.</w:t>
      </w:r>
      <w:r>
        <w:t xml:space="preserve"> </w:t>
      </w:r>
      <w:hyperlink r:id="rId31">
        <w:r>
          <w:rPr>
            <w:rStyle w:val="Hyperlink"/>
          </w:rPr>
          <w:t xml:space="preserve">https://doi.org/10.1038/s41597-020-0453-3</w:t>
        </w:r>
      </w:hyperlink>
      <w:r>
        <w:t xml:space="preserve">.</w:t>
      </w:r>
    </w:p>
    <w:bookmarkEnd w:id="32"/>
    <w:bookmarkStart w:id="34" w:name="ref-mundlak1978pooling"/>
    <w:p>
      <w:pPr>
        <w:pStyle w:val="Bibliography"/>
      </w:pPr>
      <w:r>
        <w:t xml:space="preserve">Mundlak, Yair. 1978.</w:t>
      </w:r>
      <w:r>
        <w:t xml:space="preserve"> </w:t>
      </w:r>
      <w:r>
        <w:t xml:space="preserve">“On the Pooling of Time Series and Cross Section Data.”</w:t>
      </w:r>
      <w:r>
        <w:t xml:space="preserve"> </w:t>
      </w:r>
      <w:r>
        <w:rPr>
          <w:i/>
          <w:iCs/>
        </w:rPr>
        <w:t xml:space="preserve">Econometrica</w:t>
      </w:r>
      <w:r>
        <w:t xml:space="preserve"> </w:t>
      </w:r>
      <w:r>
        <w:t xml:space="preserve">46 (1): 69–85.</w:t>
      </w:r>
      <w:r>
        <w:t xml:space="preserve"> </w:t>
      </w:r>
      <w:hyperlink r:id="rId33">
        <w:r>
          <w:rPr>
            <w:rStyle w:val="Hyperlink"/>
          </w:rPr>
          <w:t xml:space="preserve">https://doi.org/10.2307/1913646</w:t>
        </w:r>
      </w:hyperlink>
      <w:r>
        <w:t xml:space="preserve">.</w:t>
      </w:r>
    </w:p>
    <w:bookmarkEnd w:id="34"/>
    <w:bookmarkStart w:id="36" w:name="ref-nakagawa2015metaanalysis"/>
    <w:p>
      <w:pPr>
        <w:pStyle w:val="Bibliography"/>
      </w:pPr>
      <w:r>
        <w:t xml:space="preserve">Nakagawa, Shinichi, Robert Poulin, Kerrie Mengersen, et al. 2015.</w:t>
      </w:r>
      <w:r>
        <w:t xml:space="preserve"> </w:t>
      </w:r>
      <w:r>
        <w:t xml:space="preserve">“Meta-Analysis of Variation: Ecological and Evolutionary Applications and Beyond.”</w:t>
      </w:r>
      <w:r>
        <w:t xml:space="preserve"> </w:t>
      </w:r>
      <w:r>
        <w:rPr>
          <w:i/>
          <w:iCs/>
        </w:rPr>
        <w:t xml:space="preserve">Methods in Ecology and Evolution</w:t>
      </w:r>
      <w:r>
        <w:t xml:space="preserve"> </w:t>
      </w:r>
      <w:r>
        <w:t xml:space="preserve">6 (2): 143–52.</w:t>
      </w:r>
      <w:r>
        <w:t xml:space="preserve"> </w:t>
      </w:r>
      <w:hyperlink r:id="rId35">
        <w:r>
          <w:rPr>
            <w:rStyle w:val="Hyperlink"/>
          </w:rPr>
          <w:t xml:space="preserve">https://doi.org/10.1111/2041-210X.12309</w:t>
        </w:r>
      </w:hyperlink>
      <w:r>
        <w:t xml:space="preserve">.</w:t>
      </w:r>
    </w:p>
    <w:bookmarkEnd w:id="36"/>
    <w:bookmarkStart w:id="38" w:name="ref-rodrigues_atlantic_2019"/>
    <w:p>
      <w:pPr>
        <w:pStyle w:val="Bibliography"/>
      </w:pPr>
      <w:r>
        <w:t xml:space="preserve">Rodrigues, Rodolpho Credo, Érica Hasui, Julia Camara Assis, et al. 2019.</w:t>
      </w:r>
      <w:r>
        <w:t xml:space="preserve"> </w:t>
      </w:r>
      <w:r>
        <w:t xml:space="preserve">“</w:t>
      </w:r>
      <w:r>
        <w:t xml:space="preserve">ATLANTIC</w:t>
      </w:r>
      <w:r>
        <w:t xml:space="preserve"> </w:t>
      </w:r>
      <w:r>
        <w:t xml:space="preserve">BIRD</w:t>
      </w:r>
      <w:r>
        <w:t xml:space="preserve"> </w:t>
      </w:r>
      <w:r>
        <w:t xml:space="preserve">TRAITS</w:t>
      </w:r>
      <w:r>
        <w:t xml:space="preserve">: A Data Set of Bird Morphological Traits from the</w:t>
      </w:r>
      <w:r>
        <w:t xml:space="preserve"> </w:t>
      </w:r>
      <w:r>
        <w:t xml:space="preserve">Atlantic</w:t>
      </w:r>
      <w:r>
        <w:t xml:space="preserve"> </w:t>
      </w:r>
      <w:r>
        <w:t xml:space="preserve">Forests of</w:t>
      </w:r>
      <w:r>
        <w:t xml:space="preserve"> </w:t>
      </w:r>
      <w:r>
        <w:t xml:space="preserve">South</w:t>
      </w:r>
      <w:r>
        <w:t xml:space="preserve"> </w:t>
      </w:r>
      <w:r>
        <w:t xml:space="preserve">America</w:t>
      </w:r>
      <w:r>
        <w:t xml:space="preserve">.”</w:t>
      </w:r>
      <w:r>
        <w:t xml:space="preserve"> </w:t>
      </w:r>
      <w:r>
        <w:rPr>
          <w:i/>
          <w:iCs/>
        </w:rPr>
        <w:t xml:space="preserve">Ecology</w:t>
      </w:r>
      <w:r>
        <w:t xml:space="preserve"> </w:t>
      </w:r>
      <w:r>
        <w:t xml:space="preserve">100 (6): e02647.</w:t>
      </w:r>
      <w:r>
        <w:t xml:space="preserve"> </w:t>
      </w:r>
      <w:hyperlink r:id="rId37">
        <w:r>
          <w:rPr>
            <w:rStyle w:val="Hyperlink"/>
          </w:rPr>
          <w:t xml:space="preserve">https://doi.org/10.1002/ecy.2647</w:t>
        </w:r>
      </w:hyperlink>
      <w:r>
        <w:t xml:space="preserve">.</w:t>
      </w:r>
    </w:p>
    <w:bookmarkEnd w:id="38"/>
    <w:bookmarkStart w:id="40" w:name="ref-vicenteserrano2010multiscalar"/>
    <w:p>
      <w:pPr>
        <w:pStyle w:val="Bibliography"/>
      </w:pPr>
      <w:r>
        <w:t xml:space="preserve">Vicente-Serrano, Sergio M., Santiago Beguerı́a, and Juan I. López-Moreno. 2010.</w:t>
      </w:r>
      <w:r>
        <w:t xml:space="preserve"> </w:t>
      </w:r>
      <w:r>
        <w:t xml:space="preserve">“A Multiscalar Drought Index Sensitive to Global Warming: The</w:t>
      </w:r>
      <w:r>
        <w:t xml:space="preserve"> </w:t>
      </w:r>
      <w:r>
        <w:t xml:space="preserve">Standardized Precipitation Evapotranspiration Index</w:t>
      </w:r>
      <w:r>
        <w:t xml:space="preserve">.”</w:t>
      </w:r>
      <w:r>
        <w:t xml:space="preserve"> </w:t>
      </w:r>
      <w:r>
        <w:rPr>
          <w:i/>
          <w:iCs/>
        </w:rPr>
        <w:t xml:space="preserve">Journal of Climate</w:t>
      </w:r>
      <w:r>
        <w:t xml:space="preserve"> </w:t>
      </w:r>
      <w:r>
        <w:t xml:space="preserve">23 (7): 1696–718.</w:t>
      </w:r>
      <w:r>
        <w:t xml:space="preserve"> </w:t>
      </w:r>
      <w:hyperlink r:id="rId39">
        <w:r>
          <w:rPr>
            <w:rStyle w:val="Hyperlink"/>
          </w:rPr>
          <w:t xml:space="preserve">https://doi.org/10.1175/2009JCLI2909.1</w:t>
        </w:r>
      </w:hyperlink>
      <w:r>
        <w:t xml:space="preserve">.</w:t>
      </w:r>
    </w:p>
    <w:bookmarkEnd w:id="40"/>
    <w:bookmarkStart w:id="42" w:name="ref-viechtbauer2010metafor"/>
    <w:p>
      <w:pPr>
        <w:pStyle w:val="Bibliography"/>
      </w:pPr>
      <w:r>
        <w:t xml:space="preserve">Viechtbauer, Wolfgang. 2010.</w:t>
      </w:r>
      <w:r>
        <w:t xml:space="preserve"> </w:t>
      </w:r>
      <w:r>
        <w:t xml:space="preserve">“Conducting Meta-Analyses in</w:t>
      </w:r>
      <w:r>
        <w:t xml:space="preserve"> </w:t>
      </w:r>
      <w:r>
        <w:t xml:space="preserve">R</w:t>
      </w:r>
      <w:r>
        <w:t xml:space="preserve"> </w:t>
      </w:r>
      <w:r>
        <w:t xml:space="preserve">with the</w:t>
      </w:r>
      <w:r>
        <w:t xml:space="preserve"> </w:t>
      </w:r>
      <w:r>
        <w:t xml:space="preserve">metafor</w:t>
      </w:r>
      <w:r>
        <w:t xml:space="preserve"> </w:t>
      </w:r>
      <w:r>
        <w:t xml:space="preserve">Package.”</w:t>
      </w:r>
      <w:r>
        <w:t xml:space="preserve"> </w:t>
      </w:r>
      <w:r>
        <w:rPr>
          <w:i/>
          <w:iCs/>
        </w:rPr>
        <w:t xml:space="preserve">Journal of Statistical Software</w:t>
      </w:r>
      <w:r>
        <w:t xml:space="preserve"> </w:t>
      </w:r>
      <w:r>
        <w:t xml:space="preserve">36 (3): 1–48.</w:t>
      </w:r>
      <w:r>
        <w:t xml:space="preserve"> </w:t>
      </w:r>
      <w:hyperlink r:id="rId41">
        <w:r>
          <w:rPr>
            <w:rStyle w:val="Hyperlink"/>
          </w:rPr>
          <w:t xml:space="preserve">https://doi.org/10.18637/jss.v036.i03</w:t>
        </w:r>
      </w:hyperlink>
      <w:r>
        <w:t xml:space="preserve">.</w:t>
      </w:r>
    </w:p>
    <w:bookmarkEnd w:id="42"/>
    <w:bookmarkStart w:id="44" w:name="ref-yezerinac1992measurement"/>
    <w:p>
      <w:pPr>
        <w:pStyle w:val="Bibliography"/>
      </w:pPr>
      <w:r>
        <w:t xml:space="preserve">Yezerinac, Stephen M., Stephen C. Lougheed, and Paul Handford. 1992.</w:t>
      </w:r>
      <w:r>
        <w:t xml:space="preserve"> </w:t>
      </w:r>
      <w:r>
        <w:t xml:space="preserve">“Measurement Error and Morphometric Studies: Statistical Power and Observer Experience.”</w:t>
      </w:r>
      <w:r>
        <w:t xml:space="preserve"> </w:t>
      </w:r>
      <w:r>
        <w:rPr>
          <w:i/>
          <w:iCs/>
        </w:rPr>
        <w:t xml:space="preserve">Systematic Biology</w:t>
      </w:r>
      <w:r>
        <w:t xml:space="preserve"> </w:t>
      </w:r>
      <w:r>
        <w:t xml:space="preserve">41 (4): 471–82.</w:t>
      </w:r>
      <w:r>
        <w:t xml:space="preserve"> </w:t>
      </w:r>
      <w:hyperlink r:id="rId43">
        <w:r>
          <w:rPr>
            <w:rStyle w:val="Hyperlink"/>
          </w:rPr>
          <w:t xml:space="preserve">https://doi.org/10.1093/sysbio/41.4.471</w:t>
        </w:r>
      </w:hyperlink>
      <w:r>
        <w:t xml:space="preserve">.</w:t>
      </w:r>
    </w:p>
    <w:bookmarkEnd w:id="44"/>
    <w:bookmarkEnd w:id="45"/>
    <w:bookmarkEnd w:id="46"/>
    <w:sectPr>
      <w:footerReference r:id="rIdFooter1"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arget="footer1.xml" Type="http://schemas.openxmlformats.org/officeDocument/2006/relationships/footer" /><Relationship Type="http://schemas.openxmlformats.org/officeDocument/2006/relationships/image" Id="rId16" Target="media/rId16.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0" Target="media/rId20.png" /><Relationship Type="http://schemas.openxmlformats.org/officeDocument/2006/relationships/hyperlink" Id="rId37" Target="https://doi.org/10.1002/ecy.2647" TargetMode="External" /><Relationship Type="http://schemas.openxmlformats.org/officeDocument/2006/relationships/hyperlink" Id="rId29" Target="https://doi.org/10.1002/joc.5086" TargetMode="External" /><Relationship Type="http://schemas.openxmlformats.org/officeDocument/2006/relationships/hyperlink" Id="rId27" Target="https://doi.org/10.1007/s11135-018-0802-x" TargetMode="External" /><Relationship Type="http://schemas.openxmlformats.org/officeDocument/2006/relationships/hyperlink" Id="rId31" Target="https://doi.org/10.1038/s41597-020-0453-3" TargetMode="External" /><Relationship Type="http://schemas.openxmlformats.org/officeDocument/2006/relationships/hyperlink" Id="rId43" Target="https://doi.org/10.1093/sysbio/41.4.471" TargetMode="External" /><Relationship Type="http://schemas.openxmlformats.org/officeDocument/2006/relationships/hyperlink" Id="rId35" Target="https://doi.org/10.1111/2041-210X.12309" TargetMode="External" /><Relationship Type="http://schemas.openxmlformats.org/officeDocument/2006/relationships/hyperlink" Id="rId39" Target="https://doi.org/10.1175/2009JCLI2909.1" TargetMode="External" /><Relationship Type="http://schemas.openxmlformats.org/officeDocument/2006/relationships/hyperlink" Id="rId41" Target="https://doi.org/10.18637/jss.v036.i03" TargetMode="External" /><Relationship Type="http://schemas.openxmlformats.org/officeDocument/2006/relationships/hyperlink" Id="rId33" Target="https://doi.org/10.2307/1913646" TargetMode="External" /></Relationships>
</file>

<file path=word/_rels/footnotes.xml.rels><?xml version="1.0" encoding="UTF-8"?><Relationships xmlns="http://schemas.openxmlformats.org/package/2006/relationships"><Relationship Type="http://schemas.openxmlformats.org/officeDocument/2006/relationships/hyperlink" Id="rId37" Target="https://doi.org/10.1002/ecy.2647" TargetMode="External" /><Relationship Type="http://schemas.openxmlformats.org/officeDocument/2006/relationships/hyperlink" Id="rId29" Target="https://doi.org/10.1002/joc.5086" TargetMode="External" /><Relationship Type="http://schemas.openxmlformats.org/officeDocument/2006/relationships/hyperlink" Id="rId27" Target="https://doi.org/10.1007/s11135-018-0802-x" TargetMode="External" /><Relationship Type="http://schemas.openxmlformats.org/officeDocument/2006/relationships/hyperlink" Id="rId31" Target="https://doi.org/10.1038/s41597-020-0453-3" TargetMode="External" /><Relationship Type="http://schemas.openxmlformats.org/officeDocument/2006/relationships/hyperlink" Id="rId43" Target="https://doi.org/10.1093/sysbio/41.4.471" TargetMode="External" /><Relationship Type="http://schemas.openxmlformats.org/officeDocument/2006/relationships/hyperlink" Id="rId35" Target="https://doi.org/10.1111/2041-210X.12309" TargetMode="External" /><Relationship Type="http://schemas.openxmlformats.org/officeDocument/2006/relationships/hyperlink" Id="rId39" Target="https://doi.org/10.1175/2009JCLI2909.1" TargetMode="External" /><Relationship Type="http://schemas.openxmlformats.org/officeDocument/2006/relationships/hyperlink" Id="rId41" Target="https://doi.org/10.18637/jss.v036.i03" TargetMode="External" /><Relationship Type="http://schemas.openxmlformats.org/officeDocument/2006/relationships/hyperlink" Id="rId33" Target="https://doi.org/10.2307/19136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Morphological stability and subtle phenotypic shifts in Atlantic Forest birds across two decades of climate warming</dc:title>
  <dc:creator>Eduardo S.A. Santos; Ayumi Mizuno; Santiago Ortega; Gustavo Burin</dc:creator>
  <cp:keywords/>
  <dcterms:created xsi:type="dcterms:W3CDTF">2026-09-30T19:22:35Z</dcterms:created>
  <dcterms:modified xsi:type="dcterms:W3CDTF">2026-09-30T19:22:35Z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