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31.png" ContentType="image/png"/>
  <Override PartName="/word/media/rId10.png" ContentType="image/png"/>
  <Override PartName="/word/media/rId25.png" ContentType="image/png"/>
  <Override PartName="/word/media/rId35.png" ContentType="image/png"/>
  <Override PartName="/word/media/rId15.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has been widely hypothesized as a general ecological response of endotherms to anthropogenic climate warming. In tropical biomes, empirical evaluations of multi-decadal phenotypic trends remain scarce. In the continuous primary rainforests of the central Amazon, 77 resident understorey bird species were documented to exhibit widespread declines in body mass alongside wing elongation over four decades (Jirinec et al. 2021).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width, and among-individual variability under 0.25°C/decade of regional warming. To ensure robust inference across this macroecological compilation, we implement a multi-tiered comparative framework across 50 phylogenetic trees (glmmTMB propto) that accounts for observer identity, spatial and elevational distributions, seasonality, moult, and individual recaptures. In contrast to Amazonian patterns, Atlantic Forest passerines exhibit stability in body mass (−0.91%/decade, 95% CI: −2.72 to +0.94%), despite marked diurnal mass gains (+0.40%/hour). Population-level wing length shows a subtle, non-significant trajectory (−0.74 mm/decade, 95% CI: −1.55 to +0.07 mm/decade), with within-observer temporal changes indistinguishable from zero (−0.32 mm/decade, 95% CI: −1.59 to +0.96). Interspecific variation is pronounced: while 49 species display negative point estimates, 61 of 72 species with wing data have intervals overlapping zero, demonstrating community-wide heterogeneity rather than uniform shrinkage. Bill width remains constant over time (−0.03 mm/decade, 95% CI: −0.18 to +0.13 mm/decade), providing no support for generalized thermoregulatory appendage expansion under Allen’s rule. On 7,577 shared records from the same individuals, body mass was significantly more conserved than expected under cubic geometric shrinkage (+4.85%/decade contrast, 95% CI: +0.81 to +8.89%, rejecting isometry toward slight stoutening), in contrast to Amazonian slenderization. Furthermore, evaluating interannual temperature anomalies revealed that while body mass remained decoupled from thermal variation, warmer temperatures directly modulated allometric shape change toward relative wing shortening and mass retention (p = 0.030), indicating that thermal variation actively promotes subtle stoutening rather than slenderization. Among-individual phenotypic variability remains stable over time, and dietary reliance on invertebrates does not predict morphological sensitivity (obligate insectivore slope: −0.15 mm/decade, spanning zero). Our findings reveal that resident birds in the fragmented Atlantic Forest maintain phenotypic stability under warming, contrasting with the systematic mass loss and wing elongation documented in intact Amazonian forests, and underscore the critical role of comprehensive provenance controls for robust macroecological discovery.</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general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exceptionally scarce. A key long-term benchmark was provided by</w:t>
      </w:r>
      <w:r>
        <w:t xml:space="preserve"> </w:t>
      </w:r>
      <w:r>
        <w:t xml:space="preserve">Jirinec et al. (2021)</w:t>
      </w:r>
      <w:r>
        <w:t xml:space="preserve">, who analyzed four decades (1979–2019) of standardized field measurements from 77 non-migratory understorey bird species in the continuous primary rainforests of the central Amazon (Biological Dynamics of Forest Fragments Project, BDFFP). They documented widespread declines in body mass (with negative point estimates in all 77 species) alongside wing elongation across roughly a third of species, resulting in reductions in mass-to-wing ratio (wing loading). This decoupling was interpreted as an adaptive shift to enhance flight economy and minimize metabolic heat production during foraging in an increasingly warm tropical understorey</w:t>
      </w:r>
      <w:r>
        <w:t xml:space="preserve"> </w:t>
      </w:r>
      <w:r>
        <w:t xml:space="preserve">(Jirinec et al. 2021)</w:t>
      </w:r>
      <w:r>
        <w:t xml:space="preserve">.</w:t>
      </w:r>
    </w:p>
    <w:p>
      <w:pPr>
        <w:pStyle w:val="BodyText"/>
      </w:pPr>
      <w:r>
        <w:t xml:space="preserve">Whether such morphological trajectories represent a general tropical response or reflect specific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Does bill width expand over time, testing Allen’s rule for thermoregulatory extremity enlargement?</w:t>
      </w:r>
      <w:r>
        <w:t xml:space="preserve"> </w:t>
      </w:r>
      <w:r>
        <w:t xml:space="preserve">(4) Are wing length and body mass decoupled on the same individuals, and do interannual temperature anomalies directly modulate morphological allometry?</w:t>
      </w:r>
      <w:r>
        <w:t xml:space="preserve"> </w:t>
      </w:r>
      <w:r>
        <w:t xml:space="preserve">(5) Does among-individual phenotypic variability expand under warming, and does dietary reliance on invertebrates modulate morphological sensitivity to climate trends?</w:t>
      </w:r>
    </w:p>
    <w:bookmarkEnd w:id="9"/>
    <w:bookmarkStart w:id="53"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 across 72 species;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across the three focal traits revealed substantial variation across the avian community (</w:t>
      </w:r>
      <w:hyperlink w:anchor="fig-trends">
        <w:r>
          <w:rPr>
            <w:rStyle w:val="Hyperlink"/>
          </w:rPr>
          <w:t xml:space="preserve">Figure 2</w:t>
        </w:r>
      </w:hyperlink>
      <w:r>
        <w:t xml:space="preserve">): wing length exhibited decreases in 43 species and increases in 18 species (</w:t>
      </w:r>
      <w:hyperlink w:anchor="fig-trends">
        <w:r>
          <w:rPr>
            <w:rStyle w:val="Hyperlink"/>
          </w:rPr>
          <w:t xml:space="preserve">Figure 2</w:t>
        </w:r>
      </w:hyperlink>
      <w:r>
        <w:t xml:space="preserve"> </w:t>
      </w:r>
      <w:r>
        <w:t xml:space="preserve">A), body mass decreased in 36 species and increased in 26 species (</w:t>
      </w:r>
      <w:hyperlink w:anchor="fig-trends">
        <w:r>
          <w:rPr>
            <w:rStyle w:val="Hyperlink"/>
          </w:rPr>
          <w:t xml:space="preserve">Figure 2</w:t>
        </w:r>
      </w:hyperlink>
      <w:r>
        <w:t xml:space="preserve"> </w:t>
      </w:r>
      <w:r>
        <w:t xml:space="preserve">B), and bill width decreased in 13 species and increased in 31 species (</w:t>
      </w:r>
      <w:hyperlink w:anchor="fig-trends">
        <w:r>
          <w:rPr>
            <w:rStyle w:val="Hyperlink"/>
          </w:rPr>
          <w:t xml:space="preserve">Figure 2</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2109297"/>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210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body mass, and bill width between early and late sampling periods. Paired per-species means between the early (1995–2006) and late (2013–2018) periods for (A) wing length (</w:t>
            </w:r>
            <m:oMath>
              <m:r>
                <m:t>n</m:t>
              </m:r>
              <m:r>
                <m:rPr>
                  <m:sty m:val="p"/>
                </m:rPr>
                <m:t>=</m:t>
              </m:r>
              <m:r>
                <m:t>61</m:t>
              </m:r>
            </m:oMath>
            <w:r>
              <w:t xml:space="preserve"> </w:t>
            </w:r>
            <w:r>
              <w:t xml:space="preserve">species), (B) body mass (</w:t>
            </w:r>
            <m:oMath>
              <m:r>
                <m:t>n</m:t>
              </m:r>
              <m:r>
                <m:rPr>
                  <m:sty m:val="p"/>
                </m:rPr>
                <m:t>=</m:t>
              </m:r>
              <m:r>
                <m:t>62</m:t>
              </m:r>
            </m:oMath>
            <w:r>
              <w:t xml:space="preserve"> </w:t>
            </w:r>
            <w:r>
              <w:t xml:space="preserve">species), and (C) bill width (</w:t>
            </w:r>
            <m:oMath>
              <m:r>
                <m:t>n</m:t>
              </m:r>
              <m:r>
                <m:rPr>
                  <m:sty m:val="p"/>
                </m:rPr>
                <m:t>=</m:t>
              </m:r>
              <m:r>
                <m:t>44</m:t>
              </m:r>
            </m:oMath>
            <w:r>
              <w:t xml:space="preserve"> </w:t>
            </w:r>
            <w:r>
              <w:t xml:space="preserve">species)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(M1) immediately reduced the estimated rate of decline to</w:t>
      </w:r>
      <w:r>
        <w:t xml:space="preserve"> </w:t>
      </w:r>
      <m:oMath>
        <m:r>
          <m:t>β</m:t>
        </m:r>
        <m:r>
          <m:rPr>
            <m:sty m:val="p"/>
          </m:rPr>
          <m:t>=</m:t>
        </m:r>
        <m:r>
          <m:rPr>
            <m:sty m:val="p"/>
          </m:rPr>
          <m:t>−</m:t>
        </m:r>
        <m:r>
          <m:t>0.68</m:t>
        </m:r>
      </m:oMath>
      <w:r>
        <w:t xml:space="preserve"> </w:t>
      </w:r>
      <w:r>
        <w:t xml:space="preserve">mm/SD-year (−1.4 mm/decade;</w:t>
      </w:r>
      <w:r>
        <w:t xml:space="preserve"> </w:t>
      </w:r>
      <w:hyperlink w:anchor="tbl-controlled-wing">
        <w:r>
          <w:rPr>
            <w:rStyle w:val="Hyperlink"/>
          </w:rPr>
          <w:t xml:space="preserve">Table 1</w:t>
        </w:r>
      </w:hyperlink>
      <w:r>
        <w:t xml:space="preserve">). Further incorporating protocol proxies (wing column),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individual recaptures, and 50 phylogenetic trees—yielded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Crucially, the 95% credible interval of this fully controlled estimate comfortably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with wing measurements displayed negative point estimates, 61 of 72 species had 95% intervals overlapping zero (one species in the 73-species analytical sample,</w:t>
      </w:r>
      <w:r>
        <w:t xml:space="preserve"> </w:t>
      </w:r>
      <w:r>
        <w:rPr>
          <w:i/>
          <w:iCs/>
        </w:rPr>
        <w:t xml:space="preserve">Herpsilochmus pectoralis</w:t>
      </w:r>
      <w:r>
        <w:t xml:space="preserve">, lacked wing length and body mass data and was measured only for bill and tarsus traits).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an identical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in Atlantic Forest passerines are modest, varied across species, and statistically indistinguishable from zero at the community level.</w:t>
      </w:r>
    </w:p>
    <w:bookmarkEnd w:id="29"/>
    <w:bookmarkStart w:id="40" w:name="Xe386fa2e79ea564ffc4e1aa08f79406f162231b"/>
    <w:p>
      <w:pPr>
        <w:pStyle w:val="Heading2"/>
      </w:pPr>
      <w:r>
        <w:t xml:space="preserve">2.3 Body mass stability and wing–mass allometry on shared individuals</w:t>
      </w:r>
    </w:p>
    <w:p>
      <w:pPr>
        <w:pStyle w:val="FirstParagraph"/>
      </w:pPr>
      <w:r>
        <w:t xml:space="preserve">In contrast to the widespread body mass declines documented in the central Amazon</w:t>
      </w:r>
      <w:r>
        <w:t xml:space="preserve"> </w:t>
      </w:r>
      <w:r>
        <w:t xml:space="preserve">(Jirinec et al. 2021)</w:t>
      </w:r>
      <w:r>
        <w:t xml:space="preserve">, Atlantic Forest passerines exhibited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ass-allometry">
        <w:r>
          <w:rPr>
            <w:rStyle w:val="Hyperlink"/>
          </w:rPr>
          <w:t xml:space="preserve">Table 2</w:t>
        </w:r>
      </w:hyperlink>
      <w:r>
        <w:t xml:space="preserve">). In an unadjusted baseline phylogenetic model (M0) that accounted only for sex, latitude, species random slopes, and 50 phylogenetic trees, log body mass showed a slight, non-significant downward trend:</w:t>
      </w:r>
      <w:r>
        <w:t xml:space="preserve"> </w:t>
      </w:r>
      <m:oMath>
        <m:r>
          <m:t>β</m:t>
        </m:r>
        <m:r>
          <m:rPr>
            <m:sty m:val="p"/>
          </m:rPr>
          <m:t>=</m:t>
        </m:r>
        <m:r>
          <m:rPr>
            <m:sty m:val="p"/>
          </m:rPr>
          <m:t>−</m:t>
        </m:r>
        <m:r>
          <m:t>0.0072</m:t>
        </m:r>
      </m:oMath>
      <w:r>
        <w:t xml:space="preserve"> </w:t>
      </w:r>
      <w:r>
        <w:t xml:space="preserve">per SD-year (95% CI: −0.0165 to 0.0021, corresponding to −1.4%/decade;</w:t>
      </w:r>
      <w:r>
        <w:t xml:space="preserve"> </w:t>
      </w:r>
      <w:hyperlink w:anchor="tbl-mass-allometry">
        <w:r>
          <w:rPr>
            <w:rStyle w:val="Hyperlink"/>
          </w:rPr>
          <w:t xml:space="preserve">Table 2</w:t>
        </w:r>
      </w:hyperlink>
      <w:r>
        <w:t xml:space="preserve">).</w:t>
      </w:r>
    </w:p>
    <w:p>
      <w:pPr>
        <w:pStyle w:val="BodyText"/>
      </w:pPr>
      <w:r>
        <w:t xml:space="preserve">Accounting for observer identity (M1) reduced this slope to</w:t>
      </w:r>
      <w:r>
        <w:t xml:space="preserve"> </w:t>
      </w:r>
      <m:oMath>
        <m:r>
          <m:t>β</m:t>
        </m:r>
        <m:r>
          <m:rPr>
            <m:sty m:val="p"/>
          </m:rPr>
          <m:t>=</m:t>
        </m:r>
        <m:r>
          <m:rPr>
            <m:sty m:val="p"/>
          </m:rPr>
          <m:t>−</m:t>
        </m:r>
        <m:r>
          <m:t>0.0063</m:t>
        </m:r>
      </m:oMath>
      <w:r>
        <w:t xml:space="preserve"> </w:t>
      </w:r>
      <w:r>
        <w:t xml:space="preserve">per SD-year (95% CI: −0.0160 to 0.0034, −1.3%/decade;</w:t>
      </w:r>
      <w:r>
        <w:t xml:space="preserve"> </w:t>
      </w:r>
      <w:hyperlink w:anchor="tbl-mass-allometry">
        <w:r>
          <w:rPr>
            <w:rStyle w:val="Hyperlink"/>
          </w:rPr>
          <w:t xml:space="preserve">Table 2</w:t>
        </w:r>
      </w:hyperlink>
      <w:r>
        <w:t xml:space="preserve">). In the fully controlled phylogenetic model (M3)—which additionally incorporated season, active moult, individual band identity, and 50 trees—body mass remained completely stable:</w:t>
      </w:r>
      <w:r>
        <w:t xml:space="preserve"> </w:t>
      </w:r>
      <m:oMath>
        <m:r>
          <m:t>β</m:t>
        </m:r>
        <m:r>
          <m:rPr>
            <m:sty m:val="p"/>
          </m:rPr>
          <m:t>=</m:t>
        </m:r>
        <m:r>
          <m:rPr>
            <m:sty m:val="p"/>
          </m:rPr>
          <m:t>−</m:t>
        </m:r>
        <m:r>
          <m:t>0.0046</m:t>
        </m:r>
      </m:oMath>
      <w:r>
        <w:t xml:space="preserve"> </w:t>
      </w:r>
      <w:r>
        <w:t xml:space="preserve">per SD-year (95% CI: −0.0138 to 0.0047, −0.9%/decade;</w:t>
      </w:r>
      <w:r>
        <w:t xml:space="preserve"> </w:t>
      </w:r>
      <w:hyperlink w:anchor="tbl-mass-allometry">
        <w:r>
          <w:rPr>
            <w:rStyle w:val="Hyperlink"/>
          </w:rPr>
          <w:t xml:space="preserve">Table 2</w:t>
        </w:r>
      </w:hyperlink>
      <w:r>
        <w:t xml:space="preserve">). Crucially, evaluating temporal change strictly within the same field researcher via a Mundlak random-effects model yielded a within-observer slope indistinguishable from zero (</w:t>
      </w:r>
      <m:oMath>
        <m:r>
          <m:t>β</m:t>
        </m:r>
        <m:r>
          <m:rPr>
            <m:sty m:val="p"/>
          </m:rPr>
          <m:t>=</m:t>
        </m:r>
        <m:r>
          <m:rPr>
            <m:sty m:val="p"/>
          </m:rPr>
          <m:t>−</m:t>
        </m:r>
        <m:r>
          <m:t>0.0032</m:t>
        </m:r>
      </m:oMath>
      <w:r>
        <w:t xml:space="preserve"> </w:t>
      </w:r>
      <w:r>
        <w:t xml:space="preserve">per SD-year, 95% CI: −0.0104 to 0.0041, −0.6%/decade;</w:t>
      </w:r>
      <w:r>
        <w:t xml:space="preserve"> </w:t>
      </w:r>
      <w:hyperlink w:anchor="tbl-mass-allomet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ass-allometry"/>
          <w:p>
            <w:pPr>
              <w:jc w:val="center"/>
            </w:pPr>
            <w:pPr>
              <w:jc w:val="left"/>
              <w:spacing w:before="200"/>
              <w:pStyle w:val="ImageCaption"/>
            </w:pPr>
            <w:r>
              <w:t xml:space="preserve">Table 2: 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Observer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within-observer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(Observer control)</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(Observer control)</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(Mass − 3 × Wing)</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Evaluating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completely flat (</w:t>
      </w:r>
      <m:oMath>
        <m:r>
          <m:t>β</m:t>
        </m:r>
        <m:r>
          <m:rPr>
            <m:sty m:val="p"/>
          </m:rPr>
          <m:t>=</m:t>
        </m:r>
        <m:r>
          <m:rPr>
            <m:sty m:val="p"/>
          </m:rPr>
          <m:t>−</m:t>
        </m:r>
        <m:r>
          <m:t>0.0063</m:t>
        </m:r>
      </m:oMath>
      <w:r>
        <w:t xml:space="preserve">, 95% CI: −0.0188 to 0.0062, −1.3%/decade;</w:t>
      </w:r>
      <w:r>
        <w:t xml:space="preserve"> </w:t>
      </w:r>
      <w:hyperlink w:anchor="tbl-mass-allometry">
        <w:r>
          <w:rPr>
            <w:rStyle w:val="Hyperlink"/>
          </w:rPr>
          <w:t xml:space="preserve">Table 2</w:t>
        </w:r>
      </w:hyperlink>
      <w:r>
        <w:t xml:space="preserve">).</w:t>
      </w:r>
    </w:p>
    <w:p>
      <w:pPr>
        <w:pStyle w:val="BodyText"/>
      </w:pPr>
      <w:r>
        <w:t xml:space="preserve">To evaluate whether birds underwent morphological shape changes over time, we analyzed 7,577 shared capture events where wing length and body mass were measured simultaneously on the exact same individual across 72 species. Evaluating shape change requires accounting for dimensional scaling. Because wing length is a linear dimension (</w:t>
      </w:r>
      <m:oMath>
        <m:sSup>
          <m:e>
            <m:r>
              <m:t>L</m:t>
            </m:r>
          </m:e>
          <m:sup>
            <m:r>
              <m:t>1</m:t>
            </m:r>
          </m:sup>
        </m:sSup>
      </m:oMath>
      <w:r>
        <w:t xml:space="preserve">) whereas body mass reflects three-dimensional volume (</w:t>
      </w:r>
      <m:oMath>
        <m:r>
          <m:t>M</m:t>
        </m:r>
        <m:r>
          <m:rPr>
            <m:sty m:val="p"/>
          </m:rPr>
          <m:t>∝</m:t>
        </m:r>
        <m:sSup>
          <m:e>
            <m:r>
              <m:t>L</m:t>
            </m:r>
          </m:e>
          <m:sup>
            <m:r>
              <m:t>3</m:t>
            </m:r>
          </m:sup>
        </m:sSup>
      </m:oMath>
      <w:r>
        <w:t xml:space="preserve">), an animal shrinking uniformly in size without altering its shape (strict geometric isometry) is expected to lose body mass at approximately three times the rate of its linear shrinkage (</w:t>
      </w:r>
      <m:oMath>
        <m:r>
          <m:rPr>
            <m:sty m:val="p"/>
          </m:rPr>
          <m:t>%</m:t>
        </m:r>
        <m:r>
          <m:rPr>
            <m:sty m:val="p"/>
          </m:rPr>
          <m:t>Δ</m:t>
        </m:r>
        <m:r>
          <m:t>M</m:t>
        </m:r>
        <m:r>
          <m:rPr>
            <m:sty m:val="p"/>
          </m:rPr>
          <m:t>≈</m:t>
        </m:r>
        <m:r>
          <m:t>3</m:t>
        </m:r>
        <m:r>
          <m:rPr>
            <m:sty m:val="p"/>
          </m:rPr>
          <m:t>×</m:t>
        </m:r>
        <m:r>
          <m:rPr>
            <m:sty m:val="p"/>
          </m:rPr>
          <m:t>%</m:t>
        </m:r>
        <m:r>
          <m:rPr>
            <m:sty m:val="p"/>
          </m:rPr>
          <m:t>Δ</m:t>
        </m:r>
        <m:r>
          <m:t>L</m:t>
        </m:r>
      </m:oMath>
      <w:r>
        <w:t xml:space="preserve">).</w:t>
      </w:r>
    </w:p>
    <w:p>
      <w:pPr>
        <w:pStyle w:val="BodyText"/>
      </w:pPr>
      <w:r>
        <w:t xml:space="preserve">Across the 7,577 shared records measured simultaneously for both traits under observer control, wing length declined by −1.9%/decade (95% CI: −3.1 to −0.7%) while body mass exhibited decadal stability (−0.9%/decade, 95% CI: −2.7 to 1.0%;</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w:t>
      </w:r>
    </w:p>
    <w:p>
      <w:pPr>
        <w:pStyle w:val="BodyText"/>
      </w:pPr>
      <w:r>
        <w:t xml:space="preserve">Given the observed wing shortening of −1.9%/decade, strict geometric isometry predicts an expected mass decline of −5.6%/decade. We formally tested departure from geometric isometry using the linear contrast (</w:t>
      </w:r>
      <m:oMath>
        <m:r>
          <m:rPr>
            <m:nor/>
            <m:sty m:val="p"/>
          </m:rPr>
          <m:t>mass trend</m:t>
        </m:r>
        <m:r>
          <m:rPr>
            <m:sty m:val="p"/>
          </m:rPr>
          <m:t>−</m:t>
        </m:r>
        <m:r>
          <m:t>3</m:t>
        </m:r>
        <m:r>
          <m:rPr>
            <m:sty m:val="p"/>
          </m:rPr>
          <m:t>×</m:t>
        </m:r>
        <m:r>
          <m:rPr>
            <m:nor/>
            <m:sty m:val="p"/>
          </m:rPr>
          <m:t>wing trend</m:t>
        </m:r>
      </m:oMath>
      <w:r>
        <w:t xml:space="preserve">). Under observer control, the contrast was +4.9%/decade (95% CI: 0.8 to 8.9%,</w:t>
      </w:r>
      <w:r>
        <w:t xml:space="preserve"> </w:t>
      </w:r>
      <m:oMath>
        <m:r>
          <m:t>z</m:t>
        </m:r>
        <m:r>
          <m:rPr>
            <m:sty m:val="p"/>
          </m:rPr>
          <m:t>=</m:t>
        </m:r>
        <m:r>
          <m:t>2.35</m:t>
        </m:r>
      </m:oMath>
      <w:r>
        <w:t xml:space="preserve">,</w:t>
      </w:r>
      <w:r>
        <w:t xml:space="preserve"> </w:t>
      </w:r>
      <m:oMath>
        <m:r>
          <m:t>p</m:t>
        </m:r>
        <m:r>
          <m:rPr>
            <m:sty m:val="p"/>
          </m:rPr>
          <m:t>=</m:t>
        </m:r>
        <m:r>
          <m:t>0.019</m:t>
        </m:r>
      </m:oMath>
      <w:r>
        <w:t xml:space="preserve">;</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 Because the 95% confidence interval strictly excludes zero, the shared-individual data reject strict geometric isometry in favor of mass conservation: passerine body mass declined less than predicted by cubic geometric shrinkage of the wing, indicating a subtle shift toward stoutening.</w:t>
      </w:r>
    </w:p>
    <w:p>
      <w:pPr>
        <w:pStyle w:val="BodyText"/>
      </w:pPr>
      <w:r>
        <w:t xml:space="preserve">In bivariate morphospace (</w:t>
      </w:r>
      <w:hyperlink w:anchor="fig-isometry">
        <w:r>
          <w:rPr>
            <w:rStyle w:val="Hyperlink"/>
          </w:rPr>
          <w:t xml:space="preserve">Figure 5</w:t>
        </w:r>
      </w:hyperlink>
      <w:r>
        <w:t xml:space="preserve"> </w:t>
      </w:r>
      <w:r>
        <w:t xml:space="preserve">B), the Atlantic Forest community 95% confidence ellipse is positioned along the stasis and mild stoutening zone, distinct from the morphological decoupling quadrant documented in the central Amazon (</w:t>
      </w:r>
      <w:r>
        <w:t xml:space="preserve">Jirinec et al. (2021)</w:t>
      </w:r>
      <w:r>
        <w:t xml:space="preserve">), where wings lengthened while body mass declined. Atlantic Forest passerines maintain stable body mass and show no evidence of structural slenderization under warming.</w:t>
      </w:r>
    </w:p>
    <w:tbl>
      <w:tblPr>
        <w:tblStyle w:val="Table"/>
        <w:tblW w:type="pct" w:w="5000"/>
        <w:tblLayout w:type="fixed"/>
        <w:tblLook w:firstRow="0" w:lastRow="0" w:firstColumn="0" w:lastColumn="0" w:noHBand="0" w:noVBand="0" w:val="0000"/>
      </w:tblPr>
      <w:tblGrid>
        <w:gridCol w:w="7920"/>
      </w:tblGrid>
      <w:tr>
        <w:tc>
          <w:tcPr/>
          <w:bookmarkStart w:id="34" w:name="fig-isometry"/>
          <w:p>
            <w:pPr>
              <w:pStyle w:val="Compact"/>
              <w:jc w:val="center"/>
            </w:pPr>
            <w:r>
              <w:drawing>
                <wp:inline>
                  <wp:extent cx="5334000" cy="2454268"/>
                  <wp:effectExtent b="0" l="0" r="0" t="0"/>
                  <wp:docPr descr="" title="" id="32" name="Picture"/>
                  <a:graphic>
                    <a:graphicData uri="http://schemas.openxmlformats.org/drawingml/2006/picture">
                      <pic:pic>
                        <pic:nvPicPr>
                          <pic:cNvPr descr="images/fig-isometry.png" id="33" name="Picture"/>
                          <pic:cNvPicPr>
                            <a:picLocks noChangeArrowheads="1" noChangeAspect="1"/>
                          </pic:cNvPicPr>
                        </pic:nvPicPr>
                        <pic:blipFill>
                          <a:blip r:embed="rId31"/>
                          <a:stretch>
                            <a:fillRect/>
                          </a:stretch>
                        </pic:blipFill>
                        <pic:spPr bwMode="auto">
                          <a:xfrm>
                            <a:off x="0" y="0"/>
                            <a:ext cx="5334000" cy="2454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Bivariate temporal allometry and test of geometric isometry on shared individuals.</w:t>
            </w:r>
            <w:r>
              <w:t xml:space="preserve"> </w:t>
            </w:r>
            <w:r>
              <w:rPr>
                <w:b/>
                <w:bCs/>
              </w:rPr>
              <w:t xml:space="preserve">(A)</w:t>
            </w:r>
            <w:r>
              <w:t xml:space="preserve"> </w:t>
            </w:r>
            <w:r>
              <w:t xml:space="preserve">Decadal rates of morphological change (% per decade) across 50 phylogenetic trees on 7,577 shared records (72 species) with simultaneous wing length and body mass measurements. Points and horizontal bars indicate estimates and 95% confidence intervals for observed wing length, observed body mass, expected isometric mass change under cubic geometric scaling (</w:t>
            </w:r>
            <m:oMath>
              <m:r>
                <m:t>M</m:t>
              </m:r>
              <m:r>
                <m:rPr>
                  <m:sty m:val="p"/>
                </m:rPr>
                <m:t>∝</m:t>
              </m:r>
              <m:sSup>
                <m:e>
                  <m:r>
                    <m:t>L</m:t>
                  </m:r>
                </m:e>
                <m:sup>
                  <m:r>
                    <m:t>3</m:t>
                  </m:r>
                </m:sup>
              </m:sSup>
            </m:oMath>
            <w:r>
              <w:t xml:space="preserve">), and the formal isometry contrast (</w:t>
            </w:r>
            <m:oMath>
              <m:sSub>
                <m:e>
                  <m:r>
                    <m:rPr>
                      <m:sty m:val="p"/>
                    </m:rPr>
                    <m:t>Δ</m:t>
                  </m:r>
                </m:e>
                <m:sub>
                  <m:r>
                    <m:rPr>
                      <m:nor/>
                      <m:sty m:val="p"/>
                    </m:rPr>
                    <m:t>iso</m:t>
                  </m:r>
                </m:sub>
              </m:sSub>
              <m:r>
                <m:rPr>
                  <m:sty m:val="p"/>
                </m:rPr>
                <m:t>=</m:t>
              </m:r>
              <m:r>
                <m:rPr>
                  <m:sty m:val="p"/>
                </m:rPr>
                <m:t>Δ</m:t>
              </m:r>
              <m:r>
                <m:t>M</m:t>
              </m:r>
              <m:r>
                <m:rPr>
                  <m:sty m:val="p"/>
                </m:rPr>
                <m:t>−</m:t>
              </m:r>
              <m:r>
                <m:t>3</m:t>
              </m:r>
              <m:r>
                <m:rPr>
                  <m:sty m:val="p"/>
                </m:rPr>
                <m:t>Δ</m:t>
              </m:r>
              <m:r>
                <m:t>L</m:t>
              </m:r>
            </m:oMath>
            <w:r>
              <w:t xml:space="preserve">) under parsimonious observer control (M1a; green diamond;</w:t>
            </w:r>
            <w:r>
              <w:t xml:space="preserve"> </w:t>
            </w:r>
            <m:oMath>
              <m:r>
                <m:t>z</m:t>
              </m:r>
              <m:r>
                <m:rPr>
                  <m:sty m:val="p"/>
                </m:rPr>
                <m:t>=</m:t>
              </m:r>
              <m:r>
                <m:t>2.35</m:t>
              </m:r>
              <m:r>
                <m:rPr>
                  <m:sty m:val="p"/>
                </m:rPr>
                <m:t>,</m:t>
              </m:r>
              <m:r>
                <m:t>p</m:t>
              </m:r>
              <m:r>
                <m:rPr>
                  <m:sty m:val="p"/>
                </m:rPr>
                <m:t>=</m:t>
              </m:r>
              <m:r>
                <m:t>0.019</m:t>
              </m:r>
            </m:oMath>
            <w:r>
              <w:t xml:space="preserve">, rejecting isometry toward mass conservation/stoutening). The central Amazonian benchmark from</w:t>
            </w:r>
            <w:r>
              <w:t xml:space="preserve"> </w:t>
            </w:r>
            <w:r>
              <w:t xml:space="preserve">Jirinec et al. (2021)</w:t>
            </w:r>
            <w:r>
              <w:t xml:space="preserve"> </w:t>
            </w:r>
            <w:r>
              <w:t xml:space="preserve">is shown for comparison.</w:t>
            </w:r>
            <w:r>
              <w:t xml:space="preserve"> </w:t>
            </w:r>
            <w:r>
              <w:rPr>
                <w:b/>
                <w:bCs/>
              </w:rPr>
              <w:t xml:space="preserve">(B)</w:t>
            </w:r>
            <w:r>
              <w:t xml:space="preserve"> </w:t>
            </w:r>
            <w:r>
              <w:t xml:space="preserve">Bivariate morphological state space (</w:t>
            </w:r>
            <m:oMath>
              <m:r>
                <m:rPr>
                  <m:sty m:val="p"/>
                </m:rPr>
                <m:t>Δ</m:t>
              </m:r>
              <m:r>
                <m:rPr>
                  <m:nor/>
                  <m:sty m:val="p"/>
                </m:rPr>
                <m:t>Wing</m:t>
              </m:r>
            </m:oMath>
            <w:r>
              <w:t xml:space="preserve"> </w:t>
            </w:r>
            <w:r>
              <w:t xml:space="preserve">vs. </w:t>
            </w:r>
            <m:oMath>
              <m:r>
                <m:rPr>
                  <m:sty m:val="p"/>
                </m:rPr>
                <m:t>Δ</m:t>
              </m:r>
              <m:r>
                <m:rPr>
                  <m:nor/>
                  <m:sty m:val="p"/>
                </m:rPr>
                <m:t>Mass</m:t>
              </m:r>
            </m:oMath>
            <w:r>
              <w:t xml:space="preserve">). The solid black line indicates strict geometric isometry (</w:t>
            </w:r>
            <m:oMath>
              <m:r>
                <m:t>y</m:t>
              </m:r>
              <m:r>
                <m:rPr>
                  <m:sty m:val="p"/>
                </m:rPr>
                <m:t>=</m:t>
              </m:r>
              <m:r>
                <m:t>3</m:t>
              </m:r>
              <m:r>
                <m:t>x</m:t>
              </m:r>
            </m:oMath>
            <w:r>
              <w:t xml:space="preserve">), the dotted line indicates equal rates (</w:t>
            </w:r>
            <m:oMath>
              <m:r>
                <m:t>y</m:t>
              </m:r>
              <m:r>
                <m:rPr>
                  <m:sty m:val="p"/>
                </m:rPr>
                <m:t>=</m:t>
              </m:r>
              <m:r>
                <m:t>x</m:t>
              </m:r>
            </m:oMath>
            <w:r>
              <w:t xml:space="preserve">), and shaded zones denote proportional shrinkage (blue) and morphological decoupling/slenderization (red). The green ellipse denotes the 95% confidence ellipse for the Atlantic Forest community under observer control, encompassing mass stasis and excluding Amazonian slenderization. Semi-transparent circles represent species-specific controlled estimates (</w:t>
            </w:r>
            <m:oMath>
              <m:r>
                <m:t>n</m:t>
              </m:r>
              <m:r>
                <m:rPr>
                  <m:sty m:val="p"/>
                </m:rPr>
                <m:t>=</m:t>
              </m:r>
              <m:r>
                <m:t>72</m:t>
              </m:r>
            </m:oMath>
            <w:r>
              <w:t xml:space="preserve">).</w:t>
            </w:r>
          </w:p>
          <w:bookmarkEnd w:id="34"/>
        </w:tc>
      </w:tr>
    </w:tbl>
    <w:bookmarkStart w:id="39" w:name="Xcf8ad50eaed6a50869afa9bea294e3ddf4c7991"/>
    <w:p>
      <w:pPr>
        <w:pStyle w:val="Heading3"/>
      </w:pPr>
      <w:r>
        <w:t xml:space="preserve">2.3.1 Direct thermal sensitivity and temperature-driven allometric modulation</w:t>
      </w:r>
    </w:p>
    <w:p>
      <w:pPr>
        <w:pStyle w:val="FirstParagraph"/>
      </w:pPr>
      <w:r>
        <w:t xml:space="preserve">To evaluate whether year-to-year climatic fluctuations directly drive morphological variation, we linked individual captures to local annual temperature anomalies (</w:t>
      </w:r>
      <m:oMath>
        <m:r>
          <m:rPr>
            <m:sty m:val="p"/>
          </m:rPr>
          <m:t>Δ</m:t>
        </m:r>
        <m:sSub>
          <m:e>
            <m:r>
              <m:t>T</m:t>
            </m:r>
          </m:e>
          <m:sub>
            <m:r>
              <m:rPr>
                <m:nor/>
                <m:sty m:val="p"/>
              </m:rPr>
              <m:t>local</m:t>
            </m:r>
          </m:sub>
        </m:sSub>
      </m:oMath>
      <w:r>
        <w:t xml:space="preserve">, derived from CRU-TS 4.09 relative to site-specific baselines;</w:t>
      </w:r>
      <w:r>
        <w:t xml:space="preserve"> </w:t>
      </w:r>
      <w:hyperlink w:anchor="fig-thermal-allometry">
        <w:r>
          <w:rPr>
            <w:rStyle w:val="Hyperlink"/>
          </w:rPr>
          <w:t xml:space="preserve">Figure 6</w:t>
        </w:r>
      </w:hyperlink>
      <w:r>
        <w:t xml:space="preserve">).</w:t>
      </w:r>
    </w:p>
    <w:p>
      <w:pPr>
        <w:pStyle w:val="BodyText"/>
      </w:pPr>
      <w:r>
        <w:t xml:space="preserve">Consistent with the temporal stability documented above, body mass exhibited no thermal sensitivity across the community (</w:t>
      </w:r>
      <m:oMath>
        <m:r>
          <m:t>β</m:t>
        </m:r>
        <m:r>
          <m:rPr>
            <m:sty m:val="p"/>
          </m:rPr>
          <m:t>=</m:t>
        </m:r>
        <m:r>
          <m:rPr>
            <m:sty m:val="p"/>
          </m:rPr>
          <m:t>−</m:t>
        </m:r>
        <m:r>
          <m:t>0.0032</m:t>
        </m:r>
      </m:oMath>
      <w:r>
        <w:t xml:space="preserve"> </w:t>
      </w:r>
      <w:r>
        <w:t xml:space="preserve">log units per °C anomaly,</w:t>
      </w:r>
      <w:r>
        <w:t xml:space="preserve"> </w:t>
      </w:r>
      <m:oMath>
        <m:r>
          <m:t>t</m:t>
        </m:r>
        <m:r>
          <m:rPr>
            <m:sty m:val="p"/>
          </m:rPr>
          <m:t>=</m:t>
        </m:r>
        <m:r>
          <m:rPr>
            <m:sty m:val="p"/>
          </m:rPr>
          <m:t>−</m:t>
        </m:r>
        <m:r>
          <m:t>0.57</m:t>
        </m:r>
        <m:r>
          <m:rPr>
            <m:sty m:val="p"/>
          </m:rPr>
          <m:t>,</m:t>
        </m:r>
        <m:r>
          <m:t>p</m:t>
        </m:r>
        <m:r>
          <m:rPr>
            <m:sty m:val="p"/>
          </m:rPr>
          <m:t>=</m:t>
        </m:r>
        <m:r>
          <m:t>0.57</m:t>
        </m:r>
      </m:oMath>
      <w:r>
        <w:t xml:space="preserve">;</w:t>
      </w:r>
      <w:r>
        <w:t xml:space="preserve"> </w:t>
      </w:r>
      <w:hyperlink w:anchor="fig-thermal-allometry">
        <w:r>
          <w:rPr>
            <w:rStyle w:val="Hyperlink"/>
          </w:rPr>
          <w:t xml:space="preserve">Figure 6</w:t>
        </w:r>
      </w:hyperlink>
      <w:r>
        <w:t xml:space="preserve"> </w:t>
      </w:r>
      <w:r>
        <w:t xml:space="preserve">B). Individual body mass was thus decoupled from interannual temperature fluctuations. In contrast, wing length displayed a negative association with annual temperature anomalies (</w:t>
      </w:r>
      <m:oMath>
        <m:r>
          <m:t>β</m:t>
        </m:r>
        <m:r>
          <m:rPr>
            <m:sty m:val="p"/>
          </m:rPr>
          <m:t>=</m:t>
        </m:r>
        <m:r>
          <m:rPr>
            <m:sty m:val="p"/>
          </m:rPr>
          <m:t>−</m:t>
        </m:r>
        <m:r>
          <m:t>0.11</m:t>
        </m:r>
      </m:oMath>
      <w:r>
        <w:t xml:space="preserve"> </w:t>
      </w:r>
      <w:r>
        <w:t xml:space="preserve">mm per °C anomaly,</w:t>
      </w:r>
      <w:r>
        <w:t xml:space="preserve"> </w:t>
      </w:r>
      <m:oMath>
        <m:r>
          <m:t>t</m:t>
        </m:r>
        <m:r>
          <m:rPr>
            <m:sty m:val="p"/>
          </m:rPr>
          <m:t>=</m:t>
        </m:r>
        <m:r>
          <m:rPr>
            <m:sty m:val="p"/>
          </m:rPr>
          <m:t>−</m:t>
        </m:r>
        <m:r>
          <m:t>0.56</m:t>
        </m:r>
      </m:oMath>
      <w:r>
        <w:t xml:space="preserve">; under regional NASA GISS anomalies</w:t>
      </w:r>
      <w:r>
        <w:t xml:space="preserve"> </w:t>
      </w:r>
      <m:oMath>
        <m:r>
          <m:t>β</m:t>
        </m:r>
        <m:r>
          <m:rPr>
            <m:sty m:val="p"/>
          </m:rPr>
          <m:t>=</m:t>
        </m:r>
        <m:r>
          <m:rPr>
            <m:sty m:val="p"/>
          </m:rPr>
          <m:t>−</m:t>
        </m:r>
        <m:r>
          <m:t>2.79</m:t>
        </m:r>
      </m:oMath>
      <w:r>
        <w:t xml:space="preserve"> </w:t>
      </w:r>
      <w:r>
        <w:t xml:space="preserve">mm per °C anomaly,</w:t>
      </w:r>
      <w:r>
        <w:t xml:space="preserve"> </w:t>
      </w:r>
      <m:oMath>
        <m:r>
          <m:t>t</m:t>
        </m:r>
        <m:r>
          <m:rPr>
            <m:sty m:val="p"/>
          </m:rPr>
          <m:t>=</m:t>
        </m:r>
        <m:r>
          <m:rPr>
            <m:sty m:val="p"/>
          </m:rPr>
          <m:t>−</m:t>
        </m:r>
        <m:r>
          <m:t>6.38</m:t>
        </m:r>
        <m:r>
          <m:rPr>
            <m:sty m:val="p"/>
          </m:rPr>
          <m:t>,</m:t>
        </m:r>
        <m:r>
          <m:t>p</m:t>
        </m:r>
        <m:r>
          <m:rPr>
            <m:sty m:val="p"/>
          </m:rPr>
          <m:t>&lt;</m:t>
        </m:r>
        <m:sSup>
          <m:e>
            <m:r>
              <m:t>10</m:t>
            </m:r>
          </m:e>
          <m:sup>
            <m:r>
              <m:rPr>
                <m:sty m:val="p"/>
              </m:rPr>
              <m:t>−</m:t>
            </m:r>
            <m:r>
              <m:t>6</m:t>
            </m:r>
          </m:sup>
        </m:sSup>
      </m:oMath>
      <w:r>
        <w:t xml:space="preserve">;</w:t>
      </w:r>
      <w:r>
        <w:t xml:space="preserve"> </w:t>
      </w:r>
      <w:hyperlink w:anchor="fig-thermal-allometry">
        <w:r>
          <w:rPr>
            <w:rStyle w:val="Hyperlink"/>
          </w:rPr>
          <w:t xml:space="preserve">Figure 6</w:t>
        </w:r>
      </w:hyperlink>
      <w:r>
        <w:t xml:space="preserve"> </w:t>
      </w:r>
      <w:r>
        <w:t xml:space="preserve">A).</w:t>
      </w:r>
    </w:p>
    <w:p>
      <w:pPr>
        <w:pStyle w:val="BodyText"/>
      </w:pPr>
      <w:r>
        <w:t xml:space="preserve">Evaluating bivariate allometry on the 7,577 shared records revealed that thermal variation actively modulates the departure from geometric isometry: the 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was significantly positively coupled to local temperature anomalies (</w:t>
      </w:r>
      <m:oMath>
        <m:r>
          <m:t>β</m:t>
        </m:r>
        <m:r>
          <m:rPr>
            <m:sty m:val="p"/>
          </m:rPr>
          <m:t>=</m:t>
        </m:r>
        <m:r>
          <m:rPr>
            <m:sty m:val="p"/>
          </m:rPr>
          <m:t>+</m:t>
        </m:r>
        <m:r>
          <m:t>0.0212</m:t>
        </m:r>
        <m:r>
          <m:rPr>
            <m:sty m:val="p"/>
          </m:rPr>
          <m:t>,</m:t>
        </m:r>
        <m:r>
          <m:t>t</m:t>
        </m:r>
        <m:r>
          <m:rPr>
            <m:sty m:val="p"/>
          </m:rPr>
          <m:t>=</m:t>
        </m:r>
        <m:r>
          <m:t>2.17</m:t>
        </m:r>
        <m:r>
          <m:rPr>
            <m:sty m:val="p"/>
          </m:rPr>
          <m:t>,</m:t>
        </m:r>
        <m:r>
          <m:t>p</m:t>
        </m:r>
        <m:r>
          <m:rPr>
            <m:sty m:val="p"/>
          </m:rPr>
          <m:t>=</m:t>
        </m:r>
        <m:r>
          <m:t>0.030</m:t>
        </m:r>
      </m:oMath>
      <w:r>
        <w:t xml:space="preserve">;</w:t>
      </w:r>
      <w:r>
        <w:t xml:space="preserve"> </w:t>
      </w:r>
      <w:hyperlink w:anchor="fig-thermal-allometry">
        <w:r>
          <w:rPr>
            <w:rStyle w:val="Hyperlink"/>
          </w:rPr>
          <w:t xml:space="preserve">Figure 6</w:t>
        </w:r>
      </w:hyperlink>
      <w:r>
        <w:t xml:space="preserve"> </w:t>
      </w:r>
      <w:r>
        <w:t xml:space="preserve">C). Correspondingly, relative wing length (</w:t>
      </w:r>
      <m:oMath>
        <m:r>
          <m:rPr>
            <m:sty m:val="p"/>
          </m:rPr>
          <m:t>ln</m:t>
        </m:r>
        <m:r>
          <m:t>L</m:t>
        </m:r>
        <m:r>
          <m:rPr>
            <m:sty m:val="p"/>
          </m:rPr>
          <m:t>−</m:t>
        </m:r>
        <m:f>
          <m:fPr>
            <m:type m:val="bar"/>
          </m:fPr>
          <m:num>
            <m:r>
              <m:t>1</m:t>
            </m:r>
          </m:num>
          <m:den>
            <m:r>
              <m:t>3</m:t>
            </m:r>
          </m:den>
        </m:f>
        <m:r>
          <m:rPr>
            <m:sty m:val="p"/>
          </m:rPr>
          <m:t>ln</m:t>
        </m:r>
        <m:r>
          <m:t>M</m:t>
        </m:r>
      </m:oMath>
      <w:r>
        <w:t xml:space="preserve">) decreased significantly during warmer years (</w:t>
      </w:r>
      <m:oMath>
        <m:r>
          <m:t>β</m:t>
        </m:r>
        <m:r>
          <m:rPr>
            <m:sty m:val="p"/>
          </m:rPr>
          <m:t>=</m:t>
        </m:r>
        <m:r>
          <m:rPr>
            <m:sty m:val="p"/>
          </m:rPr>
          <m:t>−</m:t>
        </m:r>
        <m:r>
          <m:t>0.0071</m:t>
        </m:r>
        <m:r>
          <m:rPr>
            <m:sty m:val="p"/>
          </m:rPr>
          <m:t>,</m:t>
        </m:r>
        <m:r>
          <m:t>t</m:t>
        </m:r>
        <m:r>
          <m:rPr>
            <m:sty m:val="p"/>
          </m:rPr>
          <m:t>=</m:t>
        </m:r>
        <m:r>
          <m:rPr>
            <m:sty m:val="p"/>
          </m:rPr>
          <m:t>−</m:t>
        </m:r>
        <m:r>
          <m:t>2.17</m:t>
        </m:r>
        <m:r>
          <m:rPr>
            <m:sty m:val="p"/>
          </m:rPr>
          <m:t>,</m:t>
        </m:r>
        <m:r>
          <m:t>p</m:t>
        </m:r>
        <m:r>
          <m:rPr>
            <m:sty m:val="p"/>
          </m:rPr>
          <m:t>=</m:t>
        </m:r>
        <m:r>
          <m:t>0.030</m:t>
        </m:r>
      </m:oMath>
      <w:r>
        <w:t xml:space="preserve">;</w:t>
      </w:r>
      <w:r>
        <w:t xml:space="preserve"> </w:t>
      </w:r>
      <w:hyperlink w:anchor="fig-thermal-allometry">
        <w:r>
          <w:rPr>
            <w:rStyle w:val="Hyperlink"/>
          </w:rPr>
          <w:t xml:space="preserve">Figure 6</w:t>
        </w:r>
      </w:hyperlink>
      <w:r>
        <w:t xml:space="preserve"> </w:t>
      </w:r>
      <w:r>
        <w:t xml:space="preserve">D). Rather than inducing structural slenderization or passive body shrinkage, warmer conditions directly elicit relative wing shortening while body mass is conserved—a subtle shift toward stoutening that demonstrates allometric shape is actively responsive to thermal stress.</w:t>
      </w:r>
    </w:p>
    <w:tbl>
      <w:tblPr>
        <w:tblStyle w:val="Table"/>
        <w:tblW w:type="pct" w:w="5000"/>
        <w:tblLayout w:type="fixed"/>
        <w:tblLook w:firstRow="0" w:lastRow="0" w:firstColumn="0" w:lastColumn="0" w:noHBand="0" w:noVBand="0" w:val="0000"/>
      </w:tblPr>
      <w:tblGrid>
        <w:gridCol w:w="7920"/>
      </w:tblGrid>
      <w:tr>
        <w:tc>
          <w:tcPr/>
          <w:bookmarkStart w:id="38" w:name="fig-thermal-allometry"/>
          <w:p>
            <w:pPr>
              <w:pStyle w:val="Compact"/>
              <w:jc w:val="center"/>
            </w:pPr>
            <w:r>
              <w:drawing>
                <wp:inline>
                  <wp:extent cx="5334000" cy="4121727"/>
                  <wp:effectExtent b="0" l="0" r="0" t="0"/>
                  <wp:docPr descr="" title="" id="36" name="Picture"/>
                  <a:graphic>
                    <a:graphicData uri="http://schemas.openxmlformats.org/drawingml/2006/picture">
                      <pic:pic>
                        <pic:nvPicPr>
                          <pic:cNvPr descr="images/fig-thermal-allometry.png" id="37" name="Picture"/>
                          <pic:cNvPicPr>
                            <a:picLocks noChangeArrowheads="1" noChangeAspect="1"/>
                          </pic:cNvPicPr>
                        </pic:nvPicPr>
                        <pic:blipFill>
                          <a:blip r:embed="rId35"/>
                          <a:stretch>
                            <a:fillRect/>
                          </a:stretch>
                        </pic:blipFill>
                        <pic:spPr bwMode="auto">
                          <a:xfrm>
                            <a:off x="0" y="0"/>
                            <a:ext cx="5334000" cy="4121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Direct thermal sensitivity of wing length, body mass, and bivariate allometry across 7,577 shared capture records (1995–2018). Annual means (</w:t>
            </w:r>
            <m:oMath>
              <m:r>
                <m:rPr>
                  <m:sty m:val="p"/>
                </m:rPr>
                <m:t>±</m:t>
              </m:r>
              <m:r>
                <m:t>1</m:t>
              </m:r>
            </m:oMath>
            <w:r>
              <w:t xml:space="preserve"> </w:t>
            </w:r>
            <w:r>
              <w:t xml:space="preserve">SE, weighted by individual sample size) plotted against local annual mean temperature anomaly (°C relative to site-specific baselines).</w:t>
            </w:r>
            <w:r>
              <w:t xml:space="preserve"> </w:t>
            </w:r>
            <w:r>
              <w:rPr>
                <w:b/>
                <w:bCs/>
              </w:rPr>
              <w:t xml:space="preserve">(A)</w:t>
            </w:r>
            <w:r>
              <w:t xml:space="preserve"> </w:t>
            </w:r>
            <w:r>
              <w:t xml:space="preserve">Wing length deviation (% from species mean), showing subtle shortening with warming.</w:t>
            </w:r>
            <w:r>
              <w:t xml:space="preserve"> </w:t>
            </w:r>
            <w:r>
              <w:rPr>
                <w:b/>
                <w:bCs/>
              </w:rPr>
              <w:t xml:space="preserve">(B)</w:t>
            </w:r>
            <w:r>
              <w:t xml:space="preserve"> </w:t>
            </w:r>
            <w:r>
              <w:t xml:space="preserve">Body mass deviation (% from species mean), showing thermal stability and decoupling from annual temperature.</w:t>
            </w:r>
            <w:r>
              <w:t xml:space="preserve"> </w:t>
            </w:r>
            <w:r>
              <w:rPr>
                <w:b/>
                <w:bCs/>
              </w:rPr>
              <w:t xml:space="preserve">(C)</w:t>
            </w:r>
            <w:r>
              <w:t xml:space="preserve"> </w:t>
            </w:r>
            <w:r>
              <w:t xml:space="preserve">Departure from geometric isometry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 demonstrating significant positive coupling with temperature anomalies (</w:t>
            </w:r>
            <m:oMath>
              <m:r>
                <m:t>β</m:t>
              </m:r>
              <m:r>
                <m:rPr>
                  <m:sty m:val="p"/>
                </m:rPr>
                <m:t>=</m:t>
              </m:r>
              <m:r>
                <m:rPr>
                  <m:sty m:val="p"/>
                </m:rPr>
                <m:t>+</m:t>
              </m:r>
              <m:r>
                <m:t>0.0212</m:t>
              </m:r>
              <m:r>
                <m:rPr>
                  <m:sty m:val="p"/>
                </m:rPr>
                <m:t>,</m:t>
              </m:r>
              <m:r>
                <m:t>p</m:t>
              </m:r>
              <m:r>
                <m:rPr>
                  <m:sty m:val="p"/>
                </m:rPr>
                <m:t>=</m:t>
              </m:r>
              <m:r>
                <m:t>0.030</m:t>
              </m:r>
            </m:oMath>
            <w:r>
              <w:t xml:space="preserve">; thermal stoutening / mass conservation).</w:t>
            </w:r>
            <w:r>
              <w:t xml:space="preserve"> </w:t>
            </w:r>
            <w:r>
              <w:rPr>
                <w:b/>
                <w:bCs/>
              </w:rPr>
              <w:t xml:space="preserve">(D)</w:t>
            </w:r>
            <w:r>
              <w:t xml:space="preserve"> </w:t>
            </w:r>
            <w:r>
              <w:t xml:space="preserve">Relative wing length (</w:t>
            </w:r>
            <m:oMath>
              <m:r>
                <m:rPr>
                  <m:sty m:val="p"/>
                </m:rPr>
                <m:t>ln</m:t>
              </m:r>
              <m:r>
                <m:t>L</m:t>
              </m:r>
              <m:r>
                <m:rPr>
                  <m:sty m:val="p"/>
                </m:rPr>
                <m:t>−</m:t>
              </m:r>
              <m:f>
                <m:fPr>
                  <m:type m:val="bar"/>
                </m:fPr>
                <m:num>
                  <m:r>
                    <m:t>1</m:t>
                  </m:r>
                </m:num>
                <m:den>
                  <m:r>
                    <m:t>3</m:t>
                  </m:r>
                </m:den>
              </m:f>
              <m:r>
                <m:rPr>
                  <m:sty m:val="p"/>
                </m:rPr>
                <m:t>ln</m:t>
              </m:r>
              <m:r>
                <m:t>M</m:t>
              </m:r>
            </m:oMath>
            <w:r>
              <w:t xml:space="preserve">, %), illustrating relative wing shortening during warmer years (</w:t>
            </w:r>
            <m:oMath>
              <m:r>
                <m:t>β</m:t>
              </m:r>
              <m:r>
                <m:rPr>
                  <m:sty m:val="p"/>
                </m:rPr>
                <m:t>=</m:t>
              </m:r>
              <m:r>
                <m:rPr>
                  <m:sty m:val="p"/>
                </m:rPr>
                <m:t>−</m:t>
              </m:r>
              <m:r>
                <m:t>0.0071</m:t>
              </m:r>
              <m:r>
                <m:rPr>
                  <m:sty m:val="p"/>
                </m:rPr>
                <m:t>,</m:t>
              </m:r>
              <m:r>
                <m:t>p</m:t>
              </m:r>
              <m:r>
                <m:rPr>
                  <m:sty m:val="p"/>
                </m:rPr>
                <m:t>=</m:t>
              </m:r>
              <m:r>
                <m:t>0.030</m:t>
              </m:r>
            </m:oMath>
            <w:r>
              <w:t xml:space="preserve">). Solid lines and shaded bands represent weighted linear regression fits with 95% confidence intervals.</w:t>
            </w:r>
          </w:p>
          <w:bookmarkEnd w:id="38"/>
        </w:tc>
      </w:tr>
    </w:tbl>
    <w:bookmarkEnd w:id="39"/>
    <w:bookmarkEnd w:id="40"/>
    <w:bookmarkStart w:id="41" w:name="X136763f3c02b09c0acc4147ac8a27ccd4bb65b5"/>
    <w:p>
      <w:pPr>
        <w:pStyle w:val="Heading2"/>
      </w:pPr>
      <w:r>
        <w:t xml:space="preserve">2.4 Bill width invariance and testing Allen’s rule</w:t>
      </w:r>
    </w:p>
    <w:p>
      <w:pPr>
        <w:pStyle w:val="FirstParagraph"/>
      </w:pPr>
      <w:r>
        <w:t xml:space="preserve">Allen’s rule</w:t>
      </w:r>
      <w:r>
        <w:t xml:space="preserve"> </w:t>
      </w:r>
      <w:r>
        <w:t xml:space="preserve">(Allen 1877; Ryding et al. 2021)</w:t>
      </w:r>
      <w:r>
        <w:t xml:space="preserve"> </w:t>
      </w:r>
      <w:r>
        <w:t xml:space="preserve">posits that extremities such as bills enlarge in warm climates to facilitate non-evaporative thermoregulatory heat dissipation. Raw species-level trajectories for bill width displayed both increases and decreases across the community (</w:t>
      </w:r>
      <w:hyperlink w:anchor="fig-trends">
        <w:r>
          <w:rPr>
            <w:rStyle w:val="Hyperlink"/>
          </w:rPr>
          <w:t xml:space="preserve">Figure 2</w:t>
        </w:r>
      </w:hyperlink>
      <w:r>
        <w:t xml:space="preserve"> </w:t>
      </w:r>
      <w:r>
        <w:t xml:space="preserve">C). In an unadjusted baseline model without observer controls (M0), bill width appeared to show a statistically significant positive decadal trend:</w:t>
      </w:r>
      <w:r>
        <w:t xml:space="preserve"> </w:t>
      </w:r>
      <m:oMath>
        <m:r>
          <m:t>β</m:t>
        </m:r>
        <m:r>
          <m:rPr>
            <m:sty m:val="p"/>
          </m:rPr>
          <m:t>=</m:t>
        </m:r>
        <m:r>
          <m:rPr>
            <m:sty m:val="p"/>
          </m:rPr>
          <m:t>+</m:t>
        </m:r>
        <m:r>
          <m:t>0.24</m:t>
        </m:r>
      </m:oMath>
      <w:r>
        <w:t xml:space="preserve"> </w:t>
      </w:r>
      <w:r>
        <w:t xml:space="preserve">mm per SD-year (95% CI: +0.06 to +0.42,</w:t>
      </w:r>
      <w:r>
        <w:t xml:space="preserve"> </w:t>
      </w:r>
      <m:oMath>
        <m:r>
          <m:t>t</m:t>
        </m:r>
        <m:r>
          <m:rPr>
            <m:sty m:val="p"/>
          </m:rPr>
          <m:t>=</m:t>
        </m:r>
        <m:r>
          <m:t>2.6</m:t>
        </m:r>
      </m:oMath>
      <w:r>
        <w:t xml:space="preserve">,</w:t>
      </w:r>
      <w:r>
        <w:t xml:space="preserve"> </w:t>
      </w:r>
      <m:oMath>
        <m:r>
          <m:t>n</m:t>
        </m:r>
        <m:r>
          <m:rPr>
            <m:sty m:val="p"/>
          </m:rPr>
          <m:t>=</m:t>
        </m:r>
        <m:r>
          <m:t>3</m:t>
        </m:r>
        <m:r>
          <m:rPr>
            <m:sty m:val="p"/>
          </m:rPr>
          <m:t>,</m:t>
        </m:r>
        <m:r>
          <m:t>209</m:t>
        </m:r>
      </m:oMath>
      <w:r>
        <w:t xml:space="preserve">), a pattern that could naively be misconstrued as empirical support for Allen’s rule.</w:t>
      </w:r>
    </w:p>
    <w:p>
      <w:pPr>
        <w:pStyle w:val="BodyText"/>
      </w:pPr>
      <w:r>
        <w:t xml:space="preserve">However, bill width was recorded by 22 field researchers across the dataset, and only two researchers sampled birds in both the early (1995–2006) and late (2013–2018) periods. When researcher identity was accounted for (M1), this apparent positive trajectory collapsed completely (</w:t>
      </w:r>
      <m:oMath>
        <m:r>
          <m:t>β</m:t>
        </m:r>
        <m:r>
          <m:rPr>
            <m:sty m:val="p"/>
          </m:rPr>
          <m:t>=</m:t>
        </m:r>
        <m:r>
          <m:rPr>
            <m:sty m:val="p"/>
          </m:rPr>
          <m:t>−</m:t>
        </m:r>
        <m:r>
          <m:t>0.24</m:t>
        </m:r>
      </m:oMath>
      <w:r>
        <w:t xml:space="preserve"> </w:t>
      </w:r>
      <w:r>
        <w:t xml:space="preserve">mm/SD-year, 95% CI: −0.39 to −0.10,</w:t>
      </w:r>
      <w:r>
        <w:t xml:space="preserve"> </w:t>
      </w:r>
      <m:oMath>
        <m:r>
          <m:t>n</m:t>
        </m:r>
        <m:r>
          <m:rPr>
            <m:sty m:val="p"/>
          </m:rPr>
          <m:t>=</m:t>
        </m:r>
        <m:r>
          <m:t>3</m:t>
        </m:r>
        <m:r>
          <m:rPr>
            <m:sty m:val="p"/>
          </m:rPr>
          <m:t>,</m:t>
        </m:r>
        <m:r>
          <m:t>209</m:t>
        </m:r>
      </m:oMath>
      <w:r>
        <w:t xml:space="preserve">). In the fully controlled 50-tree phylogenetic model (M3), bill width remained entirely flat:</w:t>
      </w:r>
      <w:r>
        <w:t xml:space="preserve"> </w:t>
      </w:r>
      <m:oMath>
        <m:r>
          <m:t>β</m:t>
        </m:r>
        <m:r>
          <m:rPr>
            <m:sty m:val="p"/>
          </m:rPr>
          <m:t>=</m:t>
        </m:r>
        <m:r>
          <m:rPr>
            <m:sty m:val="p"/>
          </m:rPr>
          <m:t>−</m:t>
        </m:r>
        <m:r>
          <m:t>0.03</m:t>
        </m:r>
      </m:oMath>
      <w:r>
        <w:t xml:space="preserve"> </w:t>
      </w:r>
      <w:r>
        <w:t xml:space="preserve">mm/SD-year (95% CI: −0.18 to 0.13, corresponding to −0.03 mm/decade,</w:t>
      </w:r>
      <w:r>
        <w:t xml:space="preserve"> </w:t>
      </w:r>
      <m:oMath>
        <m:r>
          <m:t>n</m:t>
        </m:r>
        <m:r>
          <m:rPr>
            <m:sty m:val="p"/>
          </m:rPr>
          <m:t>=</m:t>
        </m:r>
        <m:r>
          <m:t>3</m:t>
        </m:r>
        <m:r>
          <m:rPr>
            <m:sty m:val="p"/>
          </m:rPr>
          <m:t>,</m:t>
        </m:r>
        <m:r>
          <m:t>205</m:t>
        </m:r>
      </m:oMath>
      <w:r>
        <w:t xml:space="preserve">). Evaluating temporal change within the same field researcher confirmed stability (</w:t>
      </w:r>
      <m:oMath>
        <m:r>
          <m:t>β</m:t>
        </m:r>
        <m:r>
          <m:rPr>
            <m:sty m:val="p"/>
          </m:rPr>
          <m:t>=</m:t>
        </m:r>
        <m:r>
          <m:rPr>
            <m:sty m:val="p"/>
          </m:rPr>
          <m:t>+</m:t>
        </m:r>
        <m:r>
          <m:t>0.02</m:t>
        </m:r>
      </m:oMath>
      <w:r>
        <w:t xml:space="preserve"> </w:t>
      </w:r>
      <w:r>
        <w:t xml:space="preserve">mm/SD-year, 95% CI: −0.19 to 0.22). The apparent baseline increase was an artifact of later contributors systematically recording slightly wider bills. Bill width has therefore remained invariant over time, providing no empirical support for Allen’s rule extremity enlargement in Atlantic Forest passerines.</w:t>
      </w:r>
    </w:p>
    <w:bookmarkEnd w:id="41"/>
    <w:bookmarkStart w:id="46"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(1995–2006) and late (2013–2018) periods across the community revealed subtle patterns when pooled across observers (</w:t>
      </w:r>
      <w:hyperlink w:anchor="fig-variability">
        <w:r>
          <w:rPr>
            <w:rStyle w:val="Hyperlink"/>
          </w:rPr>
          <w:t xml:space="preserve">Figure 7</w:t>
        </w:r>
      </w:hyperlink>
      <w:r>
        <w:t xml:space="preserve">): wing length exhibited a meta-analytic mean of</w:t>
      </w:r>
      <w:r>
        <w:t xml:space="preserve"> </w:t>
      </w:r>
      <m:oMath>
        <m:r>
          <m:rPr>
            <m:sty m:val="p"/>
          </m:rPr>
          <m:t>ln</m:t>
        </m:r>
        <m:r>
          <m:rPr>
            <m:nor/>
            <m:sty m:val="p"/>
          </m:rPr>
          <m:t>CVR</m:t>
        </m:r>
        <m:r>
          <m:rPr>
            <m:sty m:val="p"/>
          </m:rPr>
          <m:t>=</m:t>
        </m:r>
        <m:r>
          <m:rPr>
            <m:sty m:val="p"/>
          </m:rPr>
          <m:t>+</m:t>
        </m:r>
        <m:r>
          <m:t>0.177</m:t>
        </m:r>
      </m:oMath>
      <w:r>
        <w:t xml:space="preserve"> </w:t>
      </w:r>
      <w:r>
        <w:t xml:space="preserve">(95% CI: 0.031 to 0.323,</w:t>
      </w:r>
      <w:r>
        <w:t xml:space="preserve"> </w:t>
      </w:r>
      <m:oMath>
        <m:r>
          <m:t>k</m:t>
        </m:r>
        <m:r>
          <m:rPr>
            <m:sty m:val="p"/>
          </m:rPr>
          <m:t>=</m:t>
        </m:r>
        <m:r>
          <m:t>54</m:t>
        </m:r>
      </m:oMath>
      <w:r>
        <w:t xml:space="preserve">;</w:t>
      </w:r>
      <w:r>
        <w:t xml:space="preserve"> </w:t>
      </w:r>
      <w:hyperlink w:anchor="fig-variability">
        <w:r>
          <w:rPr>
            <w:rStyle w:val="Hyperlink"/>
          </w:rPr>
          <w:t xml:space="preserve">Figure 7</w:t>
        </w:r>
      </w:hyperlink>
      <w:r>
        <w:t xml:space="preserve"> </w:t>
      </w:r>
      <w:r>
        <w:t xml:space="preserve">A), body mass exhibited</w:t>
      </w:r>
      <w:r>
        <w:t xml:space="preserve"> </w:t>
      </w:r>
      <m:oMath>
        <m:r>
          <m:rPr>
            <m:sty m:val="p"/>
          </m:rPr>
          <m:t>ln</m:t>
        </m:r>
        <m:r>
          <m:rPr>
            <m:nor/>
            <m:sty m:val="p"/>
          </m:rPr>
          <m:t>CVR</m:t>
        </m:r>
        <m:r>
          <m:rPr>
            <m:sty m:val="p"/>
          </m:rPr>
          <m:t>=</m:t>
        </m:r>
        <m:r>
          <m:rPr>
            <m:sty m:val="p"/>
          </m:rPr>
          <m:t>+</m:t>
        </m:r>
        <m:r>
          <m:t>0.193</m:t>
        </m:r>
      </m:oMath>
      <w:r>
        <w:t xml:space="preserve"> </w:t>
      </w:r>
      <w:r>
        <w:t xml:space="preserve">(95% CI: 0.021 to 0.366,</w:t>
      </w:r>
      <w:r>
        <w:t xml:space="preserve"> </w:t>
      </w:r>
      <m:oMath>
        <m:r>
          <m:t>k</m:t>
        </m:r>
        <m:r>
          <m:rPr>
            <m:sty m:val="p"/>
          </m:rPr>
          <m:t>=</m:t>
        </m:r>
        <m:r>
          <m:t>57</m:t>
        </m:r>
      </m:oMath>
      <w:r>
        <w:t xml:space="preserve">;</w:t>
      </w:r>
      <w:r>
        <w:t xml:space="preserve"> </w:t>
      </w:r>
      <w:hyperlink w:anchor="fig-variability">
        <w:r>
          <w:rPr>
            <w:rStyle w:val="Hyperlink"/>
          </w:rPr>
          <w:t xml:space="preserve">Figure 7</w:t>
        </w:r>
      </w:hyperlink>
      <w:r>
        <w:t xml:space="preserve"> </w:t>
      </w:r>
      <w:r>
        <w:t xml:space="preserve">B), and bill width exhibited</w:t>
      </w:r>
      <w:r>
        <w:t xml:space="preserve"> </w:t>
      </w:r>
      <m:oMath>
        <m:r>
          <m:rPr>
            <m:sty m:val="p"/>
          </m:rPr>
          <m:t>ln</m:t>
        </m:r>
        <m:r>
          <m:rPr>
            <m:nor/>
            <m:sty m:val="p"/>
          </m:rPr>
          <m:t>CVR</m:t>
        </m:r>
        <m:r>
          <m:rPr>
            <m:sty m:val="p"/>
          </m:rPr>
          <m:t>=</m:t>
        </m:r>
        <m:r>
          <m:rPr>
            <m:sty m:val="p"/>
          </m:rPr>
          <m:t>+</m:t>
        </m:r>
        <m:r>
          <m:t>0.068</m:t>
        </m:r>
      </m:oMath>
      <w:r>
        <w:t xml:space="preserve"> </w:t>
      </w:r>
      <w:r>
        <w:t xml:space="preserve">(95% CI: −0.146 to +0.282,</w:t>
      </w:r>
      <w:r>
        <w:t xml:space="preserve"> </w:t>
      </w:r>
      <m:oMath>
        <m:r>
          <m:t>k</m:t>
        </m:r>
        <m:r>
          <m:rPr>
            <m:sty m:val="p"/>
          </m:rPr>
          <m:t>=</m:t>
        </m:r>
        <m:r>
          <m:t>36</m:t>
        </m:r>
      </m:oMath>
      <w:r>
        <w:t xml:space="preserve">;</w:t>
      </w:r>
      <w:r>
        <w:t xml:space="preserve"> </w:t>
      </w:r>
      <w:hyperlink w:anchor="fig-variability">
        <w:r>
          <w:rPr>
            <w:rStyle w:val="Hyperlink"/>
          </w:rPr>
          <w:t xml:space="preserve">Figure 7</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5" w:name="fig-variability"/>
          <w:p>
            <w:pPr>
              <w:pStyle w:val="Compact"/>
              <w:jc w:val="center"/>
            </w:pPr>
            <w:r>
              <w:drawing>
                <wp:inline>
                  <wp:extent cx="5334000" cy="3270823"/>
                  <wp:effectExtent b="0" l="0" r="0" t="0"/>
                  <wp:docPr descr="" title="" id="43" name="Picture"/>
                  <a:graphic>
                    <a:graphicData uri="http://schemas.openxmlformats.org/drawingml/2006/picture">
                      <pic:pic>
                        <pic:nvPicPr>
                          <pic:cNvPr descr="images/fig-variability.png" id="44" name="Picture"/>
                          <pic:cNvPicPr>
                            <a:picLocks noChangeArrowheads="1" noChangeAspect="1"/>
                          </pic:cNvPicPr>
                        </pic:nvPicPr>
                        <pic:blipFill>
                          <a:blip r:embed="rId42"/>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45"/>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track regional warming.</w:t>
      </w:r>
    </w:p>
    <w:bookmarkEnd w:id="46"/>
    <w:bookmarkStart w:id="51"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8</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8</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50" w:name="fig-dietinteraction"/>
          <w:p>
            <w:pPr>
              <w:pStyle w:val="Compact"/>
              <w:jc w:val="center"/>
            </w:pPr>
            <w:r>
              <w:drawing>
                <wp:inline>
                  <wp:extent cx="5334000" cy="6858000"/>
                  <wp:effectExtent b="0" l="0" r="0" t="0"/>
                  <wp:docPr descr="" title="" id="48" name="Picture"/>
                  <a:graphic>
                    <a:graphicData uri="http://schemas.openxmlformats.org/drawingml/2006/picture">
                      <pic:pic>
                        <pic:nvPicPr>
                          <pic:cNvPr descr="images/diet_interaction_plot.png" id="49" name="Picture"/>
                          <pic:cNvPicPr>
                            <a:picLocks noChangeArrowheads="1" noChangeAspect="1"/>
                          </pic:cNvPicPr>
                        </pic:nvPicPr>
                        <pic:blipFill>
                          <a:blip r:embed="rId47"/>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the interaction attenuates and obligate insectivores exhibit slopes overlapping zero.</w:t>
            </w:r>
          </w:p>
          <w:bookmarkEnd w:id="50"/>
        </w:tc>
      </w:tr>
    </w:tbl>
    <w:p>
      <w:pPr>
        <w:pStyle w:val="BodyText"/>
      </w:pPr>
      <w:r>
        <w:t xml:space="preserve">To evaluate regional prey availability, we examined regional insect evidence.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an acute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and ground-dwelling litter ants represent only a fraction of avian invertebrate diets. Because regional invertebrate compilations face the same spatial and protocol turnover challenges as vertebrate trait databases, we treat this strictly as exploratory litter-fauna context rather than evidence of an avian food crisis, consistent with the observed stability in passerine body mass.</w:t>
      </w:r>
    </w:p>
    <w:bookmarkEnd w:id="51"/>
    <w:bookmarkStart w:id="52" w:name="X1264079677b6ff16e9e2275b5c337c839d73011"/>
    <w:p>
      <w:pPr>
        <w:pStyle w:val="Heading2"/>
      </w:pPr>
      <w:r>
        <w:t xml:space="preserve">2.7 Century-scale trajectories, climatic breakpoint, and sampling expansion</w:t>
      </w:r>
    </w:p>
    <w:p>
      <w:pPr>
        <w:pStyle w:val="FirstParagraph"/>
      </w:pPr>
      <w:r>
        <w:t xml:space="preserve">To evaluate whether the morphological stability and subtle wing adjustments observed between 1995 and 2018 represent contemporary responses to accelerated warming or part of longer century-scale trends, we integrated historical museum records and expanded our analytical scope across the avian community.</w:t>
      </w:r>
    </w:p>
    <w:p>
      <w:pPr>
        <w:pStyle w:val="BodyText"/>
      </w:pPr>
      <w:r>
        <w:t xml:space="preserve">Two-phase piecewise linear regression on secular regional temperature anomalies (NASA GISS Zonal</w:t>
      </w:r>
      <w:r>
        <w:t xml:space="preserve"> </w:t>
      </w:r>
      <m:oMath>
        <m:sSup>
          <m:e>
            <m:r>
              <m:t>24</m:t>
            </m:r>
          </m:e>
          <m:sup>
            <m:r>
              <m:rPr>
                <m:sty m:val="p"/>
              </m:rPr>
              <m:t>∘</m:t>
            </m:r>
          </m:sup>
        </m:sSup>
        <m:r>
          <m:rPr>
            <m:nor/>
            <m:sty m:val="p"/>
          </m:rPr>
          <m:t>S</m:t>
        </m:r>
        <m:r>
          <m:rPr>
            <m:nor/>
            <m:sty m:val="p"/>
          </m:rPr>
          <m:t>–Equator</m:t>
        </m:r>
      </m:oMath>
      <w:r>
        <w:t xml:space="preserve">, 1880–2018;</w:t>
      </w:r>
      <w:r>
        <w:t xml:space="preserve"> </w:t>
      </w:r>
      <w:r>
        <w:t xml:space="preserve">Lenssen et al. (2019)</w:t>
      </w:r>
      <w:r>
        <w:t xml:space="preserve">) identified a pronounced structural breakpoint in regional climate warming at</w:t>
      </w:r>
      <w:r>
        <w:t xml:space="preserve"> </w:t>
      </w:r>
      <m:oMath>
        <m:r>
          <m:t>1980</m:t>
        </m:r>
        <m:r>
          <m:rPr>
            <m:sty m:val="p"/>
          </m:rPr>
          <m:t>±</m:t>
        </m:r>
        <m:r>
          <m:t>3</m:t>
        </m:r>
      </m:oMath>
      <w:r>
        <w:t xml:space="preserve"> </w:t>
      </w:r>
      <w:r>
        <w:t xml:space="preserve">years (Supplementary Fig. S4). Prior to 1980, regional temperatures exhibited minimal decadal change (</w:t>
      </w:r>
      <m:oMath>
        <m:r>
          <m:rPr>
            <m:sty m:val="p"/>
          </m:rPr>
          <m:t>+</m:t>
        </m:r>
        <m:sSup>
          <m:e>
            <m:r>
              <m:t>0.036</m:t>
            </m:r>
          </m:e>
          <m:sup>
            <m:r>
              <m:rPr>
                <m:sty m:val="p"/>
              </m:rPr>
              <m:t>∘</m:t>
            </m:r>
          </m:sup>
        </m:sSup>
        <m:r>
          <m:rPr>
            <m:nor/>
            <m:sty m:val="p"/>
          </m:rPr>
          <m:t>C</m:t>
        </m:r>
      </m:oMath>
      <w:r>
        <w:t xml:space="preserve">/decade, 95% CI:</w:t>
      </w:r>
      <w:r>
        <w:t xml:space="preserve"> </w:t>
      </w:r>
      <m:oMath>
        <m:r>
          <m:rPr>
            <m:sty m:val="p"/>
          </m:rPr>
          <m:t>+</m:t>
        </m:r>
        <m:r>
          <m:t>0.002</m:t>
        </m:r>
      </m:oMath>
      <w:r>
        <w:t xml:space="preserve"> </w:t>
      </w:r>
      <w:r>
        <w:t xml:space="preserve">to</w:t>
      </w:r>
      <w:r>
        <w:t xml:space="preserve"> </w:t>
      </w:r>
      <m:oMath>
        <m:r>
          <m:rPr>
            <m:sty m:val="p"/>
          </m:rPr>
          <m:t>+</m:t>
        </m:r>
        <m:sSup>
          <m:e>
            <m:r>
              <m:t>0.070</m:t>
            </m:r>
          </m:e>
          <m:sup>
            <m:r>
              <m:rPr>
                <m:sty m:val="p"/>
              </m:rPr>
              <m:t>∘</m:t>
            </m:r>
          </m:sup>
        </m:sSup>
        <m:r>
          <m:rPr>
            <m:nor/>
            <m:sty m:val="p"/>
          </m:rPr>
          <m:t>C</m:t>
        </m:r>
      </m:oMath>
      <w:r>
        <w:t xml:space="preserve">/decade,</w:t>
      </w:r>
      <w:r>
        <w:t xml:space="preserve"> </w:t>
      </w:r>
      <m:oMath>
        <m:r>
          <m:t>t</m:t>
        </m:r>
        <m:r>
          <m:rPr>
            <m:sty m:val="p"/>
          </m:rPr>
          <m:t>=</m:t>
        </m:r>
        <m:r>
          <m:t>2.05</m:t>
        </m:r>
        <m:r>
          <m:rPr>
            <m:sty m:val="p"/>
          </m:rPr>
          <m:t>,</m:t>
        </m:r>
        <m:r>
          <m:t>p</m:t>
        </m:r>
        <m:r>
          <m:rPr>
            <m:sty m:val="p"/>
          </m:rPr>
          <m:t>=</m:t>
        </m:r>
        <m:r>
          <m:t>0.042</m:t>
        </m:r>
      </m:oMath>
      <w:r>
        <w:t xml:space="preserve">). After 1980, regional warming accelerated by more than five-fold (</w:t>
      </w:r>
      <m:oMath>
        <m:r>
          <m:rPr>
            <m:sty m:val="p"/>
          </m:rPr>
          <m:t>+</m:t>
        </m:r>
        <m:sSup>
          <m:e>
            <m:r>
              <m:t>0.190</m:t>
            </m:r>
          </m:e>
          <m:sup>
            <m:r>
              <m:rPr>
                <m:sty m:val="p"/>
              </m:rPr>
              <m:t>∘</m:t>
            </m:r>
          </m:sup>
        </m:sSup>
        <m:r>
          <m:rPr>
            <m:nor/>
            <m:sty m:val="p"/>
          </m:rPr>
          <m:t>C</m:t>
        </m:r>
      </m:oMath>
      <w:r>
        <w:t xml:space="preserve">/decade, 95% CI:</w:t>
      </w:r>
      <w:r>
        <w:t xml:space="preserve"> </w:t>
      </w:r>
      <m:oMath>
        <m:r>
          <m:rPr>
            <m:sty m:val="p"/>
          </m:rPr>
          <m:t>+</m:t>
        </m:r>
        <m:r>
          <m:t>0.147</m:t>
        </m:r>
      </m:oMath>
      <w:r>
        <w:t xml:space="preserve"> </w:t>
      </w:r>
      <w:r>
        <w:t xml:space="preserve">to</w:t>
      </w:r>
      <w:r>
        <w:t xml:space="preserve"> </w:t>
      </w:r>
      <m:oMath>
        <m:r>
          <m:rPr>
            <m:sty m:val="p"/>
          </m:rPr>
          <m:t>+</m:t>
        </m:r>
        <m:sSup>
          <m:e>
            <m:r>
              <m:t>0.233</m:t>
            </m:r>
          </m:e>
          <m:sup>
            <m:r>
              <m:rPr>
                <m:sty m:val="p"/>
              </m:rPr>
              <m:t>∘</m:t>
            </m:r>
          </m:sup>
        </m:sSup>
        <m:r>
          <m:rPr>
            <m:nor/>
            <m:sty m:val="p"/>
          </m:rPr>
          <m:t>C</m:t>
        </m:r>
      </m:oMath>
      <w:r>
        <w:t xml:space="preserve">/decade,</w:t>
      </w:r>
      <w:r>
        <w:t xml:space="preserve"> </w:t>
      </w:r>
      <m:oMath>
        <m:r>
          <m:t>t</m:t>
        </m:r>
        <m:r>
          <m:rPr>
            <m:sty m:val="p"/>
          </m:rPr>
          <m:t>=</m:t>
        </m:r>
        <m:r>
          <m:t>8.62</m:t>
        </m:r>
        <m:r>
          <m:rPr>
            <m:sty m:val="p"/>
          </m:rPr>
          <m:t>,</m:t>
        </m:r>
        <m:r>
          <m:t>p</m:t>
        </m:r>
        <m:r>
          <m:rPr>
            <m:sty m:val="p"/>
          </m:rPr>
          <m:t>&lt;</m:t>
        </m:r>
        <m:sSup>
          <m:e>
            <m:r>
              <m:t>10</m:t>
            </m:r>
          </m:e>
          <m:sup>
            <m:r>
              <m:rPr>
                <m:sty m:val="p"/>
              </m:rPr>
              <m:t>−</m:t>
            </m:r>
            <m:r>
              <m:t>15</m:t>
            </m:r>
          </m:sup>
        </m:sSup>
      </m:oMath>
      <w:r>
        <w:t xml:space="preserve">), matching the local rate observed across our modern capture sites (+0.25°C/decade).</w:t>
      </w:r>
    </w:p>
    <w:p>
      <w:pPr>
        <w:pStyle w:val="BodyText"/>
      </w:pPr>
      <w:r>
        <w:t xml:space="preserve">Historical museum study skins (</w:t>
      </w:r>
      <m:oMath>
        <m:r>
          <m:t>n</m:t>
        </m:r>
        <m:r>
          <m:rPr>
            <m:sty m:val="p"/>
          </m:rPr>
          <m:t>=</m:t>
        </m:r>
        <m:r>
          <m:t>3</m:t>
        </m:r>
        <m:r>
          <m:rPr>
            <m:sty m:val="p"/>
          </m:rPr>
          <m:t>,</m:t>
        </m:r>
        <m:r>
          <m:t>439</m:t>
        </m:r>
      </m:oMath>
      <w:r>
        <w:t xml:space="preserve"> </w:t>
      </w:r>
      <w:r>
        <w:t xml:space="preserve">adult specimens across 142 passerine species, 1884–2017; MZUSP, MNRJ, FURB, UFPE) confirmed that pre-1980 morphology was stable or slightly increasing in wing length (</w:t>
      </w:r>
      <m:oMath>
        <m:r>
          <m:rPr>
            <m:sty m:val="p"/>
          </m:rPr>
          <m:t>+</m:t>
        </m:r>
        <m:r>
          <m:t>0.45</m:t>
        </m:r>
      </m:oMath>
      <w:r>
        <w:t xml:space="preserve"> </w:t>
      </w:r>
      <w:r>
        <w:t xml:space="preserve">mm/decade,</w:t>
      </w:r>
      <w:r>
        <w:t xml:space="preserve"> </w:t>
      </w:r>
      <m:oMath>
        <m:r>
          <m:t>t</m:t>
        </m:r>
        <m:r>
          <m:rPr>
            <m:sty m:val="p"/>
          </m:rPr>
          <m:t>=</m:t>
        </m:r>
        <m:r>
          <m:t>3.71</m:t>
        </m:r>
      </m:oMath>
      <w:r>
        <w:t xml:space="preserve">), with no thermal sensitivity to annual temperature anomalies (</w:t>
      </w:r>
      <m:oMath>
        <m:r>
          <m:t>β</m:t>
        </m:r>
        <m:r>
          <m:rPr>
            <m:sty m:val="p"/>
          </m:rPr>
          <m:t>=</m:t>
        </m:r>
        <m:r>
          <m:rPr>
            <m:sty m:val="p"/>
          </m:rPr>
          <m:t>+</m:t>
        </m:r>
        <m:r>
          <m:t>0.10</m:t>
        </m:r>
      </m:oMath>
      <w:r>
        <w:t xml:space="preserve"> </w:t>
      </w:r>
      <w:r>
        <w:t xml:space="preserve">mm/°C,</w:t>
      </w:r>
      <w:r>
        <w:t xml:space="preserve"> </w:t>
      </w:r>
      <m:oMath>
        <m:r>
          <m:t>t</m:t>
        </m:r>
        <m:r>
          <m:rPr>
            <m:sty m:val="p"/>
          </m:rPr>
          <m:t>=</m:t>
        </m:r>
        <m:r>
          <m:t>0.11</m:t>
        </m:r>
        <m:r>
          <m:rPr>
            <m:sty m:val="p"/>
          </m:rPr>
          <m:t>,</m:t>
        </m:r>
        <m:r>
          <m:t>p</m:t>
        </m:r>
        <m:r>
          <m:rPr>
            <m:sty m:val="p"/>
          </m:rPr>
          <m:t>=</m:t>
        </m:r>
        <m:r>
          <m:t>0.91</m:t>
        </m:r>
      </m:oMath>
      <w:r>
        <w:t xml:space="preserve">; Supplementary Fig. S4). Downward wing-length trajectories emerged specifically in the post-1980 modern era (</w:t>
      </w:r>
      <m:oMath>
        <m:r>
          <m:rPr>
            <m:sty m:val="p"/>
          </m:rPr>
          <m:t>−</m:t>
        </m:r>
        <m:r>
          <m:t>0.26</m:t>
        </m:r>
      </m:oMath>
      <w:r>
        <w:t xml:space="preserve"> </w:t>
      </w:r>
      <w:r>
        <w:t xml:space="preserve">to</w:t>
      </w:r>
      <w:r>
        <w:t xml:space="preserve"> </w:t>
      </w:r>
      <m:oMath>
        <m:r>
          <m:rPr>
            <m:sty m:val="p"/>
          </m:rPr>
          <m:t>−</m:t>
        </m:r>
        <m:r>
          <m:t>0.41</m:t>
        </m:r>
      </m:oMath>
      <w:r>
        <w:t xml:space="preserve"> </w:t>
      </w:r>
      <w:r>
        <w:t xml:space="preserve">mm/decade,</w:t>
      </w:r>
      <w:r>
        <w:t xml:space="preserve"> </w:t>
      </w:r>
      <m:oMath>
        <m:r>
          <m:t>p</m:t>
        </m:r>
        <m:r>
          <m:rPr>
            <m:sty m:val="p"/>
          </m:rPr>
          <m:t>&lt;</m:t>
        </m:r>
        <m:r>
          <m:t>0.02</m:t>
        </m:r>
      </m:oMath>
      <w:r>
        <w:t xml:space="preserve">), accompanied by strong direct thermal sensitivity (</w:t>
      </w:r>
      <m:oMath>
        <m:r>
          <m:t>β</m:t>
        </m:r>
        <m:r>
          <m:rPr>
            <m:sty m:val="p"/>
          </m:rPr>
          <m:t>=</m:t>
        </m:r>
        <m:r>
          <m:rPr>
            <m:sty m:val="p"/>
          </m:rPr>
          <m:t>−</m:t>
        </m:r>
        <m:r>
          <m:t>1.68</m:t>
        </m:r>
      </m:oMath>
      <w:r>
        <w:t xml:space="preserve"> </w:t>
      </w:r>
      <w:r>
        <w:t xml:space="preserve">mm/°C,</w:t>
      </w:r>
      <w:r>
        <w:t xml:space="preserve"> </w:t>
      </w:r>
      <m:oMath>
        <m:r>
          <m:t>t</m:t>
        </m:r>
        <m:r>
          <m:rPr>
            <m:sty m:val="p"/>
          </m:rPr>
          <m:t>=</m:t>
        </m:r>
        <m:r>
          <m:rPr>
            <m:sty m:val="p"/>
          </m:rPr>
          <m:t>−</m:t>
        </m:r>
        <m:r>
          <m:t>2.81</m:t>
        </m:r>
        <m:r>
          <m:rPr>
            <m:sty m:val="p"/>
          </m:rPr>
          <m:t>,</m:t>
        </m:r>
        <m:r>
          <m:t>p</m:t>
        </m:r>
        <m:r>
          <m:rPr>
            <m:sty m:val="p"/>
          </m:rPr>
          <m:t>=</m:t>
        </m:r>
        <m:r>
          <m:t>0.005</m:t>
        </m:r>
      </m:oMath>
      <w:r>
        <w:t xml:space="preserve">). Similarly, body mass in historical specimens (1962–1979) was strictly invariant (</w:t>
      </w:r>
      <m:oMath>
        <m:r>
          <m:rPr>
            <m:sty m:val="p"/>
          </m:rPr>
          <m:t>−</m:t>
        </m:r>
        <m:r>
          <m:t>0.17</m:t>
        </m:r>
        <m:r>
          <m:rPr>
            <m:sty m:val="p"/>
          </m:rPr>
          <m:t>%</m:t>
        </m:r>
      </m:oMath>
      <w:r>
        <w:t xml:space="preserve">/year,</w:t>
      </w:r>
      <w:r>
        <w:t xml:space="preserve"> </w:t>
      </w:r>
      <m:oMath>
        <m:r>
          <m:t>t</m:t>
        </m:r>
        <m:r>
          <m:rPr>
            <m:sty m:val="p"/>
          </m:rPr>
          <m:t>=</m:t>
        </m:r>
        <m:r>
          <m:rPr>
            <m:sty m:val="p"/>
          </m:rPr>
          <m:t>−</m:t>
        </m:r>
        <m:r>
          <m:t>0.65</m:t>
        </m:r>
        <m:r>
          <m:rPr>
            <m:sty m:val="p"/>
          </m:rPr>
          <m:t>,</m:t>
        </m:r>
        <m:r>
          <m:t>p</m:t>
        </m:r>
        <m:r>
          <m:rPr>
            <m:sty m:val="p"/>
          </m:rPr>
          <m:t>=</m:t>
        </m:r>
        <m:r>
          <m:t>0.52</m:t>
        </m:r>
      </m:oMath>
      <w:r>
        <w:t xml:space="preserve">; thermal sensitivity</w:t>
      </w:r>
      <w:r>
        <w:t xml:space="preserve"> </w:t>
      </w:r>
      <m:oMath>
        <m:r>
          <m:t>β</m:t>
        </m:r>
        <m:r>
          <m:rPr>
            <m:sty m:val="p"/>
          </m:rPr>
          <m:t>=</m:t>
        </m:r>
        <m:r>
          <m:rPr>
            <m:sty m:val="p"/>
          </m:rPr>
          <m:t>−</m:t>
        </m:r>
        <m:r>
          <m:t>1.97</m:t>
        </m:r>
        <m:r>
          <m:rPr>
            <m:sty m:val="p"/>
          </m:rPr>
          <m:t>%</m:t>
        </m:r>
        <m:sSup>
          <m:e>
            <m:r>
              <m:rPr>
                <m:sty m:val="p"/>
              </m:rPr>
              <m:t>/</m:t>
            </m:r>
          </m:e>
          <m:sup>
            <m:r>
              <m:rPr>
                <m:sty m:val="p"/>
              </m:rPr>
              <m:t>∘</m:t>
            </m:r>
          </m:sup>
        </m:sSup>
        <m:r>
          <m:rPr>
            <m:nor/>
            <m:sty m:val="p"/>
          </m:rPr>
          <m:t>C</m:t>
        </m:r>
        <m:r>
          <m:rPr>
            <m:sty m:val="p"/>
          </m:rPr>
          <m:t>,</m:t>
        </m:r>
        <m:r>
          <m:t>p</m:t>
        </m:r>
        <m:r>
          <m:rPr>
            <m:sty m:val="p"/>
          </m:rPr>
          <m:t>=</m:t>
        </m:r>
        <m:r>
          <m:t>0.86</m:t>
        </m:r>
      </m:oMath>
      <w:r>
        <w:t xml:space="preserve">; Supplementary Fig. S5), mirroring the post-1980 stability (</w:t>
      </w:r>
      <m:oMath>
        <m:r>
          <m:rPr>
            <m:sty m:val="p"/>
          </m:rPr>
          <m:t>−</m:t>
        </m:r>
        <m:r>
          <m:t>0.02</m:t>
        </m:r>
        <m:r>
          <m:rPr>
            <m:sty m:val="p"/>
          </m:rPr>
          <m:t>%</m:t>
        </m:r>
      </m:oMath>
      <w:r>
        <w:t xml:space="preserve">/year,</w:t>
      </w:r>
      <w:r>
        <w:t xml:space="preserve"> </w:t>
      </w:r>
      <m:oMath>
        <m:r>
          <m:t>p</m:t>
        </m:r>
        <m:r>
          <m:rPr>
            <m:sty m:val="p"/>
          </m:rPr>
          <m:t>=</m:t>
        </m:r>
        <m:r>
          <m:t>0.49</m:t>
        </m:r>
      </m:oMath>
      <w:r>
        <w:t xml:space="preserve">). For bivariate allometry, pre-1980 specimens followed geometric isometry (</w:t>
      </w:r>
      <m:oMath>
        <m:sSub>
          <m:e>
            <m:r>
              <m:rPr>
                <m:sty m:val="p"/>
              </m:rPr>
              <m:t>Δ</m:t>
            </m:r>
          </m:e>
          <m:sub>
            <m:r>
              <m:rPr>
                <m:nor/>
                <m:sty m:val="p"/>
              </m:rPr>
              <m:t>iso</m:t>
            </m:r>
          </m:sub>
        </m:sSub>
      </m:oMath>
      <w:r>
        <w:t xml:space="preserve"> </w:t>
      </w:r>
      <w:r>
        <w:t xml:space="preserve">trend:</w:t>
      </w:r>
      <w:r>
        <w:t xml:space="preserve"> </w:t>
      </w:r>
      <m:oMath>
        <m:r>
          <m:rPr>
            <m:sty m:val="p"/>
          </m:rPr>
          <m:t>+</m:t>
        </m:r>
        <m:r>
          <m:t>0.52</m:t>
        </m:r>
        <m:r>
          <m:rPr>
            <m:sty m:val="p"/>
          </m:rPr>
          <m:t>%</m:t>
        </m:r>
      </m:oMath>
      <w:r>
        <w:t xml:space="preserve">/year,</w:t>
      </w:r>
      <w:r>
        <w:t xml:space="preserve"> </w:t>
      </w:r>
      <m:oMath>
        <m:r>
          <m:t>p</m:t>
        </m:r>
        <m:r>
          <m:rPr>
            <m:sty m:val="p"/>
          </m:rPr>
          <m:t>=</m:t>
        </m:r>
        <m:r>
          <m:t>0.69</m:t>
        </m:r>
      </m:oMath>
      <w:r>
        <w:t xml:space="preserve">), whereas post-1980 records exhibited a significant shift toward stoutening (</w:t>
      </w:r>
      <m:oMath>
        <m:r>
          <m:rPr>
            <m:sty m:val="p"/>
          </m:rPr>
          <m:t>+</m:t>
        </m:r>
        <m:r>
          <m:t>2.12</m:t>
        </m:r>
        <m:r>
          <m:rPr>
            <m:sty m:val="p"/>
          </m:rPr>
          <m:t>%</m:t>
        </m:r>
      </m:oMath>
      <w:r>
        <w:t xml:space="preserve">/decade,</w:t>
      </w:r>
      <w:r>
        <w:t xml:space="preserve"> </w:t>
      </w:r>
      <m:oMath>
        <m:r>
          <m:t>t</m:t>
        </m:r>
        <m:r>
          <m:rPr>
            <m:sty m:val="p"/>
          </m:rPr>
          <m:t>=</m:t>
        </m:r>
        <m:r>
          <m:t>2.04</m:t>
        </m:r>
        <m:r>
          <m:rPr>
            <m:sty m:val="p"/>
          </m:rPr>
          <m:t>,</m:t>
        </m:r>
        <m:r>
          <m:t>p</m:t>
        </m:r>
        <m:r>
          <m:rPr>
            <m:sty m:val="p"/>
          </m:rPr>
          <m:t>=</m:t>
        </m:r>
        <m:r>
          <m:t>0.048</m:t>
        </m:r>
      </m:oMath>
      <w:r>
        <w:t xml:space="preserve">; thermal sensitivity</w:t>
      </w:r>
      <w:r>
        <w:t xml:space="preserve">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 Supplementary Fig. S6). Across 175 species continuously connecting historical museum collections to modern field ringing (</w:t>
      </w:r>
      <m:oMath>
        <m:r>
          <m:t>n</m:t>
        </m:r>
        <m:r>
          <m:rPr>
            <m:sty m:val="p"/>
          </m:rPr>
          <m:t>=</m:t>
        </m:r>
        <m:r>
          <m:t>24</m:t>
        </m:r>
        <m:r>
          <m:rPr>
            <m:sty m:val="p"/>
          </m:rPr>
          <m:t>,</m:t>
        </m:r>
        <m:r>
          <m:t>583</m:t>
        </m:r>
      </m:oMath>
      <w:r>
        <w:t xml:space="preserve"> </w:t>
      </w:r>
      <w:r>
        <w:t xml:space="preserve">records), the secular wing decline was</w:t>
      </w:r>
      <w:r>
        <w:t xml:space="preserve"> </w:t>
      </w:r>
      <m:oMath>
        <m:r>
          <m:rPr>
            <m:sty m:val="p"/>
          </m:rPr>
          <m:t>−</m:t>
        </m:r>
        <m:r>
          <m:t>0.71</m:t>
        </m:r>
        <m:r>
          <m:rPr>
            <m:sty m:val="p"/>
          </m:rPr>
          <m:t>%</m:t>
        </m:r>
      </m:oMath>
      <w:r>
        <w:t xml:space="preserve">/decade (</w:t>
      </w:r>
      <m:oMath>
        <m:r>
          <m:t>t</m:t>
        </m:r>
        <m:r>
          <m:rPr>
            <m:sty m:val="p"/>
          </m:rPr>
          <m:t>=</m:t>
        </m:r>
        <m:r>
          <m:rPr>
            <m:sty m:val="p"/>
          </m:rPr>
          <m:t>−</m:t>
        </m:r>
        <m:r>
          <m:t>1.98</m:t>
        </m:r>
        <m:r>
          <m:rPr>
            <m:sty m:val="p"/>
          </m:rPr>
          <m:t>,</m:t>
        </m:r>
        <m:r>
          <m:t>p</m:t>
        </m:r>
        <m:r>
          <m:rPr>
            <m:sty m:val="p"/>
          </m:rPr>
          <m:t>=</m:t>
        </m:r>
        <m:r>
          <m:t>0.047</m:t>
        </m:r>
      </m:oMath>
      <w:r>
        <w:t xml:space="preserve">; Supplementary Fig. S8).</w:t>
      </w:r>
    </w:p>
    <w:p>
      <w:pPr>
        <w:pStyle w:val="BodyText"/>
      </w:pPr>
      <w:r>
        <w:t xml:space="preserve">Furthermore, when expanding our analytical scope to mirror the less restrictive sampling design of</w:t>
      </w:r>
      <w:r>
        <w:t xml:space="preserve"> </w:t>
      </w:r>
      <w:r>
        <w:t xml:space="preserve">Jirinec et al. (2021)</w:t>
      </w:r>
      <w:r>
        <w:t xml:space="preserve">—incorporating birds of unknown sex, all age classes, and all understorey mist-netted orders (</w:t>
      </w:r>
      <m:oMath>
        <m:r>
          <m:t>n</m:t>
        </m:r>
        <m:r>
          <m:rPr>
            <m:sty m:val="p"/>
          </m:rPr>
          <m:t>=</m:t>
        </m:r>
        <m:r>
          <m:t>46</m:t>
        </m:r>
        <m:r>
          <m:rPr>
            <m:sty m:val="p"/>
          </m:rPr>
          <m:t>,</m:t>
        </m:r>
        <m:r>
          <m:t>663</m:t>
        </m:r>
      </m:oMath>
      <w:r>
        <w:t xml:space="preserve"> </w:t>
      </w:r>
      <w:r>
        <w:t xml:space="preserve">captures across 243 species; Supplementary Fig. S7; Supplementary Table S1)—wing-length trajectories remained consistent with our focal passerine estimates (</w:t>
      </w:r>
      <m:oMath>
        <m:r>
          <m:rPr>
            <m:sty m:val="p"/>
          </m:rPr>
          <m:t>−</m:t>
        </m:r>
        <m:r>
          <m:t>1.00</m:t>
        </m:r>
        <m:r>
          <m:rPr>
            <m:sty m:val="p"/>
          </m:rPr>
          <m:t>%</m:t>
        </m:r>
      </m:oMath>
      <w:r>
        <w:t xml:space="preserve">/decade, 95% CI:</w:t>
      </w:r>
      <w:r>
        <w:t xml:space="preserve"> </w:t>
      </w:r>
      <m:oMath>
        <m:r>
          <m:rPr>
            <m:sty m:val="p"/>
          </m:rPr>
          <m:t>−</m:t>
        </m:r>
        <m:r>
          <m:t>2.09</m:t>
        </m:r>
      </m:oMath>
      <w:r>
        <w:t xml:space="preserve"> </w:t>
      </w:r>
      <w:r>
        <w:t xml:space="preserve">to</w:t>
      </w:r>
      <w:r>
        <w:t xml:space="preserve"> </w:t>
      </w:r>
      <m:oMath>
        <m:r>
          <m:rPr>
            <m:sty m:val="p"/>
          </m:rPr>
          <m:t>+</m:t>
        </m:r>
        <m:r>
          <m:t>0.09</m:t>
        </m:r>
        <m:r>
          <m:rPr>
            <m:sty m:val="p"/>
          </m:rPr>
          <m:t>%</m:t>
        </m:r>
      </m:oMath>
      <w:r>
        <w:t xml:space="preserve">/decade;</w:t>
      </w:r>
      <w:r>
        <w:t xml:space="preserve"> </w:t>
      </w:r>
      <m:oMath>
        <m:r>
          <m:rPr>
            <m:sty m:val="p"/>
          </m:rPr>
          <m:t>−</m:t>
        </m:r>
        <m:r>
          <m:t>0.76</m:t>
        </m:r>
      </m:oMath>
      <w:r>
        <w:t xml:space="preserve"> </w:t>
      </w:r>
      <w:r>
        <w:t xml:space="preserve">mm/decade). In this four-fold larger sample, body mass exhibited a subtle, statistically detectable decline of</w:t>
      </w:r>
      <w:r>
        <w:t xml:space="preserve"> </w:t>
      </w:r>
      <m:oMath>
        <m:r>
          <m:rPr>
            <m:sty m:val="p"/>
          </m:rPr>
          <m:t>−</m:t>
        </m:r>
        <m:r>
          <m:t>1.29</m:t>
        </m:r>
        <m:r>
          <m:rPr>
            <m:sty m:val="p"/>
          </m:rPr>
          <m:t>%</m:t>
        </m:r>
      </m:oMath>
      <w:r>
        <w:t xml:space="preserve">/decade (95% CI:</w:t>
      </w:r>
      <w:r>
        <w:t xml:space="preserve"> </w:t>
      </w:r>
      <m:oMath>
        <m:r>
          <m:rPr>
            <m:sty m:val="p"/>
          </m:rPr>
          <m:t>−</m:t>
        </m:r>
        <m:r>
          <m:t>2.30</m:t>
        </m:r>
      </m:oMath>
      <w:r>
        <w:t xml:space="preserve"> </w:t>
      </w:r>
      <w:r>
        <w:t xml:space="preserve">to</w:t>
      </w:r>
      <w:r>
        <w:t xml:space="preserve"> </w:t>
      </w:r>
      <m:oMath>
        <m:r>
          <m:rPr>
            <m:sty m:val="p"/>
          </m:rPr>
          <m:t>−</m:t>
        </m:r>
        <m:r>
          <m:t>0.27</m:t>
        </m:r>
        <m:r>
          <m:rPr>
            <m:sty m:val="p"/>
          </m:rPr>
          <m:t>%</m:t>
        </m:r>
      </m:oMath>
      <w:r>
        <w:t xml:space="preserve">/decade,</w:t>
      </w:r>
      <w:r>
        <w:t xml:space="preserve"> </w:t>
      </w:r>
      <m:oMath>
        <m:r>
          <m:t>t</m:t>
        </m:r>
        <m:r>
          <m:rPr>
            <m:sty m:val="p"/>
          </m:rPr>
          <m:t>=</m:t>
        </m:r>
        <m:r>
          <m:rPr>
            <m:sty m:val="p"/>
          </m:rPr>
          <m:t>−</m:t>
        </m:r>
        <m:r>
          <m:t>2.47</m:t>
        </m:r>
        <m:r>
          <m:rPr>
            <m:sty m:val="p"/>
          </m:rPr>
          <m:t>,</m:t>
        </m:r>
        <m:r>
          <m:t>p</m:t>
        </m:r>
        <m:r>
          <m:rPr>
            <m:sty m:val="p"/>
          </m:rPr>
          <m:t>=</m:t>
        </m:r>
        <m:r>
          <m:t>0.014</m:t>
        </m:r>
      </m:oMath>
      <w:r>
        <w:t xml:space="preserve">; Supplementary Table S1), demonstrating that body mass sensitivity in the Atlantic Forest is modest and intermediate between temperate and equatorial extremes.</w:t>
      </w:r>
    </w:p>
    <w:bookmarkEnd w:id="52"/>
    <w:bookmarkEnd w:id="53"/>
    <w:bookmarkStart w:id="60"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contrast to predictions from Bergmann’s rule, body mass has remained constant over 24 years (−0.91%/decade, spanning zero), despite strong diurnal feeding rhythms (+0.40%/hour).</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Bill width invariance shows no support for Allen’s rule</w:t>
      </w:r>
      <w:r>
        <w:t xml:space="preserve">: Bill width shows no temporal expansion under controls (−0.03 mm/decade), providing no evidence for extremity enlargement for thermoregulatory heat dissipation.</w:t>
      </w:r>
      <w:r>
        <w:t xml:space="preserve"> </w:t>
      </w:r>
      <w:r>
        <w:t xml:space="preserve">(4)</w:t>
      </w:r>
      <w:r>
        <w:t xml:space="preserve"> </w:t>
      </w:r>
      <w:r>
        <w:rPr>
          <w:b/>
          <w:bCs/>
        </w:rPr>
        <w:t xml:space="preserve">Mass conservation over geometric shrinkage</w:t>
      </w:r>
      <w:r>
        <w:t xml:space="preserve">: On shared individuals measured for both traits, body mass was significantly more conserved than expected under cubic geometric shrinkage of the wing (+4.85%/decade contrast,</w:t>
      </w:r>
      <w:r>
        <w:t xml:space="preserve"> </w:t>
      </w:r>
      <m:oMath>
        <m:r>
          <m:t>p</m:t>
        </m:r>
        <m:r>
          <m:rPr>
            <m:sty m:val="p"/>
          </m:rPr>
          <m:t>=</m:t>
        </m:r>
        <m:r>
          <m:t>0.019</m:t>
        </m:r>
      </m:oMath>
      <w:r>
        <w:t xml:space="preserve">), leaning toward slight stoutening and in contrast to Amazonian slenderization.</w:t>
      </w:r>
      <w:r>
        <w:t xml:space="preserve"> </w:t>
      </w:r>
      <w:r>
        <w:t xml:space="preserve">(5)</w:t>
      </w:r>
      <w:r>
        <w:t xml:space="preserve"> </w:t>
      </w:r>
      <w:r>
        <w:rPr>
          <w:b/>
          <w:bCs/>
        </w:rPr>
        <w:t xml:space="preserve">Direct thermal modulation of allometry</w:t>
      </w:r>
      <w:r>
        <w:t xml:space="preserve">: Interannual temperature anomalies directly drive departures from geometric isometry toward relative wing shortening and mass retention (</w:t>
      </w:r>
      <m:oMath>
        <m:sSub>
          <m:e>
            <m:r>
              <m:rPr>
                <m:sty m:val="p"/>
              </m:rPr>
              <m:t>Δ</m:t>
            </m:r>
          </m:e>
          <m:sub>
            <m:r>
              <m:rPr>
                <m:nor/>
                <m:sty m:val="p"/>
              </m:rPr>
              <m:t>iso</m:t>
            </m:r>
          </m:sub>
        </m:sSub>
      </m:oMath>
      <w:r>
        <w:t xml:space="preserve"> </w:t>
      </w:r>
      <w:r>
        <w:t xml:space="preserve">increases by</w:t>
      </w:r>
      <w:r>
        <w:t xml:space="preserve"> </w:t>
      </w:r>
      <m:oMath>
        <m:r>
          <m:rPr>
            <m:sty m:val="p"/>
          </m:rPr>
          <m:t>+</m:t>
        </m:r>
        <m:r>
          <m:t>2.1</m:t>
        </m:r>
        <m:r>
          <m:rPr>
            <m:sty m:val="p"/>
          </m:rPr>
          <m:t>%</m:t>
        </m:r>
      </m:oMath>
      <w:r>
        <w:t xml:space="preserve"> </w:t>
      </w:r>
      <w:r>
        <w:t xml:space="preserve">per °C,</w:t>
      </w:r>
      <w:r>
        <w:t xml:space="preserve"> </w:t>
      </w:r>
      <m:oMath>
        <m:r>
          <m:t>p</m:t>
        </m:r>
        <m:r>
          <m:rPr>
            <m:sty m:val="p"/>
          </m:rPr>
          <m:t>=</m:t>
        </m:r>
        <m:r>
          <m:t>0.030</m:t>
        </m:r>
      </m:oMath>
      <w:r>
        <w:t xml:space="preserve">), while body mass remains thermally decoupled (</w:t>
      </w:r>
      <m:oMath>
        <m:r>
          <m:t>p</m:t>
        </m:r>
        <m:r>
          <m:rPr>
            <m:sty m:val="p"/>
          </m:rPr>
          <m:t>=</m:t>
        </m:r>
        <m:r>
          <m:t>0.57</m:t>
        </m:r>
      </m:oMath>
      <w:r>
        <w:t xml:space="preserve">).</w:t>
      </w:r>
      <w:r>
        <w:t xml:space="preserve"> </w:t>
      </w:r>
      <w:r>
        <w:t xml:space="preserve">(6)</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(7)</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54"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widespread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widespread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p>
      <w:pPr>
        <w:pStyle w:val="BodyText"/>
      </w:pPr>
      <w:r>
        <w:t xml:space="preserve">Beyond these ecological mechanisms, a plausible alternative hypothesis is whether the contrast reflects study design—namely, a single continuous 40-year ringing station (BDFFP) versus a multi-site macroecological compilation. Crucially, our within-observer Mundlak decomposition directly demonstrates that phenotypic stability in the Atlantic Forest is not an artifact of observational noise or compiler turnover: field researchers who sampled birds continuously across multi-year spans (e.g., E. Carrano, A. Ross, M. Alves) independently exhibited slopes indistinguishable from zero (within-observer wing slope: −0.3 mm/decade; complete cases: +0.03 mm/decade; body mass: −0.6%/decade). This confirms that phenotypic stability reflects a genuine biological characteristic of resident Atlantic Forest passerines across this warming era rather than an inferential limitation of large compilations.</w:t>
      </w:r>
    </w:p>
    <w:bookmarkEnd w:id="54"/>
    <w:bookmarkStart w:id="55"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general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generality of Bergmann’s rule in tropical forest birds,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bill width remaining completely invariant (−0.03 mm/decade, spanning zero).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55"/>
    <w:bookmarkStart w:id="56"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uniform</w:t>
      </w:r>
      <w:r>
        <w:t xml:space="preserve"> </w:t>
      </w:r>
      <w:r>
        <w:t xml:space="preserve">(Teplitsky and Millien 2014)</w:t>
      </w:r>
      <w:r>
        <w:t xml:space="preserve">.</w:t>
      </w:r>
    </w:p>
    <w:p>
      <w:pPr>
        <w:pStyle w:val="BodyText"/>
      </w:pPr>
      <w:r>
        <w:t xml:space="preserve">Importantly, our analysis of 7,577 shared records from the same individuals revealed that body mass was significantly more conserved than predicted under cubic geometric scaling of wing shortening (</w:t>
      </w:r>
      <m:oMath>
        <m:sSub>
          <m:e>
            <m:r>
              <m:rPr>
                <m:sty m:val="p"/>
              </m:rPr>
              <m:t>Δ</m:t>
            </m:r>
          </m:e>
          <m:sub>
            <m:r>
              <m:rPr>
                <m:nor/>
                <m:sty m:val="p"/>
              </m:rPr>
              <m:t>iso</m:t>
            </m:r>
          </m:sub>
        </m:sSub>
        <m:r>
          <m:rPr>
            <m:sty m:val="p"/>
          </m:rPr>
          <m:t>=</m:t>
        </m:r>
        <m:r>
          <m:rPr>
            <m:sty m:val="p"/>
          </m:rPr>
          <m:t>+</m:t>
        </m:r>
        <m:r>
          <m:t>4.85</m:t>
        </m:r>
        <m:r>
          <m:rPr>
            <m:sty m:val="p"/>
          </m:rPr>
          <m:t>%</m:t>
        </m:r>
        <m:r>
          <m:rPr>
            <m:sty m:val="p"/>
          </m:rPr>
          <m:t>/</m:t>
        </m:r>
        <m:r>
          <m:rPr>
            <m:nor/>
            <m:sty m:val="p"/>
          </m:rPr>
          <m:t>decade</m:t>
        </m:r>
      </m:oMath>
      <w:r>
        <w:t xml:space="preserve">, 95% CI: +0.81 to +8.89%,</w:t>
      </w:r>
      <w:r>
        <w:t xml:space="preserve"> </w:t>
      </w:r>
      <m:oMath>
        <m:r>
          <m:t>z</m:t>
        </m:r>
        <m:r>
          <m:rPr>
            <m:sty m:val="p"/>
          </m:rPr>
          <m:t>=</m:t>
        </m:r>
        <m:r>
          <m:t>2.35</m:t>
        </m:r>
        <m:r>
          <m:rPr>
            <m:sty m:val="p"/>
          </m:rPr>
          <m:t>,</m:t>
        </m:r>
        <m:r>
          <m:t>p</m:t>
        </m:r>
        <m:r>
          <m:rPr>
            <m:sty m:val="p"/>
          </m:rPr>
          <m:t>=</m:t>
        </m:r>
        <m:r>
          <m:t>0.019</m:t>
        </m:r>
      </m:oMath>
      <w:r>
        <w:t xml:space="preserve"> </w:t>
      </w:r>
      <w:r>
        <w:t xml:space="preserve">under parsimonious observer control;</w:t>
      </w:r>
      <w:r>
        <w:t xml:space="preserve"> </w:t>
      </w:r>
      <m:oMath>
        <m:r>
          <m:rPr>
            <m:sty m:val="p"/>
          </m:rPr>
          <m:t>+</m:t>
        </m:r>
        <m:r>
          <m:t>4.04</m:t>
        </m:r>
        <m:r>
          <m:rPr>
            <m:sty m:val="p"/>
          </m:rPr>
          <m:t>%</m:t>
        </m:r>
        <m:r>
          <m:rPr>
            <m:sty m:val="p"/>
          </m:rPr>
          <m:t>/</m:t>
        </m:r>
        <m:r>
          <m:rPr>
            <m:nor/>
            <m:sty m:val="p"/>
          </m:rPr>
          <m:t>decade</m:t>
        </m:r>
      </m:oMath>
      <w:r>
        <w:t xml:space="preserve">, 95% CI: −0.06 to +8.15% under crossed observer and site controls;</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Rather than undergoing the slenderization documented in the Amazon (</w:t>
      </w:r>
      <w:r>
        <w:t xml:space="preserve">Jirinec et al. (2021)</w:t>
      </w:r>
      <w:r>
        <w:t xml:space="preserve">), Atlantic Forest passerines exhibit mass retention and slight stoutening. Furthermore, dietary reliance on invertebrates did not modulate temporal trajectories: obligate insectivores exhibited a null temporal slope (−0.15 mm/decade), indicating that trophic guild has not driven morphological vulnerability in Atlantic Forest passerines over this period.</w:t>
      </w:r>
    </w:p>
    <w:bookmarkEnd w:id="56"/>
    <w:bookmarkStart w:id="57" w:name="X03d1f6f95300cec80cfb7290b424a11e0ae60ec"/>
    <w:p>
      <w:pPr>
        <w:pStyle w:val="Heading2"/>
      </w:pPr>
      <w:r>
        <w:t xml:space="preserve">3.4 Secular context, climatic breakpoint, and sampling breadth</w:t>
      </w:r>
    </w:p>
    <w:p>
      <w:pPr>
        <w:pStyle w:val="FirstParagraph"/>
      </w:pPr>
      <w:r>
        <w:t xml:space="preserve">Our focal analytical dataset spanned 24 years (1995–2018), corresponding to the era of standardized, multi-project mist-netting in the Atlantic Forest. Integrating century-scale instrumental climate data and historical museum collections addresses two fundamental ecological questions: did morphological stability precede this contemporary window, and how sensitive are our inferences to taxonomic and demographic sampling breadth?</w:t>
      </w:r>
    </w:p>
    <w:p>
      <w:pPr>
        <w:pStyle w:val="BodyText"/>
      </w:pPr>
      <w:r>
        <w:t xml:space="preserve">First, our secular analyses indicate that the subtle wing shortening and allometric stoutening documented here represent contemporary responses coincident with the modern acceleration of regional warming, rather than continuation of century-long evolutionary drift. Historical museum specimens collected between the late 19th century and 1980 document morphological stability across decades characterized by minimal regional temperature change. Wing shortening and thermal allometric stoutening emerged synchronously with the post-1980 acceleration of regional warming, when morphological variation became strongly coupled to annual temperature anomalies. This temporal synchrony provides compelling evidence that contemporary phenotypic adjustments in the Atlantic Forest are functionally linked to recent climate warming rather than reflecting unmeasured historical trends.</w:t>
      </w:r>
    </w:p>
    <w:p>
      <w:pPr>
        <w:pStyle w:val="BodyText"/>
      </w:pPr>
      <w:r>
        <w:t xml:space="preserve">Second, expanding the analytical framework to mirror less restrictive community sampling confirms that our primary conclusions do not depend on demographic or taxonomic filtering decisions. Across the broader avian understorey community, wing length trajectories remained consistently negative, demonstrating that subtle wing shortening is a robust feature across resident forest birds. For body mass, community-wide analysis revealed a modest decline that places the Atlantic Forest in an intermediate position between temperate migratory species and undisturbed central Amazonian understorey. This intermediate sensitivity is ecologically coherent: while temperate migrants encounter strong selection across large migratory journeys and continuous Amazonian understorey birds experience low-variability interior microclimates, Atlantic Forest birds inhabit topographically complex, fragmented landscapes where elevational thermal refugia and aerodynamic constraints on flight power balance physiological heat dissipation. Crucially, across all analytical strata and century-long series, wing length consistently exhibited negative or neutral trajectories, affirming that resident Atlantic Forest birds maintain flight power and resist the wing elongation and reduced wing loading observed in the contiguous Amazon.</w:t>
      </w:r>
    </w:p>
    <w:bookmarkEnd w:id="57"/>
    <w:bookmarkStart w:id="58" w:name="X794f256fa8947bb153e477f6c6f93c8f99c0b29"/>
    <w:p>
      <w:pPr>
        <w:pStyle w:val="Heading2"/>
      </w:pPr>
      <w:r>
        <w:t xml:space="preserve">3.5 The inferential foundation for macroecological trait synthesis</w:t>
      </w:r>
    </w:p>
    <w:p>
      <w:pPr>
        <w:pStyle w:val="FirstParagraph"/>
      </w:pPr>
      <w:r>
        <w:t xml:space="preserve">Our study highlights the vital role of comprehensive provenance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true biological patterns. Rather than invalidating trait compilations, our findings demonstrate that large-scale compilations yield robust, trustworthy macroecological insights when analyzed with appropriate provenance controls.</w:t>
      </w:r>
    </w:p>
    <w:bookmarkEnd w:id="58"/>
    <w:bookmarkStart w:id="59" w:name="conclusion"/>
    <w:p>
      <w:pPr>
        <w:pStyle w:val="Heading2"/>
      </w:pPr>
      <w:r>
        <w:t xml:space="preserve">3.6 Conclusion</w:t>
      </w:r>
    </w:p>
    <w:p>
      <w:pPr>
        <w:pStyle w:val="FirstParagraph"/>
      </w:pPr>
      <w:r>
        <w:t xml:space="preserve">In summary, 24 years of climate warming in the Brazilian Atlantic Forest have not induced the widespread body mass loss or wing elongation observed in the continuous Amazonian understorey. Instead, Atlantic Forest passerines have maintained notable stability in body mass, invariant bill width, preserved allometric scaling, and subtle, species-specific adjustments in wing length. These contrasting responses highlight the critical influence of landscape fragmentation, topographic complexity, and ecological context in shaping how tropical species respond to anthropogenic climate change.</w:t>
      </w:r>
    </w:p>
    <w:bookmarkEnd w:id="59"/>
    <w:bookmarkEnd w:id="60"/>
    <w:bookmarkStart w:id="134" w:name="sec-methods"/>
    <w:p>
      <w:pPr>
        <w:pStyle w:val="Heading1"/>
      </w:pPr>
      <w:r>
        <w:t xml:space="preserve">4. Methods</w:t>
      </w:r>
    </w:p>
    <w:bookmarkStart w:id="61" w:name="X6dbe1161035202742089c379c0fbe1c7f9b75de"/>
    <w:p>
      <w:pPr>
        <w:pStyle w:val="Heading2"/>
      </w:pPr>
      <w:r>
        <w:t xml:space="preserve">4.1 Trait database filtering and analytical sample derivation</w:t>
      </w:r>
    </w:p>
    <w:p>
      <w:pPr>
        <w:pStyle w:val="FirstParagraph"/>
      </w:pPr>
      <w:r>
        <w:t xml:space="preserve">We extracted avian morphological measurements from the ATLANTIC BIRD TRAITS database</w:t>
      </w:r>
      <w:r>
        <w:t xml:space="preserve"> </w:t>
      </w:r>
      <w:r>
        <w:t xml:space="preserve">(Rodrigues et al. 2019)</w:t>
      </w:r>
      <w:r>
        <w:t xml:space="preserve">, a comprehensive data compilation comprising 72,483 morphometric entries across the Brazilian Atlantic Forest domain, of which passerines represent 83% (60,066 records). To ensure that temporal analyses reflect genuine living phenotypic variation rather than methodological or preservation artifacts, we implemented a rigorous multi-stage filtering protocol (</w:t>
      </w:r>
      <w:r>
        <w:rPr>
          <w:rStyle w:val="VerbatimChar"/>
        </w:rPr>
        <w:t xml:space="preserve">Analysis/scripts/update_descriptive_stats.R</w:t>
      </w:r>
      <w:r>
        <w:t xml:space="preserve">).</w:t>
      </w:r>
    </w:p>
    <w:p>
      <w:pPr>
        <w:pStyle w:val="BodyText"/>
      </w:pPr>
      <w:r>
        <w:t xml:space="preserve">First, we restricted the dataset strictly to live field captures, excluding museum study skins. Museum preparation induces marked, non-linear post-mortem shrinkage in feathers, bill keratin, and skeletal dimensions (typically 1–3% reduction in linear dimensions upon drying;</w:t>
      </w:r>
      <w:r>
        <w:t xml:space="preserve"> </w:t>
      </w:r>
      <w:r>
        <w:t xml:space="preserve">Weeks et al. (2020)</w:t>
      </w:r>
      <w:r>
        <w:t xml:space="preserve">). Because museum specimens in regional collections are heavily concentrated in earlier decades of the 20th century, retaining study skins introduces artificial positive temporal trends. Second, we restricted records to adult individuals (</w:t>
      </w:r>
      <w:r>
        <w:rPr>
          <w:rStyle w:val="VerbatimChar"/>
        </w:rPr>
        <w:t xml:space="preserve">Age == "Adult"</w:t>
      </w:r>
      <w:r>
        <w:t xml:space="preserve">), excluding juveniles and fledglings whose flight feathers and bills are incompletely developed. Third, we filtered records spatially to sampling localities falling within a 20-km buffer of the Brazilian Atlantic Forest biome boundary (IBGE/MMA official shapefile), eliminating captures situated in adjacent Cerrado or Caatinga enclaves. Fourth, we bounded the temporal window to 1995–2018 (24 calendar years), representing the era of active multi-project mist-netting in the biome with consistent capture documentation.</w:t>
      </w:r>
    </w:p>
    <w:p>
      <w:pPr>
        <w:pStyle w:val="BodyText"/>
      </w:pPr>
      <w:r>
        <w:t xml:space="preserve">Finally, to guarantee robust parameter estimation for species-level random intercepts and random slopes, we restricted the primary analytical sample to species with</w:t>
      </w:r>
      <w:r>
        <w:t xml:space="preserve"> </w:t>
      </w:r>
      <m:oMath>
        <m:r>
          <m:rPr>
            <m:sty m:val="p"/>
          </m:rPr>
          <m:t>≥</m:t>
        </m:r>
        <m:r>
          <m:t>30</m:t>
        </m:r>
      </m:oMath>
      <w:r>
        <w:t xml:space="preserve"> </w:t>
      </w:r>
      <w:r>
        <w:t xml:space="preserve">live-capture records and a temporal sampling span of</w:t>
      </w:r>
      <w:r>
        <w:t xml:space="preserve"> </w:t>
      </w:r>
      <m:oMath>
        <m:r>
          <m:rPr>
            <m:sty m:val="p"/>
          </m:rPr>
          <m:t>≥</m:t>
        </m:r>
        <m:r>
          <m:t>5</m:t>
        </m:r>
      </m:oMath>
      <w:r>
        <w:t xml:space="preserve"> </w:t>
      </w:r>
      <w:r>
        <w:t xml:space="preserve">years. This yielded an authoritative analytical dataset of 73 passerine species and 12,571 live-capture records (8,478 wing-length records across 72 species; one species,</w:t>
      </w:r>
      <w:r>
        <w:t xml:space="preserve"> </w:t>
      </w:r>
      <w:r>
        <w:rPr>
          <w:i/>
          <w:iCs/>
        </w:rPr>
        <w:t xml:space="preserve">Herpsilochmus pectoralis</w:t>
      </w:r>
      <w:r>
        <w:t xml:space="preserve">, was sampled exclusively for bill and tarsus traits and lacked wing and mass records in the compilation). Wing length was coalesced across database columns, prioritizing right wing length when specified, followed by left wing length and unspecified wing length (</w:t>
      </w:r>
      <w:r>
        <w:rPr>
          <w:rStyle w:val="VerbatimChar"/>
        </w:rPr>
        <w:t xml:space="preserve">conc.wing.length</w:t>
      </w:r>
      <w:r>
        <w:t xml:space="preserve">). A parallel dataset including unsexed adult individuals (</w:t>
      </w:r>
      <m:oMath>
        <m:r>
          <m:t>n</m:t>
        </m:r>
        <m:r>
          <m:rPr>
            <m:sty m:val="p"/>
          </m:rPr>
          <m:t>=</m:t>
        </m:r>
        <m:r>
          <m:t>3</m:t>
        </m:r>
        <m:r>
          <m:rPr>
            <m:sty m:val="p"/>
          </m:rPr>
          <m:t>,</m:t>
        </m:r>
        <m:r>
          <m:t>532</m:t>
        </m:r>
      </m:oMath>
      <w:r>
        <w:t xml:space="preserve">) was compiled to evaluate whether patterns replicated in birds lacking sex determination.</w:t>
      </w:r>
    </w:p>
    <w:bookmarkEnd w:id="61"/>
    <w:bookmarkStart w:id="65" w:name="X2413f136305994ac0578ef7267db9fce1a67d7d"/>
    <w:p>
      <w:pPr>
        <w:pStyle w:val="Heading2"/>
      </w:pPr>
      <w:r>
        <w:t xml:space="preserve">4.2 Accounting for observer turnover and spatial provenance</w:t>
      </w:r>
    </w:p>
    <w:p>
      <w:pPr>
        <w:pStyle w:val="FirstParagraph"/>
      </w:pPr>
      <w:r>
        <w:t xml:space="preserve">In large-scale macroecological compilations aggregating data across independent research programs, two structural factors can severely confound temporal trends if left unmodeled: observer turnover and spatial turnover.</w:t>
      </w:r>
    </w:p>
    <w:bookmarkStart w:id="62" w:name="X0182f22886a6e37bc6cfdd93d22c7a6097f325e"/>
    <w:p>
      <w:pPr>
        <w:pStyle w:val="Heading3"/>
      </w:pPr>
      <w:r>
        <w:t xml:space="preserve">4.2.1 Observer turnover and researcher random effects (</w:t>
      </w:r>
      <w:r>
        <w:rPr>
          <w:rStyle w:val="VerbatimChar"/>
        </w:rPr>
        <w:t xml:space="preserve">Main_researcher</w:t>
      </w:r>
      <w:r>
        <w:t xml:space="preserve">)</w:t>
      </w:r>
    </w:p>
    <w:p>
      <w:pPr>
        <w:pStyle w:val="FirstParagraph"/>
      </w:pPr>
      <w:r>
        <w:t xml:space="preserve">In avian morphometrics, inter-observer measurement error is well-documented to reach 1–3 mm for wing length and 0.5–1 mm for bill dimensions</w:t>
      </w:r>
      <w:r>
        <w:t xml:space="preserve"> </w:t>
      </w:r>
      <w:r>
        <w:t xml:space="preserve">(Weeks et al. 2020)</w:t>
      </w:r>
      <w:r>
        <w:t xml:space="preserve">. If different field researchers apply slightly different caliper tension or wing-flattening techniques, and if the identity of active researchers changes over time, apparent temporal trends in morphology can arise entirely through observer turnover.</w:t>
      </w:r>
    </w:p>
    <w:p>
      <w:pPr>
        <w:pStyle w:val="BodyText"/>
      </w:pPr>
      <w:r>
        <w:t xml:space="preserve">In the ATLANTIC BIRD TRAITS compilation, the field measurer column (</w:t>
      </w:r>
      <w:r>
        <w:rPr>
          <w:rStyle w:val="VerbatimChar"/>
        </w:rPr>
        <w:t xml:space="preserve">Measurer</w:t>
      </w:r>
      <w:r>
        <w:t xml:space="preserve">) is 100% missing (NA) and literature reference (</w:t>
      </w:r>
      <w:r>
        <w:rPr>
          <w:rStyle w:val="VerbatimChar"/>
        </w:rPr>
        <w:t xml:space="preserve">Reference</w:t>
      </w:r>
      <w:r>
        <w:t xml:space="preserve">) is 99% missing. However, the identity of the principal investigator and research group coordinator (</w:t>
      </w:r>
      <w:r>
        <w:rPr>
          <w:rStyle w:val="VerbatimChar"/>
        </w:rPr>
        <w:t xml:space="preserve">Main_researcher</w:t>
      </w:r>
      <w:r>
        <w:t xml:space="preserve">) is 100% complete across all analytical records, comprising 42 distinct contributors in our wing dataset. A provenance audit revealed pronounced observer turnover across the 24-year record: only 6 of the 42 contributors sampled birds in both the early (1995–2006) and late (2013–2018) periods, while the late period experienced an influx of 33 active contributors compared to 12 early (Supplementary Fig. S1). To account for baseline measurement idiosyncrasies among research groups, we incorporated a random intercept for researcher identity (</w:t>
      </w:r>
      <w:r>
        <w:rPr>
          <w:rStyle w:val="VerbatimChar"/>
        </w:rPr>
        <w:t xml:space="preserve">(1 | Main_researcher)</w:t>
      </w:r>
      <w:r>
        <w:t xml:space="preserve">).</w:t>
      </w:r>
    </w:p>
    <w:bookmarkEnd w:id="62"/>
    <w:bookmarkStart w:id="63" w:name="Xfad59f5c48d6cb7277320f018ba251711124662"/>
    <w:p>
      <w:pPr>
        <w:pStyle w:val="Heading3"/>
      </w:pPr>
      <w:r>
        <w:t xml:space="preserve">4.2.2 Spatial provenance and continuous environmental controls</w:t>
      </w:r>
    </w:p>
    <w:p>
      <w:pPr>
        <w:pStyle w:val="FirstParagraph"/>
      </w:pPr>
      <w:r>
        <w:t xml:space="preserve">Over the 24-year timeframe, geographical sampling shifted substantially: early captures (1995–2006) were heavily concentrated in the southern Atlantic Forest (mean latitude</w:t>
      </w:r>
      <w:r>
        <w:t xml:space="preserve"> </w:t>
      </w:r>
      <m:oMath>
        <m:r>
          <m:rPr>
            <m:sty m:val="p"/>
          </m:rPr>
          <m:t>−</m:t>
        </m:r>
        <m:sSup>
          <m:e>
            <m:r>
              <m:t>24.8</m:t>
            </m:r>
          </m:e>
          <m:sup>
            <m:r>
              <m:rPr>
                <m:sty m:val="p"/>
              </m:rPr>
              <m:t>∘</m:t>
            </m:r>
          </m:sup>
        </m:sSup>
      </m:oMath>
      <w:r>
        <w:t xml:space="preserve">), whereas later captures (2013–2018) expanded northwards (mean latitude</w:t>
      </w:r>
      <w:r>
        <w:t xml:space="preserve"> </w:t>
      </w:r>
      <m:oMath>
        <m:r>
          <m:rPr>
            <m:sty m:val="p"/>
          </m:rPr>
          <m:t>−</m:t>
        </m:r>
        <m:sSup>
          <m:e>
            <m:r>
              <m:t>21.9</m:t>
            </m:r>
          </m:e>
          <m:sup>
            <m:r>
              <m:rPr>
                <m:sty m:val="p"/>
              </m:rPr>
              <m:t>∘</m:t>
            </m:r>
          </m:sup>
        </m:sSup>
      </m:oMath>
      <w:r>
        <w:t xml:space="preserve">) and into higher elevations (median altitude shifting from 175 m to 489 m). Because widespread passerines frequently exhibit ecogeographical clines in body size, geographic turnover across sampling periods can easily mimic temporal phenotypic change.</w:t>
      </w:r>
    </w:p>
    <w:p>
      <w:pPr>
        <w:pStyle w:val="BodyText"/>
      </w:pPr>
      <w:r>
        <w:t xml:space="preserve">To account for continuous spatial and elevational variation without discarding records or introducing artificial clustering, models incorporated standardized latitude (</w:t>
      </w:r>
      <w:r>
        <w:rPr>
          <w:rStyle w:val="VerbatimChar"/>
        </w:rPr>
        <w:t xml:space="preserve">scaled_lat</w:t>
      </w:r>
      <w:r>
        <w:t xml:space="preserve">), standardized longitude (</w:t>
      </w:r>
      <w:r>
        <w:rPr>
          <w:rStyle w:val="VerbatimChar"/>
        </w:rPr>
        <w:t xml:space="preserve">scaled_long</w:t>
      </w:r>
      <w:r>
        <w:t xml:space="preserve">), and standardized elevation (</w:t>
      </w:r>
      <w:r>
        <w:rPr>
          <w:rStyle w:val="VerbatimChar"/>
        </w:rPr>
        <w:t xml:space="preserve">scaled_elev</w:t>
      </w:r>
      <w:r>
        <w:t xml:space="preserve">) as continuous covariates.</w:t>
      </w:r>
    </w:p>
    <w:bookmarkEnd w:id="63"/>
    <w:bookmarkStart w:id="64" w:name="X7ded9429c4cba6fd745661808c9b73d14ee2c47"/>
    <w:p>
      <w:pPr>
        <w:pStyle w:val="Heading3"/>
      </w:pPr>
      <w:r>
        <w:t xml:space="preserve">4.2.3 Sampling hierarchy, collinearity, and exclusion of administrative municipality</w:t>
      </w:r>
    </w:p>
    <w:p>
      <w:pPr>
        <w:pStyle w:val="FirstParagraph"/>
      </w:pPr>
      <w:r>
        <w:t xml:space="preserve">A critical structural consideration in multi-source macroecological databases is the hierarchical relationship between research teams and geographic sampling units. Across the 24-year ATLANTIC BIRD TRAITS compilation, individual field projects were typically conducted by distinct research groups operating within specific municipal territories. Consequently, spatial and observer grouping factors exhibit substantial collinearity: in our shared analytical sample (</w:t>
      </w:r>
      <m:oMath>
        <m:r>
          <m:t>n</m:t>
        </m:r>
        <m:r>
          <m:rPr>
            <m:sty m:val="p"/>
          </m:rPr>
          <m:t>=</m:t>
        </m:r>
        <m:r>
          <m:t>7</m:t>
        </m:r>
        <m:r>
          <m:rPr>
            <m:sty m:val="p"/>
          </m:rPr>
          <m:t>,</m:t>
        </m:r>
        <m:r>
          <m:t>577</m:t>
        </m:r>
      </m:oMath>
      <w:r>
        <w:t xml:space="preserve">), 110 of 128 municipalities (85.9%) were sampled by only a single researcher (and across the full body mass dataset, 129 of 150 municipalities, 86.0%, were sampled by a single researcher). Administrative municipalities are therefore largely nested within primary researchers rather than orthogonally crossed.</w:t>
      </w:r>
    </w:p>
    <w:p>
      <w:pPr>
        <w:pStyle w:val="BodyText"/>
      </w:pPr>
      <w:r>
        <w:t xml:space="preserve">Because morphometric measurement error (caliper tension, wing flattening, scale calibration) is a proximate property of the research team rather than administrative municipal boundaries, and because geographic and altitudinal clines are directly controlled via continuous coordinates and elevation, incorporating a redundant</w:t>
      </w:r>
      <w:r>
        <w:t xml:space="preserve"> </w:t>
      </w:r>
      <w:r>
        <w:rPr>
          <w:rStyle w:val="VerbatimChar"/>
        </w:rPr>
        <w:t xml:space="preserve">(1 | Municipality)</w:t>
      </w:r>
      <w:r>
        <w:t xml:space="preserve"> </w:t>
      </w:r>
      <w:r>
        <w:t xml:space="preserve">random intercept induces variance competition, collinearity, and parameter inflation without improving model fit. We therefore adopted the parsimonious observer model (</w:t>
      </w:r>
      <w:r>
        <w:rPr>
          <w:rStyle w:val="VerbatimChar"/>
        </w:rPr>
        <w:t xml:space="preserve">(1 | Main_researcher)</w:t>
      </w:r>
      <w:r>
        <w:t xml:space="preserve">) across all univariate and bivariate model tiers, avoiding collinear crossed random effects while ensuring robust parameter estimation and biological interpretability.</w:t>
      </w:r>
    </w:p>
    <w:bookmarkEnd w:id="64"/>
    <w:bookmarkEnd w:id="65"/>
    <w:bookmarkStart w:id="66" w:name="X209e310501334e9b3a417e17400150671f7d25f"/>
    <w:p>
      <w:pPr>
        <w:pStyle w:val="Heading2"/>
      </w:pPr>
      <w:r>
        <w:t xml:space="preserve">4.3 Model sequence and within-between decomposition</w:t>
      </w:r>
    </w:p>
    <w:p>
      <w:pPr>
        <w:pStyle w:val="FirstParagraph"/>
      </w:pPr>
      <w:r>
        <w:t xml:space="preserve">To rigorously evaluate how dataset structure influences temporal trends, we fitted a ladder of increasingly controlled mixed-effects models across sequential tiers:</w:t>
      </w:r>
    </w:p>
    <w:p>
      <w:pPr>
        <w:pStyle w:val="Compact"/>
        <w:numPr>
          <w:ilvl w:val="0"/>
          <w:numId w:val="1001"/>
        </w:numPr>
      </w:pPr>
      <w:r>
        <w:rPr>
          <w:b/>
          <w:bCs/>
        </w:rPr>
        <w:t xml:space="preserve">M0 (Baseline)</w:t>
      </w:r>
      <w:r>
        <w:t xml:space="preserve">: Replicating published unadjusted model structures, accounting only for sex, calendar year (</w:t>
      </w:r>
      <w:r>
        <w:rPr>
          <w:rStyle w:val="VerbatimChar"/>
        </w:rPr>
        <w:t xml:space="preserve">scaled_yr</w:t>
      </w:r>
      <w:r>
        <w:t xml:space="preserve">, centered and divided by its standard deviation, SD = 5.02 years), latitude (</w:t>
      </w:r>
      <w:r>
        <w:rPr>
          <w:rStyle w:val="VerbatimChar"/>
        </w:rPr>
        <w:t xml:space="preserve">scaled_lat</w:t>
      </w:r>
      <w:r>
        <w:t xml:space="preserve">), species-specific random slopes and intercepts</w:t>
      </w:r>
      <w:r>
        <w:t xml:space="preserve"> </w:t>
      </w:r>
      <w:r>
        <w:rPr>
          <w:rStyle w:val="VerbatimChar"/>
        </w:rPr>
        <w:t xml:space="preserve">(1 + scaled_yr || Binomial)</w:t>
      </w:r>
      <w:r>
        <w:t xml:space="preserve">, and phylogenetic covariance</w:t>
      </w:r>
      <w:r>
        <w:t xml:space="preserve"> </w:t>
      </w:r>
      <w:r>
        <w:rPr>
          <w:rStyle w:val="VerbatimChar"/>
        </w:rPr>
        <w:t xml:space="preserve">propto(0 + species_name | g, A)</w:t>
      </w:r>
      <w:r>
        <w:t xml:space="preserve">.</w:t>
      </w:r>
    </w:p>
    <w:p>
      <w:pPr>
        <w:pStyle w:val="Compact"/>
        <w:numPr>
          <w:ilvl w:val="0"/>
          <w:numId w:val="1001"/>
        </w:numPr>
      </w:pPr>
      <w:r>
        <w:rPr>
          <w:b/>
          <w:bCs/>
        </w:rPr>
        <w:t xml:space="preserve">M1</w:t>
      </w:r>
      <w:r>
        <w:t xml:space="preserve">: Adding a random intercept for researcher identity</w:t>
      </w:r>
      <w:r>
        <w:t xml:space="preserve"> </w:t>
      </w:r>
      <w:r>
        <w:rPr>
          <w:rStyle w:val="VerbatimChar"/>
        </w:rPr>
        <w:t xml:space="preserve">(1 | Main_researcher)</w:t>
      </w:r>
      <w:r>
        <w:t xml:space="preserve"> </w:t>
      </w:r>
      <w:r>
        <w:t xml:space="preserve">to absorb inter-observer measurement error.</w:t>
      </w:r>
    </w:p>
    <w:p>
      <w:pPr>
        <w:pStyle w:val="Compact"/>
        <w:numPr>
          <w:ilvl w:val="0"/>
          <w:numId w:val="1001"/>
        </w:numPr>
      </w:pPr>
      <w:r>
        <w:rPr>
          <w:b/>
          <w:bCs/>
        </w:rPr>
        <w:t xml:space="preserve">M2</w:t>
      </w:r>
      <w:r>
        <w:t xml:space="preserve">: Adding fixed effects for protocol proxy (</w:t>
      </w:r>
      <w:r>
        <w:rPr>
          <w:rStyle w:val="VerbatimChar"/>
        </w:rPr>
        <w:t xml:space="preserve">wing_col</w:t>
      </w:r>
      <w:r>
        <w:t xml:space="preserve">: right wing, left wing, or side unspecified), standardized longitude (</w:t>
      </w:r>
      <w:r>
        <w:rPr>
          <w:rStyle w:val="VerbatimChar"/>
        </w:rPr>
        <w:t xml:space="preserve">scaled_long</w:t>
      </w:r>
      <w:r>
        <w:t xml:space="preserve">), and standardized elevation (</w:t>
      </w:r>
      <w:r>
        <w:rPr>
          <w:rStyle w:val="VerbatimChar"/>
        </w:rPr>
        <w:t xml:space="preserve">scaled_elev</w:t>
      </w:r>
      <w:r>
        <w:t xml:space="preserve">).</w:t>
      </w:r>
    </w:p>
    <w:p>
      <w:pPr>
        <w:pStyle w:val="Compact"/>
        <w:numPr>
          <w:ilvl w:val="0"/>
          <w:numId w:val="1001"/>
        </w:numPr>
      </w:pPr>
      <w:r>
        <w:rPr>
          <w:b/>
          <w:bCs/>
        </w:rPr>
        <w:t xml:space="preserve">M3 (Fully controlled model)</w:t>
      </w:r>
      <w:r>
        <w:t xml:space="preserve">: Adding fixed effects for seasonal quarter (DJF: Dec–Feb; MAM: Mar–May; JJA: Jun–Aug; SON: Sep–Nov) to account for feather wear across the annual cycle, active primary moult status (</w:t>
      </w:r>
      <w:r>
        <w:rPr>
          <w:rStyle w:val="VerbatimChar"/>
        </w:rPr>
        <w:t xml:space="preserve">Molt</w:t>
      </w:r>
      <w:r>
        <w:t xml:space="preserve">), and individual bird band identity</w:t>
      </w:r>
      <w:r>
        <w:t xml:space="preserve"> </w:t>
      </w:r>
      <w:r>
        <w:rPr>
          <w:rStyle w:val="VerbatimChar"/>
        </w:rPr>
        <w:t xml:space="preserve">(1 | ID_individual)</w:t>
      </w:r>
      <w:r>
        <w:t xml:space="preserve"> </w:t>
      </w:r>
      <w:r>
        <w:t xml:space="preserve">(Ring</w:t>
      </w:r>
      <w:r>
        <w:t xml:space="preserve"> </w:t>
      </w:r>
      <m:oMath>
        <m:r>
          <m:rPr>
            <m:sty m:val="p"/>
          </m:rPr>
          <m:t>×</m:t>
        </m:r>
      </m:oMath>
      <w:r>
        <w:t xml:space="preserve"> </w:t>
      </w:r>
      <w:r>
        <w:t xml:space="preserve">Species) to account for repeated captures of banded individuals.</w:t>
      </w:r>
    </w:p>
    <w:p>
      <w:pPr>
        <w:pStyle w:val="Compact"/>
        <w:numPr>
          <w:ilvl w:val="0"/>
          <w:numId w:val="1001"/>
        </w:numPr>
      </w:pPr>
      <w:r>
        <w:rPr>
          <w:b/>
          <w:bCs/>
        </w:rPr>
        <w:t xml:space="preserve">Within-between decomposition (Mundlak REWB)</w:t>
      </w:r>
      <w:r>
        <w:t xml:space="preserve">: To definitively separate true temporal change occurring within consistent field researchers from compositional turnover across researchers, calendar year was partitioned into researcher mean capture year (</w:t>
      </w:r>
      <m:oMath>
        <m:sSub>
          <m:e>
            <m:acc>
              <m:accPr>
                <m:chr m:val="‾"/>
              </m:accPr>
              <m:e>
                <m:r>
                  <m:t>Y</m:t>
                </m:r>
              </m:e>
            </m:acc>
          </m:e>
          <m:sub>
            <m:r>
              <m:t>j</m:t>
            </m:r>
          </m:sub>
        </m:sSub>
        <m:r>
          <m:rPr>
            <m:sty m:val="p"/>
          </m:rPr>
          <m:t>=</m:t>
        </m:r>
        <m:r>
          <m:rPr>
            <m:nor/>
            <m:sty m:val="p"/>
          </m:rPr>
          <m:t>yr_src_mean</m:t>
        </m:r>
      </m:oMath>
      <w:r>
        <w:t xml:space="preserve">) and individual capture deviations from that researcher mean (</w:t>
      </w:r>
      <m:oMath>
        <m:sSub>
          <m:e>
            <m:r>
              <m:t>Y</m:t>
            </m:r>
          </m:e>
          <m:sub>
            <m:r>
              <m:t>i</m:t>
            </m:r>
            <m:r>
              <m:t>j</m:t>
            </m:r>
          </m:sub>
        </m:sSub>
        <m:r>
          <m:rPr>
            <m:sty m:val="p"/>
          </m:rPr>
          <m:t>−</m:t>
        </m:r>
        <m:sSub>
          <m:e>
            <m:acc>
              <m:accPr>
                <m:chr m:val="‾"/>
              </m:accPr>
              <m:e>
                <m:r>
                  <m:t>Y</m:t>
                </m:r>
              </m:e>
            </m:acc>
          </m:e>
          <m:sub>
            <m:r>
              <m:t>j</m:t>
            </m:r>
          </m:sub>
        </m:sSub>
        <m:r>
          <m:rPr>
            <m:sty m:val="p"/>
          </m:rPr>
          <m:t>=</m:t>
        </m:r>
        <m:r>
          <m:rPr>
            <m:nor/>
            <m:sty m:val="p"/>
          </m:rPr>
          <m:t>yr_within_src</m:t>
        </m:r>
      </m:oMath>
      <w:r>
        <w:t xml:space="preserve">)</w:t>
      </w:r>
      <w:r>
        <w:t xml:space="preserve"> </w:t>
      </w:r>
      <w:r>
        <w:t xml:space="preserve">(Mundlak 1978; Bell et al. 2019)</w:t>
      </w:r>
      <w:r>
        <w:t xml:space="preserve">. The within-observer coefficient</w:t>
      </w:r>
      <w:r>
        <w:t xml:space="preserve"> </w:t>
      </w:r>
      <m:oMath>
        <m:sSub>
          <m:e>
            <m:r>
              <m:t>β</m:t>
            </m:r>
          </m:e>
          <m:sub>
            <m:r>
              <m:rPr>
                <m:nor/>
                <m:sty m:val="p"/>
              </m:rPr>
              <m:t>within</m:t>
            </m:r>
          </m:sub>
        </m:sSub>
      </m:oMath>
      <w:r>
        <w:t xml:space="preserve"> </w:t>
      </w:r>
      <w:r>
        <w:t xml:space="preserve">measures whether birds measured by the</w:t>
      </w:r>
      <w:r>
        <w:t xml:space="preserve"> </w:t>
      </w:r>
      <w:r>
        <w:rPr>
          <w:i/>
          <w:iCs/>
        </w:rPr>
        <w:t xml:space="preserve">same</w:t>
      </w:r>
      <w:r>
        <w:t xml:space="preserve"> </w:t>
      </w:r>
      <w:r>
        <w:t xml:space="preserve">researcher shrank over time, free from observer turnover bias.</w:t>
      </w:r>
    </w:p>
    <w:p>
      <w:pPr>
        <w:pStyle w:val="Compact"/>
        <w:numPr>
          <w:ilvl w:val="0"/>
          <w:numId w:val="1001"/>
        </w:numPr>
      </w:pPr>
      <w:r>
        <w:rPr>
          <w:b/>
          <w:bCs/>
        </w:rPr>
        <w:t xml:space="preserve">Robustness and sensitivity tiers</w:t>
      </w:r>
      <w:r>
        <w:t xml:space="preserve">:</w:t>
      </w:r>
    </w:p>
    <w:p>
      <w:pPr>
        <w:pStyle w:val="Compact"/>
        <w:numPr>
          <w:ilvl w:val="1"/>
          <w:numId w:val="1002"/>
        </w:numPr>
      </w:pPr>
      <w:r>
        <w:rPr>
          <w:rStyle w:val="VerbatimChar"/>
        </w:rPr>
        <w:t xml:space="preserve">M3_cc</w:t>
      </w:r>
      <w:r>
        <w:t xml:space="preserve">: The full M3 specification fitted strictly to complete cases (</w:t>
      </w:r>
      <m:oMath>
        <m:r>
          <m:t>n</m:t>
        </m:r>
        <m:r>
          <m:rPr>
            <m:sty m:val="p"/>
          </m:rPr>
          <m:t>=</m:t>
        </m:r>
        <m:r>
          <m:t>8</m:t>
        </m:r>
        <m:r>
          <m:rPr>
            <m:sty m:val="p"/>
          </m:rPr>
          <m:t>,</m:t>
        </m:r>
        <m:r>
          <m:t>282</m:t>
        </m:r>
      </m:oMath>
      <w:r>
        <w:t xml:space="preserve">) lacking missing covariates.</w:t>
      </w:r>
    </w:p>
    <w:p>
      <w:pPr>
        <w:pStyle w:val="Compact"/>
        <w:numPr>
          <w:ilvl w:val="1"/>
          <w:numId w:val="1002"/>
        </w:numPr>
      </w:pPr>
      <w:r>
        <w:rPr>
          <w:rStyle w:val="VerbatimChar"/>
        </w:rPr>
        <w:t xml:space="preserve">M6</w:t>
      </w:r>
      <w:r>
        <w:t xml:space="preserve">: The full M3 specification evaluated in birds of unknown sex (</w:t>
      </w:r>
      <m:oMath>
        <m:r>
          <m:t>n</m:t>
        </m:r>
        <m:r>
          <m:rPr>
            <m:sty m:val="p"/>
          </m:rPr>
          <m:t>=</m:t>
        </m:r>
        <m:r>
          <m:t>3</m:t>
        </m:r>
        <m:r>
          <m:rPr>
            <m:sty m:val="p"/>
          </m:rPr>
          <m:t>,</m:t>
        </m:r>
        <m:r>
          <m:t>532</m:t>
        </m:r>
      </m:oMath>
      <w:r>
        <w:t xml:space="preserve">) to verify that findings generalize beyond sexable individuals.</w:t>
      </w:r>
    </w:p>
    <w:p>
      <w:pPr>
        <w:pStyle w:val="Compact"/>
        <w:numPr>
          <w:ilvl w:val="1"/>
          <w:numId w:val="1002"/>
        </w:numPr>
      </w:pPr>
      <w:r>
        <w:rPr>
          <w:rStyle w:val="VerbatimChar"/>
        </w:rPr>
        <w:t xml:space="preserve">M7</w:t>
      </w:r>
      <w:r>
        <w:t xml:space="preserve">: The full M3 specification restricted strictly to first captures (</w:t>
      </w:r>
      <m:oMath>
        <m:r>
          <m:t>n</m:t>
        </m:r>
        <m:r>
          <m:rPr>
            <m:sty m:val="p"/>
          </m:rPr>
          <m:t>=</m:t>
        </m:r>
        <m:r>
          <m:t>7</m:t>
        </m:r>
        <m:r>
          <m:rPr>
            <m:sty m:val="p"/>
          </m:rPr>
          <m:t>,</m:t>
        </m:r>
        <m:r>
          <m:t>791</m:t>
        </m:r>
      </m:oMath>
      <w:r>
        <w:t xml:space="preserve">) to exclude any potential bias from recapture histories.</w:t>
      </w:r>
    </w:p>
    <w:p>
      <w:pPr>
        <w:pStyle w:val="Compact"/>
        <w:numPr>
          <w:ilvl w:val="1"/>
          <w:numId w:val="1002"/>
        </w:numPr>
      </w:pPr>
      <w:r>
        <w:rPr>
          <w:rStyle w:val="VerbatimChar"/>
        </w:rPr>
        <w:t xml:space="preserve">M3_noanom</w:t>
      </w:r>
      <w:r>
        <w:t xml:space="preserve">: The full M3 model re-fitted after excluding six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t>
      </w:r>
      <m:oMath>
        <m:r>
          <m:t>n</m:t>
        </m:r>
        <m:r>
          <m:rPr>
            <m:sty m:val="p"/>
          </m:rPr>
          <m:t>=</m:t>
        </m:r>
        <m:r>
          <m:t>193</m:t>
        </m:r>
      </m:oMath>
      <w:r>
        <w:t xml:space="preserve">).</w:t>
      </w:r>
    </w:p>
    <w:bookmarkEnd w:id="66"/>
    <w:bookmarkStart w:id="67" w:name="X3e9d42d2474c3f79baa2a707d23efc145f0b122"/>
    <w:p>
      <w:pPr>
        <w:pStyle w:val="Heading2"/>
      </w:pPr>
      <w:r>
        <w:t xml:space="preserve">4.4 Phylogenetic comparative analysis across 50 topologies</w:t>
      </w:r>
    </w:p>
    <w:p>
      <w:pPr>
        <w:pStyle w:val="FirstParagraph"/>
      </w:pPr>
      <w:r>
        <w:t xml:space="preserve">Taxonomic reconciliation between the ATLANTIC BIRD TRAITS database and the complete, dynamic avian phylogeny of</w:t>
      </w:r>
      <w:r>
        <w:t xml:space="preserve"> </w:t>
      </w:r>
      <w:r>
        <w:t xml:space="preserve">McTavish et al. (2025)</w:t>
      </w:r>
      <w:r>
        <w:t xml:space="preserve"> </w:t>
      </w:r>
      <w:r>
        <w:t xml:space="preserve">was executed using the four-stage matching cascade of</w:t>
      </w:r>
      <w:r>
        <w:t xml:space="preserve"> </w:t>
      </w:r>
      <w:r>
        <w:rPr>
          <w:rStyle w:val="VerbatimChar"/>
        </w:rPr>
        <w:t xml:space="preserve">prepR4pcm</w:t>
      </w:r>
      <w:r>
        <w:t xml:space="preserve"> </w:t>
      </w:r>
      <w:r>
        <w:t xml:space="preserve">(Nakagawa et al. 2026)</w:t>
      </w:r>
      <w:r>
        <w:t xml:space="preserve">: exact binomial matching, punctuation/spacing normalization, taxonomic synonym resolution via BirdLife International and IOC checklists, and fuzzy string matching. All 73 passerine species were audited and successfully mapped to phylogenetic tip labels with zero unplaced taxa.</w:t>
      </w:r>
    </w:p>
    <w:p>
      <w:pPr>
        <w:pStyle w:val="BodyText"/>
      </w:pPr>
      <w:r>
        <w:t xml:space="preserve">To accommodate phylogenetic uncertainty, we drew 50 alternative phylogenetic topologies from the posterior distribution of</w:t>
      </w:r>
      <w:r>
        <w:t xml:space="preserve"> </w:t>
      </w:r>
      <w:r>
        <w:t xml:space="preserve">McTavish et al. (2025)</w:t>
      </w:r>
      <w:r>
        <w:t xml:space="preserve">. For each tree, we computed the phylogenetic correlation matrix</w:t>
      </w:r>
      <w:r>
        <w:t xml:space="preserve"> </w:t>
      </w:r>
      <m:oMath>
        <m:r>
          <m:t>A</m:t>
        </m:r>
      </m:oMath>
      <w:r>
        <w:t xml:space="preserve"> </w:t>
      </w:r>
      <w:r>
        <w:t xml:space="preserve">under a Brownian motion model of trait evolution. Fitting full multi-level models across 50 trees with Bayesian MCMC (e.g., in</w:t>
      </w:r>
      <w:r>
        <w:t xml:space="preserve"> </w:t>
      </w:r>
      <w:r>
        <w:rPr>
          <w:rStyle w:val="VerbatimChar"/>
        </w:rPr>
        <w:t xml:space="preserve">brms</w:t>
      </w:r>
      <w:r>
        <w:t xml:space="preserve">) is computationally prohibitive for complex random-effect structures. We therefore implemented the fast, exact</w:t>
      </w:r>
      <w:r>
        <w:t xml:space="preserve"> </w:t>
      </w:r>
      <w:r>
        <w:rPr>
          <w:rStyle w:val="VerbatimChar"/>
        </w:rPr>
        <w:t xml:space="preserve">propto</w:t>
      </w:r>
      <w:r>
        <w:t xml:space="preserve"> </w:t>
      </w:r>
      <w:r>
        <w:t xml:space="preserve">covariance structure in</w:t>
      </w:r>
      <w:r>
        <w:t xml:space="preserv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scaled_long </w:t>
      </w:r>
      <w:r>
        <w:rPr>
          <w:rStyle w:val="SpecialCharTok"/>
        </w:rPr>
        <w:t xml:space="preserve">+</w:t>
      </w:r>
      <w:r>
        <w:rPr>
          <w:rStyle w:val="NormalTok"/>
        </w:rPr>
        <w:t xml:space="preserve"> </w:t>
      </w:r>
      <w:r>
        <w:br/>
      </w:r>
      <w:r>
        <w:rPr>
          <w:rStyle w:val="NormalTok"/>
        </w:rPr>
        <w:t xml:space="preserve">          scaled_elev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br/>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g</w:t>
      </w:r>
      <w:r>
        <w:t xml:space="preserve"> </w:t>
      </w:r>
      <w:r>
        <w:t xml:space="preserve">is a dummy grouping factor assigning all observations to a single covariance structure governed by matrix</w:t>
      </w:r>
      <w:r>
        <w:t xml:space="preserve"> </w:t>
      </w:r>
      <w:r>
        <w:rPr>
          <w:rStyle w:val="VerbatimChar"/>
        </w:rPr>
        <w:t xml:space="preserve">A</w:t>
      </w:r>
      <w:r>
        <w:t xml:space="preserve">. Extensive validation against 50-tree</w:t>
      </w:r>
      <w:r>
        <w:t xml:space="preserve"> </w:t>
      </w:r>
      <w:r>
        <w:rPr>
          <w:rStyle w:val="VerbatimChar"/>
        </w:rPr>
        <w:t xml:space="preserve">brms</w:t>
      </w:r>
      <w:r>
        <w:t xml:space="preserve"> </w:t>
      </w:r>
      <w:r>
        <w:t xml:space="preserve">fits confirmed that</w:t>
      </w:r>
      <w:r>
        <w:t xml:space="preserve"> </w:t>
      </w:r>
      <w:r>
        <w:rPr>
          <w:rStyle w:val="VerbatimChar"/>
        </w:rPr>
        <w:t xml:space="preserve">glmmTMB</w:t>
      </w:r>
      <w:r>
        <w:t xml:space="preserve"> </w:t>
      </w:r>
      <w:r>
        <w:rPr>
          <w:rStyle w:val="VerbatimChar"/>
        </w:rPr>
        <w:t xml:space="preserve">propto</w:t>
      </w:r>
      <w:r>
        <w:t xml:space="preserve"> </w:t>
      </w:r>
      <w:r>
        <w:t xml:space="preserve">reproduces Bayesian posterior means and standard errors to within 0.001 units while reducing computational run times by over 95% (</w:t>
      </w:r>
      <w:r>
        <w:rPr>
          <w:rStyle w:val="VerbatimChar"/>
        </w:rPr>
        <w:t xml:space="preserve">Analysis/scripts/GLMMTMB_ENGINE.md</w:t>
      </w:r>
      <w:r>
        <w:t xml:space="preserve">).</w:t>
      </w:r>
    </w:p>
    <w:p>
      <w:pPr>
        <w:pStyle w:val="BodyText"/>
      </w:pPr>
      <w:r>
        <w:t xml:space="preserve">Parameter estimates</w:t>
      </w:r>
      <w:r>
        <w:t xml:space="preserve"> </w:t>
      </w:r>
      <m:oMath>
        <m:sSub>
          <m:e>
            <m:acc>
              <m:accPr>
                <m:chr m:val="̂"/>
              </m:accPr>
              <m:e>
                <m:r>
                  <m:t>β</m:t>
                </m:r>
              </m:e>
            </m:acc>
          </m:e>
          <m:sub>
            <m:r>
              <m:t>k</m:t>
            </m:r>
          </m:sub>
        </m:sSub>
      </m:oMath>
      <w:r>
        <w:t xml:space="preserve"> </w:t>
      </w:r>
      <w:r>
        <w:t xml:space="preserve">and variance-covariance matrices</w:t>
      </w:r>
      <w:r>
        <w:t xml:space="preserve"> </w:t>
      </w:r>
      <m:oMath>
        <m:sSub>
          <m:e>
            <m:r>
              <m:t>V</m:t>
            </m:r>
          </m:e>
          <m:sub>
            <m:r>
              <m:t>k</m:t>
            </m:r>
          </m:sub>
        </m:sSub>
      </m:oMath>
      <w:r>
        <w:t xml:space="preserve"> </w:t>
      </w:r>
      <w:r>
        <w:t xml:space="preserve">across the 50 converged trees were pooled using Rubin’s rules</w:t>
      </w:r>
      <w:r>
        <w:t xml:space="preserve"> </w:t>
      </w:r>
      <w:r>
        <w:t xml:space="preserve">(Nakagawa and Villemereuil 2019; Nakagawa et al. 2026)</w:t>
      </w:r>
      <w:r>
        <w:t xml:space="preserve">:</w:t>
      </w:r>
    </w:p>
    <w:p>
      <w:pPr>
        <w:pStyle w:val="BodyText"/>
      </w:pPr>
      <m:oMathPara>
        <m:oMathParaPr>
          <m:jc m:val="center"/>
        </m:oMathParaPr>
        <m:oMath>
          <m:acc>
            <m:accPr>
              <m:chr m:val="‾"/>
            </m:accPr>
            <m:e>
              <m:r>
                <m:t>β</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r>
            <m:rPr>
              <m:sty m:val="p"/>
            </m:rPr>
            <m:t>,</m:t>
          </m:r>
          <m:r>
            <m:t> </m:t>
          </m:r>
          <m:sSub>
            <m:e>
              <m:r>
                <m:t>V</m:t>
              </m:r>
            </m:e>
            <m:sub>
              <m:r>
                <m:rPr>
                  <m:nor/>
                  <m:sty m:val="p"/>
                </m:rPr>
                <m:t>total</m:t>
              </m:r>
            </m:sub>
          </m:sSub>
          <m:r>
            <m:rPr>
              <m:sty m:val="p"/>
            </m:rPr>
            <m:t>=</m:t>
          </m:r>
          <m:acc>
            <m:accPr>
              <m:chr m:val="‾"/>
            </m:accPr>
            <m:e>
              <m:r>
                <m:t>V</m:t>
              </m:r>
            </m:e>
          </m:acc>
          <m:r>
            <m:rPr>
              <m:sty m:val="p"/>
            </m:rPr>
            <m:t>+</m:t>
          </m:r>
          <m:d>
            <m:dPr>
              <m:begChr m:val="("/>
              <m:sepChr m:val=""/>
              <m:endChr m:val=")"/>
              <m:grow/>
            </m:dPr>
            <m:e>
              <m:r>
                <m:t>1</m:t>
              </m:r>
              <m:r>
                <m:rPr>
                  <m:sty m:val="p"/>
                </m:rPr>
                <m:t>+</m:t>
              </m:r>
              <m:f>
                <m:fPr>
                  <m:type m:val="bar"/>
                </m:fPr>
                <m:num>
                  <m:r>
                    <m:t>1</m:t>
                  </m:r>
                </m:num>
                <m:den>
                  <m:r>
                    <m:t>K</m:t>
                  </m:r>
                </m:den>
              </m:f>
            </m:e>
          </m:d>
          <m:r>
            <m:t>B</m:t>
          </m:r>
        </m:oMath>
      </m:oMathPara>
    </w:p>
    <w:p>
      <w:pPr>
        <w:pStyle w:val="FirstParagraph"/>
      </w:pPr>
      <w:r>
        <w:t xml:space="preserve">where</w:t>
      </w:r>
      <w:r>
        <w:t xml:space="preserve"> </w:t>
      </w:r>
      <m:oMath>
        <m:acc>
          <m:accPr>
            <m:chr m:val="‾"/>
          </m:accPr>
          <m:e>
            <m:r>
              <m:t>V</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V</m:t>
                </m:r>
              </m:e>
              <m:sub>
                <m:r>
                  <m:t>k</m:t>
                </m:r>
              </m:sub>
            </m:sSub>
          </m:e>
        </m:nary>
      </m:oMath>
      <w:r>
        <w:t xml:space="preserve"> </w:t>
      </w:r>
      <w:r>
        <w:t xml:space="preserve">is the mean within-tree variance and</w:t>
      </w:r>
      <w:r>
        <w:t xml:space="preserve"> </w:t>
      </w:r>
      <m:oMath>
        <m:r>
          <m:t>B</m:t>
        </m:r>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acc>
              <m:accPr>
                <m:chr m:val="̂"/>
              </m:accPr>
              <m:e>
                <m:r>
                  <m:t>β</m:t>
                </m:r>
              </m:e>
            </m:acc>
          </m:e>
          <m:sub>
            <m:r>
              <m:t>k</m:t>
            </m:r>
          </m:sub>
        </m:sSub>
        <m:r>
          <m:rPr>
            <m:sty m:val="p"/>
          </m:rPr>
          <m:t>−</m:t>
        </m:r>
        <m:acc>
          <m:accPr>
            <m:chr m:val="‾"/>
          </m:accPr>
          <m:e>
            <m:r>
              <m:t>β</m:t>
            </m:r>
          </m:e>
        </m:acc>
        <m:r>
          <m:rPr>
            <m:sty m:val="p"/>
          </m:rPr>
          <m:t>)</m:t>
        </m:r>
        <m:r>
          <m:rPr>
            <m:sty m:val="p"/>
          </m:rPr>
          <m:t>(</m:t>
        </m:r>
        <m:sSub>
          <m:e>
            <m:acc>
              <m:accPr>
                <m:chr m:val="̂"/>
              </m:accPr>
              <m:e>
                <m:r>
                  <m:t>β</m:t>
                </m:r>
              </m:e>
            </m:acc>
          </m:e>
          <m:sub>
            <m:r>
              <m:t>k</m:t>
            </m:r>
          </m:sub>
        </m:sSub>
        <m:r>
          <m:rPr>
            <m:sty m:val="p"/>
          </m:rPr>
          <m:t>−</m:t>
        </m:r>
        <m:acc>
          <m:accPr>
            <m:chr m:val="‾"/>
          </m:accPr>
          <m:e>
            <m:r>
              <m:t>β</m:t>
            </m:r>
          </m:e>
        </m:acc>
        <m:sSup>
          <m:e>
            <m:r>
              <m:rPr>
                <m:sty m:val="p"/>
              </m:rPr>
              <m:t>)</m:t>
            </m:r>
          </m:e>
          <m:sup>
            <m:r>
              <m:rPr>
                <m:sty m:val="p"/>
              </m:rPr>
              <m:t>⊤</m:t>
            </m:r>
          </m:sup>
        </m:sSup>
      </m:oMath>
      <w:r>
        <w:t xml:space="preserve"> </w:t>
      </w:r>
      <w:r>
        <w:t xml:space="preserve">is the between-tree variance. Wald-Rubin 95% confidence intervals were computed as</w:t>
      </w:r>
      <w:r>
        <w:t xml:space="preserve"> </w:t>
      </w:r>
      <m:oMath>
        <m:acc>
          <m:accPr>
            <m:chr m:val="‾"/>
          </m:accPr>
          <m:e>
            <m:r>
              <m:t>β</m:t>
            </m:r>
          </m:e>
        </m:acc>
        <m:r>
          <m:rPr>
            <m:sty m:val="p"/>
          </m:rPr>
          <m:t>±</m:t>
        </m:r>
        <m:r>
          <m:t>1.96</m:t>
        </m:r>
        <m:rad>
          <m:radPr>
            <m:degHide m:val="on"/>
          </m:radPr>
          <m:deg/>
          <m:e>
            <m:r>
              <m:rPr>
                <m:sty m:val="p"/>
              </m:rPr>
              <m:t>diag</m:t>
            </m:r>
            <m:r>
              <m:rPr>
                <m:sty m:val="p"/>
              </m:rPr>
              <m:t>(</m:t>
            </m:r>
            <m:sSub>
              <m:e>
                <m:r>
                  <m:t>V</m:t>
                </m:r>
              </m:e>
              <m:sub>
                <m:r>
                  <m:rPr>
                    <m:nor/>
                    <m:sty m:val="p"/>
                  </m:rPr>
                  <m:t>total</m:t>
                </m:r>
              </m:sub>
            </m:sSub>
            <m:r>
              <m:rPr>
                <m:sty m:val="p"/>
              </m:rPr>
              <m:t>)</m:t>
            </m:r>
          </m:e>
        </m:rad>
      </m:oMath>
      <w:r>
        <w:t xml:space="preserve">.</w:t>
      </w:r>
    </w:p>
    <w:bookmarkEnd w:id="67"/>
    <w:bookmarkStart w:id="68" w:name="X656a538e2e6ba7277e818ecf4966f95a904c340"/>
    <w:p>
      <w:pPr>
        <w:pStyle w:val="Heading2"/>
      </w:pPr>
      <w:r>
        <w:t xml:space="preserve">4.5 Body mass and bill width modeling and testing Allen’s rule</w:t>
      </w:r>
    </w:p>
    <w:p>
      <w:pPr>
        <w:pStyle w:val="FirstParagraph"/>
      </w:pPr>
      <w:r>
        <w:t xml:space="preserve">To evaluate whether temporal shifts occurred in body mass and extremity dimensions, we applied the sequential control ladder to log-transformed body mass (</w:t>
      </w:r>
      <m:oMath>
        <m:r>
          <m:t>n</m:t>
        </m:r>
        <m:r>
          <m:rPr>
            <m:sty m:val="p"/>
          </m:rPr>
          <m:t>=</m:t>
        </m:r>
        <m:r>
          <m:t>11</m:t>
        </m:r>
        <m:r>
          <m:rPr>
            <m:sty m:val="p"/>
          </m:rPr>
          <m:t>,</m:t>
        </m:r>
        <m:r>
          <m:t>077</m:t>
        </m:r>
      </m:oMath>
      <w:r>
        <w:t xml:space="preserve">) and bill width (</w:t>
      </w:r>
      <m:oMath>
        <m:r>
          <m:t>n</m:t>
        </m:r>
        <m:r>
          <m:rPr>
            <m:sty m:val="p"/>
          </m:rPr>
          <m:t>=</m:t>
        </m:r>
        <m:r>
          <m:t>3</m:t>
        </m:r>
        <m:r>
          <m:rPr>
            <m:sty m:val="p"/>
          </m:rPr>
          <m:t>,</m:t>
        </m:r>
        <m:r>
          <m:t>205</m:t>
        </m:r>
      </m:oMath>
      <w:r>
        <w:t xml:space="preserve">). Models incorporated sex, latitude, longitude, elevation, species-specific random slopes and intercepts across 50 phylogenetic trees, researcher identity, season, active moult, and individual bird identity.</w:t>
      </w:r>
    </w:p>
    <w:p>
      <w:pPr>
        <w:pStyle w:val="BodyText"/>
      </w:pPr>
      <w:r>
        <w:t xml:space="preserve">To evaluate diurnal feeding rhythms in body mass, we extracted recorded capture time (</w:t>
      </w:r>
      <w:r>
        <w:rPr>
          <w:rStyle w:val="VerbatimChar"/>
        </w:rPr>
        <w:t xml:space="preserve">Hour</w:t>
      </w:r>
      <w:r>
        <w:t xml:space="preserve">) for the 8,345 mass records with available time stamps. We modeled diurnal mass gain by including continuous capture hour (</w:t>
      </w:r>
      <w:r>
        <w:rPr>
          <w:rStyle w:val="VerbatimChar"/>
        </w:rPr>
        <w:t xml:space="preserve">hour_num</w:t>
      </w:r>
      <w:r>
        <w:t xml:space="preserve">, 06:00 to 18:00) alongside calendar year.</w:t>
      </w:r>
    </w:p>
    <w:p>
      <w:pPr>
        <w:pStyle w:val="BodyText"/>
      </w:pPr>
      <w:r>
        <w:t xml:space="preserve">To evaluate Allen’s rule</w:t>
      </w:r>
      <w:r>
        <w:t xml:space="preserve"> </w:t>
      </w:r>
      <w:r>
        <w:t xml:space="preserve">(Allen 1877; Ryding et al. 2021)</w:t>
      </w:r>
      <w:r>
        <w:t xml:space="preserve">, which predicts that extremities enlarge in warmer conditions to facilitate non-evaporative heat dissipation, we tested whether bill width exhibited a positive temporal slope under researcher and spatial controls.</w:t>
      </w:r>
    </w:p>
    <w:bookmarkEnd w:id="68"/>
    <w:bookmarkStart w:id="69" w:name="Xb837ca3b86c4da0276ff8aa30a6e8dff5c66f99"/>
    <w:p>
      <w:pPr>
        <w:pStyle w:val="Heading2"/>
      </w:pPr>
      <w:r>
        <w:t xml:space="preserve">4.6 Bivariate modeling and delta-method test of geometric isometry</w:t>
      </w:r>
    </w:p>
    <w:p>
      <w:pPr>
        <w:pStyle w:val="FirstParagraph"/>
      </w:pPr>
      <w:r>
        <w:t xml:space="preserve">To evaluate whether body shape changed over time, we analyzed the subset of records with simultaneous measurements of both wing length and body mass on the exact same individual birds (</w:t>
      </w:r>
      <m:oMath>
        <m:r>
          <m:t>n</m:t>
        </m:r>
        <m:r>
          <m:rPr>
            <m:sty m:val="p"/>
          </m:rPr>
          <m:t>=</m:t>
        </m:r>
        <m:r>
          <m:t>7</m:t>
        </m:r>
        <m:r>
          <m:rPr>
            <m:sty m:val="p"/>
          </m:rPr>
          <m:t>,</m:t>
        </m:r>
        <m:r>
          <m:t>577</m:t>
        </m:r>
      </m:oMath>
      <w:r>
        <w:t xml:space="preserve"> </w:t>
      </w:r>
      <w:r>
        <w:t xml:space="preserve">shared records across 72 species). We fitted models estimating trait-specific decadal rates of change expressed as percentage change per decade (%/decade):</w:t>
      </w:r>
      <w:r>
        <w:t xml:space="preserve"> </w:t>
      </w:r>
      <m:oMath>
        <m:sSub>
          <m:e>
            <m:r>
              <m:t>β</m:t>
            </m:r>
          </m:e>
          <m:sub>
            <m:r>
              <m:rPr>
                <m:nor/>
                <m:sty m:val="p"/>
              </m:rPr>
              <m:t>wing,%</m:t>
            </m:r>
          </m:sub>
        </m:sSub>
      </m:oMath>
      <w:r>
        <w:t xml:space="preserve"> </w:t>
      </w:r>
      <w:r>
        <w:t xml:space="preserve">and</w:t>
      </w:r>
      <w:r>
        <w:t xml:space="preserve"> </w:t>
      </w:r>
      <m:oMath>
        <m:sSub>
          <m:e>
            <m:r>
              <m:t>β</m:t>
            </m:r>
          </m:e>
          <m:sub>
            <m:r>
              <m:rPr>
                <m:nor/>
                <m:sty m:val="p"/>
              </m:rPr>
              <m:t>mass,%</m:t>
            </m:r>
          </m:sub>
        </m:sSub>
      </m:oMath>
      <w:r>
        <w:t xml:space="preserve">.</w:t>
      </w:r>
    </w:p>
    <w:p>
      <w:pPr>
        <w:pStyle w:val="BodyText"/>
      </w:pPr>
      <w:r>
        <w:t xml:space="preserve">To avoid the variance inflation induced by crossing two grouping factors that are 85.9% collinear (110 of 128 municipalities sampled by a single researcher), all models incorporated the parsimonious observer random intercept</w:t>
      </w:r>
      <w:r>
        <w:t xml:space="preserve"> </w:t>
      </w:r>
      <w:r>
        <w:rPr>
          <w:rStyle w:val="VerbatimChar"/>
        </w:rPr>
        <w:t xml:space="preserve">(1 | Main_researcher)</w:t>
      </w:r>
      <w:r>
        <w:t xml:space="preserve">, alongside sex, latitude, and species-specific random slopes and intercepts across 50 phylogenetic trees.</w:t>
      </w:r>
    </w:p>
    <w:p>
      <w:pPr>
        <w:pStyle w:val="BodyText"/>
      </w:pPr>
      <w:r>
        <w:t xml:space="preserve">Under geometric isometry, body mass scales with the cube of linear dimensions (</w:t>
      </w:r>
      <m:oMath>
        <m:r>
          <m:t>M</m:t>
        </m:r>
        <m:r>
          <m:rPr>
            <m:sty m:val="p"/>
          </m:rPr>
          <m:t>∝</m:t>
        </m:r>
        <m:sSup>
          <m:e>
            <m:r>
              <m:t>L</m:t>
            </m:r>
          </m:e>
          <m:sup>
            <m:r>
              <m:t>3</m:t>
            </m:r>
          </m:sup>
        </m:sSup>
      </m:oMath>
      <w:r>
        <w:t xml:space="preserve">). If proportional scaling is preserved, an observed percentage change in wing length</w:t>
      </w:r>
      <w:r>
        <w:t xml:space="preserve"> </w:t>
      </w:r>
      <m:oMath>
        <m:sSub>
          <m:e>
            <m:r>
              <m:t>β</m:t>
            </m:r>
          </m:e>
          <m:sub>
            <m:r>
              <m:rPr>
                <m:nor/>
                <m:sty m:val="p"/>
              </m:rPr>
              <m:t>wing,%</m:t>
            </m:r>
          </m:sub>
        </m:sSub>
      </m:oMath>
      <w:r>
        <w:t xml:space="preserve"> </w:t>
      </w:r>
      <w:r>
        <w:t xml:space="preserve">implies an expected percentage change in body mass of:</w:t>
      </w:r>
    </w:p>
    <w:p>
      <w:pPr>
        <w:pStyle w:val="BodyText"/>
      </w:pPr>
      <m:oMathPara>
        <m:oMathParaPr>
          <m:jc m:val="center"/>
        </m:oMathParaPr>
        <m:oMath>
          <m:sSub>
            <m:e>
              <m:r>
                <m:t>β</m:t>
              </m:r>
            </m:e>
            <m:sub>
              <m:r>
                <m:rPr>
                  <m:nor/>
                  <m:sty m:val="p"/>
                </m:rPr>
                <m:t>mass, expected</m:t>
              </m:r>
            </m:sub>
          </m:sSub>
          <m:r>
            <m:rPr>
              <m:sty m:val="p"/>
            </m:rPr>
            <m:t>=</m:t>
          </m:r>
          <m:sSup>
            <m:e>
              <m:d>
                <m:dPr>
                  <m:begChr m:val="("/>
                  <m:sepChr m:val=""/>
                  <m:endChr m:val=")"/>
                  <m:grow/>
                </m:dPr>
                <m:e>
                  <m:r>
                    <m:t>1</m:t>
                  </m:r>
                  <m:r>
                    <m:rPr>
                      <m:sty m:val="p"/>
                    </m:rPr>
                    <m:t>+</m:t>
                  </m:r>
                  <m:f>
                    <m:fPr>
                      <m:type m:val="bar"/>
                    </m:fPr>
                    <m:num>
                      <m:sSub>
                        <m:e>
                          <m:r>
                            <m:t>β</m:t>
                          </m:r>
                        </m:e>
                        <m:sub>
                          <m:r>
                            <m:rPr>
                              <m:nor/>
                              <m:sty m:val="p"/>
                            </m:rPr>
                            <m:t>wing,%</m:t>
                          </m:r>
                        </m:sub>
                      </m:sSub>
                    </m:num>
                    <m:den>
                      <m:r>
                        <m:t>100</m:t>
                      </m:r>
                    </m:den>
                  </m:f>
                </m:e>
              </m:d>
            </m:e>
            <m:sup>
              <m:r>
                <m:t>3</m:t>
              </m:r>
            </m:sup>
          </m:sSup>
          <m:r>
            <m:rPr>
              <m:sty m:val="p"/>
            </m:rPr>
            <m:t>−</m:t>
          </m:r>
          <m:r>
            <m:t>1</m:t>
          </m:r>
          <m:r>
            <m:rPr>
              <m:sty m:val="p"/>
            </m:rPr>
            <m:t>≈</m:t>
          </m:r>
          <m:r>
            <m:t>3</m:t>
          </m:r>
          <m:r>
            <m:rPr>
              <m:sty m:val="p"/>
            </m:rPr>
            <m:t>×</m:t>
          </m:r>
          <m:sSub>
            <m:e>
              <m:r>
                <m:t>β</m:t>
              </m:r>
            </m:e>
            <m:sub>
              <m:r>
                <m:rPr>
                  <m:nor/>
                  <m:sty m:val="p"/>
                </m:rPr>
                <m:t>wing,%</m:t>
              </m:r>
            </m:sub>
          </m:sSub>
        </m:oMath>
      </m:oMathPara>
    </w:p>
    <w:p>
      <w:pPr>
        <w:pStyle w:val="FirstParagraph"/>
      </w:pPr>
      <w:r>
        <w:t xml:space="preserve">We formally tested departure from isometry via the linear contrast:</w:t>
      </w:r>
    </w:p>
    <w:p>
      <w:pPr>
        <w:pStyle w:val="BodyText"/>
      </w:pPr>
      <m:oMathPara>
        <m:oMathParaPr>
          <m:jc m:val="center"/>
        </m:oMathParaPr>
        <m:oMath>
          <m:sSub>
            <m:e>
              <m:r>
                <m:rPr>
                  <m:sty m:val="p"/>
                </m:rPr>
                <m:t>Δ</m:t>
              </m:r>
            </m:e>
            <m:sub>
              <m:r>
                <m:rPr>
                  <m:nor/>
                  <m:sty m:val="p"/>
                </m:rPr>
                <m:t>iso</m:t>
              </m:r>
            </m:sub>
          </m:sSub>
          <m:r>
            <m:rPr>
              <m:sty m:val="p"/>
            </m:rPr>
            <m:t>=</m:t>
          </m:r>
          <m:sSub>
            <m:e>
              <m:r>
                <m:t>β</m:t>
              </m:r>
            </m:e>
            <m:sub>
              <m:r>
                <m:rPr>
                  <m:nor/>
                  <m:sty m:val="p"/>
                </m:rPr>
                <m:t>mass,%</m:t>
              </m:r>
            </m:sub>
          </m:sSub>
          <m:r>
            <m:rPr>
              <m:sty m:val="p"/>
            </m:rPr>
            <m:t>−</m:t>
          </m:r>
          <m:r>
            <m:t>3</m:t>
          </m:r>
          <m:r>
            <m:rPr>
              <m:sty m:val="p"/>
            </m:rPr>
            <m:t>×</m:t>
          </m:r>
          <m:sSub>
            <m:e>
              <m:r>
                <m:t>β</m:t>
              </m:r>
            </m:e>
            <m:sub>
              <m:r>
                <m:rPr>
                  <m:nor/>
                  <m:sty m:val="p"/>
                </m:rPr>
                <m:t>wing,%</m:t>
              </m:r>
            </m:sub>
          </m:sSub>
        </m:oMath>
      </m:oMathPara>
    </w:p>
    <w:p>
      <w:pPr>
        <w:pStyle w:val="FirstParagraph"/>
      </w:pPr>
      <w:r>
        <w:t xml:space="preserve">The sampling variance and standard error of</w:t>
      </w:r>
      <w:r>
        <w:t xml:space="preserve"> </w:t>
      </w:r>
      <m:oMath>
        <m:sSub>
          <m:e>
            <m:r>
              <m:rPr>
                <m:sty m:val="p"/>
              </m:rPr>
              <m:t>Δ</m:t>
            </m:r>
          </m:e>
          <m:sub>
            <m:r>
              <m:rPr>
                <m:nor/>
                <m:sty m:val="p"/>
              </m:rPr>
              <m:t>iso</m:t>
            </m:r>
          </m:sub>
        </m:sSub>
      </m:oMath>
      <w:r>
        <w:t xml:space="preserve"> </w:t>
      </w:r>
      <w:r>
        <w:t xml:space="preserve">were derived via the delta method:</w:t>
      </w:r>
    </w:p>
    <w:p>
      <w:pPr>
        <w:pStyle w:val="BodyText"/>
      </w:pPr>
      <m:oMathPara>
        <m:oMathParaPr>
          <m:jc m:val="center"/>
        </m:oMathParaPr>
        <m:oMath>
          <m:r>
            <m:rPr>
              <m:sty m:val="p"/>
            </m:rPr>
            <m:t>Var</m:t>
          </m:r>
          <m:r>
            <m:rPr>
              <m:sty m:val="p"/>
            </m:rPr>
            <m:t>(</m:t>
          </m:r>
          <m:sSub>
            <m:e>
              <m:r>
                <m:rPr>
                  <m:sty m:val="p"/>
                </m:rPr>
                <m:t>Δ</m:t>
              </m:r>
            </m:e>
            <m:sub>
              <m:r>
                <m:rPr>
                  <m:nor/>
                  <m:sty m:val="p"/>
                </m:rPr>
                <m:t>iso</m:t>
              </m:r>
            </m:sub>
          </m:sSub>
          <m:r>
            <m:rPr>
              <m:sty m:val="p"/>
            </m:rPr>
            <m:t>)</m:t>
          </m:r>
          <m:r>
            <m:rPr>
              <m:sty m:val="p"/>
            </m:rPr>
            <m:t>=</m:t>
          </m:r>
          <m:r>
            <m:rPr>
              <m:sty m:val="p"/>
            </m:rPr>
            <m:t>Var</m:t>
          </m:r>
          <m:r>
            <m:rPr>
              <m:sty m:val="p"/>
            </m:rPr>
            <m:t>(</m:t>
          </m:r>
          <m:sSub>
            <m:e>
              <m:r>
                <m:t>β</m:t>
              </m:r>
            </m:e>
            <m:sub>
              <m:r>
                <m:rPr>
                  <m:nor/>
                  <m:sty m:val="p"/>
                </m:rPr>
                <m:t>mass,%</m:t>
              </m:r>
            </m:sub>
          </m:sSub>
          <m:r>
            <m:rPr>
              <m:sty m:val="p"/>
            </m:rPr>
            <m:t>)</m:t>
          </m:r>
          <m:r>
            <m:rPr>
              <m:sty m:val="p"/>
            </m:rPr>
            <m:t>+</m:t>
          </m:r>
          <m:r>
            <m:t>9</m:t>
          </m:r>
          <m:r>
            <m:rPr>
              <m:sty m:val="p"/>
            </m:rPr>
            <m:t>Var</m:t>
          </m:r>
          <m:r>
            <m:rPr>
              <m:sty m:val="p"/>
            </m:rPr>
            <m:t>(</m:t>
          </m:r>
          <m:sSub>
            <m:e>
              <m:r>
                <m:t>β</m:t>
              </m:r>
            </m:e>
            <m:sub>
              <m:r>
                <m:rPr>
                  <m:nor/>
                  <m:sty m:val="p"/>
                </m:rPr>
                <m:t>wing,%</m:t>
              </m:r>
            </m:sub>
          </m:sSub>
          <m:r>
            <m:rPr>
              <m:sty m:val="p"/>
            </m:rPr>
            <m:t>)</m:t>
          </m:r>
          <m:r>
            <m:rPr>
              <m:sty m:val="p"/>
            </m:rPr>
            <m:t>−</m:t>
          </m:r>
          <m:r>
            <m:t>6</m:t>
          </m:r>
          <m:r>
            <m:rPr>
              <m:sty m:val="p"/>
            </m:rPr>
            <m:t>Cov</m:t>
          </m:r>
          <m:r>
            <m:rPr>
              <m:sty m:val="p"/>
            </m:rPr>
            <m:t>(</m:t>
          </m:r>
          <m:sSub>
            <m:e>
              <m:r>
                <m:t>β</m:t>
              </m:r>
            </m:e>
            <m:sub>
              <m:r>
                <m:rPr>
                  <m:nor/>
                  <m:sty m:val="p"/>
                </m:rPr>
                <m:t>mass,%</m:t>
              </m:r>
            </m:sub>
          </m:sSub>
          <m:r>
            <m:rPr>
              <m:sty m:val="p"/>
            </m:rPr>
            <m:t>,</m:t>
          </m:r>
          <m:sSub>
            <m:e>
              <m:r>
                <m:t>β</m:t>
              </m:r>
            </m:e>
            <m:sub>
              <m:r>
                <m:rPr>
                  <m:nor/>
                  <m:sty m:val="p"/>
                </m:rPr>
                <m:t>wing,%</m:t>
              </m:r>
            </m:sub>
          </m:sSub>
          <m:r>
            <m:rPr>
              <m:sty m:val="p"/>
            </m:rPr>
            <m:t>)</m:t>
          </m:r>
        </m:oMath>
      </m:oMathPara>
    </w:p>
    <w:p>
      <w:pPr>
        <w:pStyle w:val="FirstParagraph"/>
      </w:pPr>
      <m:oMathPara>
        <m:oMathParaPr>
          <m:jc m:val="center"/>
        </m:oMathParaPr>
        <m:oMath>
          <m:r>
            <m:rPr>
              <m:sty m:val="p"/>
            </m:rPr>
            <m:t>SE</m:t>
          </m:r>
          <m:r>
            <m:rPr>
              <m:sty m:val="p"/>
            </m:rPr>
            <m:t>(</m:t>
          </m:r>
          <m:sSub>
            <m:e>
              <m:r>
                <m:rPr>
                  <m:sty m:val="p"/>
                </m:rPr>
                <m:t>Δ</m:t>
              </m:r>
            </m:e>
            <m:sub>
              <m:r>
                <m:rPr>
                  <m:nor/>
                  <m:sty m:val="p"/>
                </m:rPr>
                <m:t>iso</m:t>
              </m:r>
            </m:sub>
          </m:sSub>
          <m:r>
            <m:rPr>
              <m:sty m:val="p"/>
            </m:rPr>
            <m:t>)</m:t>
          </m:r>
          <m:r>
            <m:rPr>
              <m:sty m:val="p"/>
            </m:rPr>
            <m:t>=</m:t>
          </m:r>
          <m:rad>
            <m:radPr>
              <m:degHide m:val="on"/>
            </m:radPr>
            <m:deg/>
            <m:e>
              <m:r>
                <m:rPr>
                  <m:sty m:val="p"/>
                </m:rPr>
                <m:t>Var</m:t>
              </m:r>
              <m:r>
                <m:rPr>
                  <m:sty m:val="p"/>
                </m:rPr>
                <m:t>(</m:t>
              </m:r>
              <m:sSub>
                <m:e>
                  <m:r>
                    <m:rPr>
                      <m:sty m:val="p"/>
                    </m:rPr>
                    <m:t>Δ</m:t>
                  </m:r>
                </m:e>
                <m:sub>
                  <m:r>
                    <m:rPr>
                      <m:nor/>
                      <m:sty m:val="p"/>
                    </m:rPr>
                    <m:t>iso</m:t>
                  </m:r>
                </m:sub>
              </m:sSub>
              <m:r>
                <m:rPr>
                  <m:sty m:val="p"/>
                </m:rPr>
                <m:t>)</m:t>
              </m:r>
            </m:e>
          </m:rad>
          <m:r>
            <m:rPr>
              <m:sty m:val="p"/>
            </m:rPr>
            <m:t>,</m:t>
          </m:r>
          <m:r>
            <m:t> </m:t>
          </m:r>
          <m:r>
            <m:t>z</m:t>
          </m:r>
          <m:r>
            <m:rPr>
              <m:sty m:val="p"/>
            </m:rPr>
            <m:t>=</m:t>
          </m:r>
          <m:f>
            <m:fPr>
              <m:type m:val="bar"/>
            </m:fPr>
            <m:num>
              <m:sSub>
                <m:e>
                  <m:r>
                    <m:rPr>
                      <m:sty m:val="p"/>
                    </m:rPr>
                    <m:t>Δ</m:t>
                  </m:r>
                </m:e>
                <m:sub>
                  <m:r>
                    <m:rPr>
                      <m:nor/>
                      <m:sty m:val="p"/>
                    </m:rPr>
                    <m:t>iso</m:t>
                  </m:r>
                </m:sub>
              </m:sSub>
            </m:num>
            <m:den>
              <m:r>
                <m:rPr>
                  <m:sty m:val="p"/>
                </m:rPr>
                <m:t>SE</m:t>
              </m:r>
              <m:r>
                <m:rPr>
                  <m:sty m:val="p"/>
                </m:rPr>
                <m:t>(</m:t>
              </m:r>
              <m:sSub>
                <m:e>
                  <m:r>
                    <m:rPr>
                      <m:sty m:val="p"/>
                    </m:rPr>
                    <m:t>Δ</m:t>
                  </m:r>
                </m:e>
                <m:sub>
                  <m:r>
                    <m:rPr>
                      <m:nor/>
                      <m:sty m:val="p"/>
                    </m:rPr>
                    <m:t>iso</m:t>
                  </m:r>
                </m:sub>
              </m:sSub>
              <m:r>
                <m:rPr>
                  <m:sty m:val="p"/>
                </m:rPr>
                <m:t>)</m:t>
              </m:r>
            </m:den>
          </m:f>
        </m:oMath>
      </m:oMathPara>
    </w:p>
    <w:p>
      <w:pPr>
        <w:pStyle w:val="FirstParagraph"/>
      </w:pPr>
      <w:r>
        <w:t xml:space="preserve">A 95% confidence interval strictly excluding zero indicates a statistically significant departure from strict geometric isometry. A positive contrast (</w:t>
      </w:r>
      <m:oMath>
        <m:sSub>
          <m:e>
            <m:r>
              <m:rPr>
                <m:sty m:val="p"/>
              </m:rPr>
              <m:t>Δ</m:t>
            </m:r>
          </m:e>
          <m:sub>
            <m:r>
              <m:rPr>
                <m:nor/>
                <m:sty m:val="p"/>
              </m:rPr>
              <m:t>iso</m:t>
            </m:r>
          </m:sub>
        </m:sSub>
        <m:r>
          <m:rPr>
            <m:sty m:val="p"/>
          </m:rPr>
          <m:t>&gt;</m:t>
        </m:r>
        <m:r>
          <m:t>0</m:t>
        </m:r>
      </m:oMath>
      <w:r>
        <w:t xml:space="preserve">) indicates that body mass declined less than predicted by cubic scaling of the wing (mass conservation or stoutening), whereas a negative contrast (</w:t>
      </w:r>
      <m:oMath>
        <m:sSub>
          <m:e>
            <m:r>
              <m:rPr>
                <m:sty m:val="p"/>
              </m:rPr>
              <m:t>Δ</m:t>
            </m:r>
          </m:e>
          <m:sub>
            <m:r>
              <m:rPr>
                <m:nor/>
                <m:sty m:val="p"/>
              </m:rPr>
              <m:t>iso</m:t>
            </m:r>
          </m:sub>
        </m:sSub>
        <m:r>
          <m:rPr>
            <m:sty m:val="p"/>
          </m:rPr>
          <m:t>&lt;</m:t>
        </m:r>
        <m:r>
          <m:t>0</m:t>
        </m:r>
      </m:oMath>
      <w:r>
        <w:t xml:space="preserve">) indicates disproportionate mass loss or wing elongation (slenderization).</w:t>
      </w:r>
    </w:p>
    <w:bookmarkEnd w:id="69"/>
    <w:bookmarkStart w:id="70" w:name="X8341f8c6c82e3145741514559789c1da539f06b"/>
    <w:p>
      <w:pPr>
        <w:pStyle w:val="Heading2"/>
      </w:pPr>
      <w:r>
        <w:t xml:space="preserve">4.7 Interannual temperature anomalies and direct thermal coupling</w:t>
      </w:r>
    </w:p>
    <w:p>
      <w:pPr>
        <w:pStyle w:val="FirstParagraph"/>
      </w:pPr>
      <w:r>
        <w:t xml:space="preserve">To evaluate whether interannual climatic fluctuations directly drive phenotypic variation, we linked each capture record to local annual mean temperatures extracted from the CRU-TS 4.09 gridded climate product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For each coordinate locality, we calculated the multi-decadal mean temperature (</w:t>
      </w:r>
      <m:oMath>
        <m:sSub>
          <m:e>
            <m:r>
              <m:t>T</m:t>
            </m:r>
          </m:e>
          <m:sub>
            <m:r>
              <m:rPr>
                <m:nor/>
                <m:sty m:val="p"/>
              </m:rPr>
              <m:t>base</m:t>
            </m:r>
          </m:sub>
        </m:sSub>
      </m:oMath>
      <w:r>
        <w:t xml:space="preserve">) and computed the local annual temperature anomaly (</w:t>
      </w:r>
      <m:oMath>
        <m:r>
          <m:rPr>
            <m:sty m:val="p"/>
          </m:rPr>
          <m:t>Δ</m:t>
        </m:r>
        <m:sSub>
          <m:e>
            <m:r>
              <m:t>T</m:t>
            </m:r>
          </m:e>
          <m:sub>
            <m:r>
              <m:rPr>
                <m:nor/>
                <m:sty m:val="p"/>
              </m:rPr>
              <m:t>local</m:t>
            </m:r>
          </m:sub>
        </m:sSub>
        <m:r>
          <m:rPr>
            <m:sty m:val="p"/>
          </m:rPr>
          <m:t>=</m:t>
        </m:r>
        <m:sSub>
          <m:e>
            <m:r>
              <m:t>T</m:t>
            </m:r>
          </m:e>
          <m:sub>
            <m:r>
              <m:t>i</m:t>
            </m:r>
            <m:r>
              <m:t>j</m:t>
            </m:r>
          </m:sub>
        </m:sSub>
        <m:r>
          <m:rPr>
            <m:sty m:val="p"/>
          </m:rPr>
          <m:t>−</m:t>
        </m:r>
        <m:sSub>
          <m:e>
            <m:r>
              <m:t>T</m:t>
            </m:r>
          </m:e>
          <m:sub>
            <m:r>
              <m:rPr>
                <m:nor/>
                <m:sty m:val="p"/>
              </m:rPr>
              <m:t>base</m:t>
            </m:r>
          </m:sub>
        </m:sSub>
      </m:oMath>
      <w:r>
        <w:t xml:space="preserve">) for the capture year. In addition, we extracted regional annual temperature anomalies from NASA GISS Surface Temperature Analysis (GISTEMP v4; Zonal annual means for</w:t>
      </w:r>
      <w:r>
        <w:t xml:space="preserve"> </w:t>
      </w:r>
      <m:oMath>
        <m:sSup>
          <m:e>
            <m:r>
              <m:t>24</m:t>
            </m:r>
          </m:e>
          <m:sup>
            <m:r>
              <m:rPr>
                <m:sty m:val="p"/>
              </m:rPr>
              <m:t>∘</m:t>
            </m:r>
          </m:sup>
        </m:sSup>
        <m:r>
          <m:rPr>
            <m:nor/>
            <m:sty m:val="p"/>
          </m:rPr>
          <m:t>S</m:t>
        </m:r>
        <m:r>
          <m:rPr>
            <m:nor/>
            <m:sty m:val="p"/>
          </m:rPr>
          <m:t>–Equator</m:t>
        </m:r>
      </m:oMath>
      <w:r>
        <w:t xml:space="preserve">,</w:t>
      </w:r>
      <w:r>
        <w:t xml:space="preserve"> </w:t>
      </w:r>
      <m:oMath>
        <m:r>
          <m:t>r</m:t>
        </m:r>
        <m:r>
          <m:rPr>
            <m:sty m:val="p"/>
          </m:rPr>
          <m:t>=</m:t>
        </m:r>
        <m:r>
          <m:t>0.74</m:t>
        </m:r>
      </m:oMath>
      <w:r>
        <w:t xml:space="preserve"> </w:t>
      </w:r>
      <w:r>
        <w:t xml:space="preserve">with local sampling means;</w:t>
      </w:r>
      <w:r>
        <w:t xml:space="preserve"> </w:t>
      </w:r>
      <w:r>
        <w:t xml:space="preserve">Lenssen et al. (2019)</w:t>
      </w:r>
      <w:r>
        <w:t xml:space="preserve">).</w:t>
      </w:r>
    </w:p>
    <w:p>
      <w:pPr>
        <w:pStyle w:val="BodyText"/>
      </w:pPr>
      <w:r>
        <w:t xml:space="preserve">We tested the direct thermal sensitivity of morphological traits by fitting linear mixed-effects models specifying centered trait deviations as a function of annual temperature anomaly (</w:t>
      </w:r>
      <m:oMath>
        <m:r>
          <m:rPr>
            <m:sty m:val="p"/>
          </m:rPr>
          <m:t>Δ</m:t>
        </m:r>
        <m:sSub>
          <m:e>
            <m:r>
              <m:t>T</m:t>
            </m:r>
          </m:e>
          <m:sub>
            <m:r>
              <m:rPr>
                <m:nor/>
                <m:sty m:val="p"/>
              </m:rPr>
              <m:t>local</m:t>
            </m:r>
          </m:sub>
        </m:sSub>
      </m:oMath>
      <w:r>
        <w:t xml:space="preserve">), including fixed effects for sex and latitude, and random intercepts for primary researcher</w:t>
      </w:r>
      <w:r>
        <w:t xml:space="preserve"> </w:t>
      </w:r>
      <w:r>
        <w:rPr>
          <w:rStyle w:val="VerbatimChar"/>
        </w:rPr>
        <w:t xml:space="preserve">(1 | Main_researcher)</w:t>
      </w:r>
      <w:r>
        <w:t xml:space="preserve"> </w:t>
      </w:r>
      <w:r>
        <w:t xml:space="preserve">and species</w:t>
      </w:r>
      <w:r>
        <w:t xml:space="preserve"> </w:t>
      </w:r>
      <w:r>
        <w:rPr>
          <w:rStyle w:val="VerbatimChar"/>
        </w:rPr>
        <w:t xml:space="preserve">(1 | Binomial)</w:t>
      </w:r>
      <w:r>
        <w:t xml:space="preserve">. For bivariate allometry, we evaluated the response of the 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and relative wing length (</w:t>
      </w:r>
      <m:oMath>
        <m:r>
          <m:rPr>
            <m:sty m:val="p"/>
          </m:rPr>
          <m:t>ln</m:t>
        </m:r>
        <m:r>
          <m:t>L</m:t>
        </m:r>
        <m:r>
          <m:rPr>
            <m:sty m:val="p"/>
          </m:rPr>
          <m:t>−</m:t>
        </m:r>
        <m:f>
          <m:fPr>
            <m:type m:val="bar"/>
          </m:fPr>
          <m:num>
            <m:r>
              <m:t>1</m:t>
            </m:r>
          </m:num>
          <m:den>
            <m:r>
              <m:t>3</m:t>
            </m:r>
          </m:den>
        </m:f>
        <m:r>
          <m:rPr>
            <m:sty m:val="p"/>
          </m:rPr>
          <m:t>ln</m:t>
        </m:r>
        <m:r>
          <m:t>M</m:t>
        </m:r>
      </m:oMath>
      <w:r>
        <w:t xml:space="preserve">) to local and regional temperature anomalies across the 7,577 shared records measured for both traits.</w:t>
      </w:r>
    </w:p>
    <w:bookmarkEnd w:id="70"/>
    <w:bookmarkStart w:id="71" w:name="X653d83b9bfe10a4aa35a57686ef1f796453cb4b"/>
    <w:p>
      <w:pPr>
        <w:pStyle w:val="Heading2"/>
      </w:pPr>
      <w:r>
        <w:t xml:space="preserve">4.8 Historical museum series, climate breakpoint, and sampling expansion</w:t>
      </w:r>
    </w:p>
    <w:p>
      <w:pPr>
        <w:pStyle w:val="FirstParagraph"/>
      </w:pPr>
      <w:r>
        <w:t xml:space="preserve">To contextualize the contemporary 1995–2018 window within a century-long macroecological perspective, we analyzed historical museum study skins (</w:t>
      </w:r>
      <m:oMath>
        <m:r>
          <m:t>n</m:t>
        </m:r>
        <m:r>
          <m:rPr>
            <m:sty m:val="p"/>
          </m:rPr>
          <m:t>=</m:t>
        </m:r>
        <m:r>
          <m:t>3</m:t>
        </m:r>
        <m:r>
          <m:rPr>
            <m:sty m:val="p"/>
          </m:rPr>
          <m:t>,</m:t>
        </m:r>
        <m:r>
          <m:t>439</m:t>
        </m:r>
      </m:oMath>
      <w:r>
        <w:t xml:space="preserve"> </w:t>
      </w:r>
      <w:r>
        <w:t xml:space="preserve">adult specimens, 1884–2017) across 142 passerine species preserved in major Brazilian ornithological collections (Museu de Zoologia da USP, Museu Nacional da UFRJ, Universidade Regional de Blumenau, Universidade Federal de Pernambuco).</w:t>
      </w:r>
    </w:p>
    <w:p>
      <w:pPr>
        <w:pStyle w:val="BodyText"/>
      </w:pPr>
      <w:r>
        <w:t xml:space="preserve">To test whether regional warming and avian morphometrics experienced structural breakpoints across the secular record, we fitted two-phase piecewise linear regressions</w:t>
      </w:r>
      <w:r>
        <w:t xml:space="preserve"> </w:t>
      </w:r>
      <w:r>
        <w:t xml:space="preserve">(Muggeo 2003)</w:t>
      </w:r>
      <w:r>
        <w:t xml:space="preserve"> </w:t>
      </w:r>
      <w:r>
        <w:t xml:space="preserve">on annual regional temperature anomalies (NASA GISS, 1880–2018) and species-centered morphological deviations:</w:t>
      </w:r>
    </w:p>
    <w:p>
      <w:pPr>
        <w:pStyle w:val="BodyText"/>
      </w:pPr>
      <m:oMathPara>
        <m:oMathParaPr>
          <m:jc m:val="center"/>
        </m:oMathParaPr>
        <m:oMath>
          <m:sSub>
            <m:e>
              <m:r>
                <m:t>y</m:t>
              </m:r>
            </m:e>
            <m:sub>
              <m:r>
                <m:t>t</m:t>
              </m:r>
            </m:sub>
          </m:sSub>
          <m:r>
            <m:rPr>
              <m:sty m:val="p"/>
            </m:rPr>
            <m:t>=</m:t>
          </m:r>
          <m:r>
            <m:t>α</m:t>
          </m:r>
          <m:r>
            <m:rPr>
              <m:sty m:val="p"/>
            </m:rPr>
            <m:t>+</m:t>
          </m:r>
          <m:sSub>
            <m:e>
              <m:r>
                <m:t>β</m:t>
              </m:r>
            </m:e>
            <m:sub>
              <m:r>
                <m:t>1</m:t>
              </m:r>
            </m:sub>
          </m:sSub>
          <m:r>
            <m:rPr>
              <m:sty m:val="p"/>
            </m:rPr>
            <m:t>min</m:t>
          </m:r>
          <m:r>
            <m:rPr>
              <m:sty m:val="p"/>
            </m:rPr>
            <m:t>(</m:t>
          </m:r>
          <m:sSub>
            <m:e>
              <m:r>
                <m:t>Y</m:t>
              </m:r>
            </m:e>
            <m:sub>
              <m:r>
                <m:t>t</m:t>
              </m:r>
            </m:sub>
          </m:sSub>
          <m:r>
            <m:rPr>
              <m:sty m:val="p"/>
            </m:rPr>
            <m:t>−</m:t>
          </m:r>
          <m:r>
            <m:t>τ</m:t>
          </m:r>
          <m:r>
            <m:rPr>
              <m:sty m:val="p"/>
            </m:rPr>
            <m:t>,</m:t>
          </m:r>
          <m:r>
            <m:t>0</m:t>
          </m:r>
          <m:r>
            <m:rPr>
              <m:sty m:val="p"/>
            </m:rPr>
            <m:t>)</m:t>
          </m:r>
          <m:r>
            <m:rPr>
              <m:sty m:val="p"/>
            </m:rPr>
            <m:t>+</m:t>
          </m:r>
          <m:sSub>
            <m:e>
              <m:r>
                <m:t>β</m:t>
              </m:r>
            </m:e>
            <m:sub>
              <m:r>
                <m:t>2</m:t>
              </m:r>
            </m:sub>
          </m:sSub>
          <m:r>
            <m:rPr>
              <m:sty m:val="p"/>
            </m:rPr>
            <m:t>max</m:t>
          </m:r>
          <m:r>
            <m:rPr>
              <m:sty m:val="p"/>
            </m:rPr>
            <m:t>(</m:t>
          </m:r>
          <m:sSub>
            <m:e>
              <m:r>
                <m:t>Y</m:t>
              </m:r>
            </m:e>
            <m:sub>
              <m:r>
                <m:t>t</m:t>
              </m:r>
            </m:sub>
          </m:sSub>
          <m:r>
            <m:rPr>
              <m:sty m:val="p"/>
            </m:rPr>
            <m:t>−</m:t>
          </m:r>
          <m:r>
            <m:t>τ</m:t>
          </m:r>
          <m:r>
            <m:rPr>
              <m:sty m:val="p"/>
            </m:rPr>
            <m:t>,</m:t>
          </m:r>
          <m:r>
            <m:t>0</m:t>
          </m:r>
          <m:r>
            <m:rPr>
              <m:sty m:val="p"/>
            </m:rPr>
            <m:t>)</m:t>
          </m:r>
          <m:r>
            <m:rPr>
              <m:sty m:val="p"/>
            </m:rPr>
            <m:t>+</m:t>
          </m:r>
          <m:sSub>
            <m:e>
              <m:r>
                <m:t>ε</m:t>
              </m:r>
            </m:e>
            <m:sub>
              <m:r>
                <m:t>t</m:t>
              </m:r>
            </m:sub>
          </m:sSub>
        </m:oMath>
      </m:oMathPara>
    </w:p>
    <w:p>
      <w:pPr>
        <w:pStyle w:val="FirstParagraph"/>
      </w:pPr>
      <w:r>
        <w:t xml:space="preserve">where</w:t>
      </w:r>
      <w:r>
        <w:t xml:space="preserve"> </w:t>
      </w:r>
      <m:oMath>
        <m:r>
          <m:t>τ</m:t>
        </m:r>
      </m:oMath>
      <w:r>
        <w:t xml:space="preserve"> </w:t>
      </w:r>
      <w:r>
        <w:t xml:space="preserve">represents the candidate changepoint year. We performed a grid search over potential breakpoint years (1900–2005) to identify the maximum-likelihood inflection point (</w:t>
      </w:r>
      <m:oMath>
        <m:r>
          <m:t>τ</m:t>
        </m:r>
        <m:r>
          <m:rPr>
            <m:sty m:val="p"/>
          </m:rPr>
          <m:t>=</m:t>
        </m:r>
        <m:r>
          <m:t>1980</m:t>
        </m:r>
        <m:r>
          <m:rPr>
            <m:sty m:val="p"/>
          </m:rPr>
          <m:t>±</m:t>
        </m:r>
        <m:r>
          <m:t>3</m:t>
        </m:r>
      </m:oMath>
      <w:r>
        <w:t xml:space="preserve"> </w:t>
      </w:r>
      <w:r>
        <w:t xml:space="preserve">years).</w:t>
      </w:r>
    </w:p>
    <w:p>
      <w:pPr>
        <w:pStyle w:val="BodyText"/>
      </w:pPr>
      <w:r>
        <w:t xml:space="preserve">To assess the robustness of our conclusions to analytical filtering criteria, we refitted linear mixed-effects models across the broader avian community following the sampling design of</w:t>
      </w:r>
      <w:r>
        <w:t xml:space="preserve"> </w:t>
      </w:r>
      <w:r>
        <w:t xml:space="preserve">Jirinec et al. (2021)</w:t>
      </w:r>
      <w:r>
        <w:t xml:space="preserve">. This expanded dataset incorporated individuals of unknown sex, all age classes, and all understorey mist-netted bird orders (</w:t>
      </w:r>
      <m:oMath>
        <m:r>
          <m:t>n</m:t>
        </m:r>
        <m:r>
          <m:rPr>
            <m:sty m:val="p"/>
          </m:rPr>
          <m:t>=</m:t>
        </m:r>
        <m:r>
          <m:t>46</m:t>
        </m:r>
        <m:r>
          <m:rPr>
            <m:sty m:val="p"/>
          </m:rPr>
          <m:t>,</m:t>
        </m:r>
        <m:r>
          <m:t>663</m:t>
        </m:r>
      </m:oMath>
      <w:r>
        <w:t xml:space="preserve"> </w:t>
      </w:r>
      <w:r>
        <w:t xml:space="preserve">captures across 243 species; Supplementary Material), evaluating temporal slopes with random intercepts and slopes for species and random intercepts for sampling locality and contributor.</w:t>
      </w:r>
    </w:p>
    <w:bookmarkEnd w:id="71"/>
    <w:bookmarkStart w:id="72" w:name="X6ff614c3587b78c67248aba5d88ecab96336cc0"/>
    <w:p>
      <w:pPr>
        <w:pStyle w:val="Heading2"/>
      </w:pPr>
      <w:r>
        <w:t xml:space="preserve">4.9 Phenotypic variability meta-analysis and continuous dispersion modeling</w:t>
      </w:r>
    </w:p>
    <w:p>
      <w:pPr>
        <w:pStyle w:val="FirstParagraph"/>
      </w:pPr>
      <w:r>
        <w:t xml:space="preserve">Among-individual phenotypic variability was modeled using two complementary approaches:</w:t>
      </w:r>
    </w:p>
    <w:p>
      <w:pPr>
        <w:pStyle w:val="Compact"/>
        <w:numPr>
          <w:ilvl w:val="0"/>
          <w:numId w:val="1003"/>
        </w:numPr>
      </w:pPr>
      <w:r>
        <w:rPr>
          <w:b/>
          <w:bCs/>
        </w:rPr>
        <w:t xml:space="preserve">Meta-analytic</w:t>
      </w:r>
      <w:r>
        <w:rPr>
          <w:b/>
          <w:bCs/>
        </w:rPr>
        <w:t xml:space="preserve"> </w:t>
      </w:r>
      <m:oMath>
        <m:r>
          <m:rPr>
            <m:sty m:val="p"/>
          </m:rPr>
          <m:t>ln</m:t>
        </m:r>
        <m:r>
          <m:rPr>
            <m:nor/>
            <m:sty m:val="p"/>
          </m:rPr>
          <m:t>CVR</m:t>
        </m:r>
      </m:oMath>
      <w:r>
        <w:t xml:space="preserve">: For species with</w:t>
      </w:r>
      <w:r>
        <w:t xml:space="preserve"> </w:t>
      </w:r>
      <m:oMath>
        <m:r>
          <m:rPr>
            <m:sty m:val="p"/>
          </m:rPr>
          <m:t>≥</m:t>
        </m:r>
        <m:r>
          <m:t>5</m:t>
        </m:r>
      </m:oMath>
      <w:r>
        <w:t xml:space="preserve"> </w:t>
      </w:r>
      <w:r>
        <w:t xml:space="preserve">records in both the early (1995–2006) and late (2013–2018) periods, we computed the log coefficient-of-variation ratio (</w:t>
      </w:r>
      <m:oMath>
        <m:r>
          <m:rPr>
            <m:sty m:val="p"/>
          </m:rPr>
          <m:t>ln</m:t>
        </m:r>
        <m:r>
          <m:rPr>
            <m:nor/>
            <m:sty m:val="p"/>
          </m:rPr>
          <m:t>CVR</m:t>
        </m:r>
      </m:oMath>
      <w:r>
        <w:t xml:space="preserve">) with small-sample bias correction</w:t>
      </w:r>
      <w:r>
        <w:t xml:space="preserve"> </w:t>
      </w:r>
      <w:r>
        <w:t xml:space="preserve">(Nakagawa et al. 2015)</w:t>
      </w:r>
      <w:r>
        <w:t xml:space="preserve">:</w:t>
      </w:r>
    </w:p>
    <w:p>
      <w:pPr>
        <w:pStyle w:val="Compact"/>
      </w:pPr>
      <m:oMathPara>
        <m:oMathParaPr>
          <m:jc m:val="center"/>
        </m:oMathParaPr>
        <m:oMath>
          <m:r>
            <m:rPr>
              <m:sty m:val="p"/>
            </m:rPr>
            <m:t>ln</m:t>
          </m:r>
          <m:r>
            <m:rPr>
              <m:nor/>
              <m:sty m:val="p"/>
            </m:rPr>
            <m:t>CVR</m:t>
          </m:r>
          <m:r>
            <m:rPr>
              <m:sty m:val="p"/>
            </m:rPr>
            <m:t>=</m:t>
          </m:r>
          <m:r>
            <m:rPr>
              <m:sty m:val="p"/>
            </m:rPr>
            <m:t>ln</m:t>
          </m:r>
          <m:d>
            <m:dPr>
              <m:begChr m:val="("/>
              <m:sepChr m:val=""/>
              <m:endChr m:val=")"/>
              <m:grow/>
            </m:dPr>
            <m:e>
              <m:f>
                <m:fPr>
                  <m:type m:val="bar"/>
                </m:fPr>
                <m:num>
                  <m:sSub>
                    <m:e>
                      <m:r>
                        <m:rPr>
                          <m:sty m:val="p"/>
                        </m:rPr>
                        <m:t>CV</m:t>
                      </m:r>
                    </m:e>
                    <m:sub>
                      <m:r>
                        <m:rPr>
                          <m:nor/>
                          <m:sty m:val="p"/>
                        </m:rPr>
                        <m:t>late</m:t>
                      </m:r>
                    </m:sub>
                  </m:sSub>
                </m:num>
                <m:den>
                  <m:sSub>
                    <m:e>
                      <m:r>
                        <m:rPr>
                          <m:sty m:val="p"/>
                        </m:rPr>
                        <m:t>CV</m:t>
                      </m:r>
                    </m:e>
                    <m:sub>
                      <m:r>
                        <m:rPr>
                          <m:nor/>
                          <m:sty m:val="p"/>
                        </m:rPr>
                        <m:t>early</m:t>
                      </m:r>
                    </m:sub>
                  </m:sSub>
                </m:den>
              </m:f>
            </m:e>
          </m:d>
          <m:r>
            <m:rPr>
              <m:sty m:val="p"/>
            </m:rPr>
            <m:t>+</m:t>
          </m:r>
          <m:f>
            <m:fPr>
              <m:type m:val="bar"/>
            </m:fPr>
            <m:num>
              <m:r>
                <m:t>1</m:t>
              </m:r>
            </m:num>
            <m:den>
              <m:r>
                <m:t>2</m:t>
              </m:r>
              <m:r>
                <m:rPr>
                  <m:sty m:val="p"/>
                </m:rPr>
                <m:t>(</m:t>
              </m:r>
              <m:sSub>
                <m:e>
                  <m:r>
                    <m:t>n</m:t>
                  </m:r>
                </m:e>
                <m:sub>
                  <m:r>
                    <m:rPr>
                      <m:nor/>
                      <m:sty m:val="p"/>
                    </m:rPr>
                    <m:t>late</m:t>
                  </m:r>
                </m:sub>
              </m:sSub>
              <m:r>
                <m:rPr>
                  <m:sty m:val="p"/>
                </m:rPr>
                <m:t>−</m:t>
              </m:r>
              <m:r>
                <m:t>1</m:t>
              </m:r>
              <m:r>
                <m:rPr>
                  <m:sty m:val="p"/>
                </m:rPr>
                <m:t>)</m:t>
              </m:r>
            </m:den>
          </m:f>
          <m:r>
            <m:rPr>
              <m:sty m:val="p"/>
            </m:rPr>
            <m:t>−</m:t>
          </m:r>
          <m:f>
            <m:fPr>
              <m:type m:val="bar"/>
            </m:fPr>
            <m:num>
              <m:r>
                <m:t>1</m:t>
              </m:r>
            </m:num>
            <m:den>
              <m:r>
                <m:t>2</m:t>
              </m:r>
              <m:r>
                <m:rPr>
                  <m:sty m:val="p"/>
                </m:rPr>
                <m:t>(</m:t>
              </m:r>
              <m:sSub>
                <m:e>
                  <m:r>
                    <m:t>n</m:t>
                  </m:r>
                </m:e>
                <m:sub>
                  <m:r>
                    <m:rPr>
                      <m:nor/>
                      <m:sty m:val="p"/>
                    </m:rPr>
                    <m:t>early</m:t>
                  </m:r>
                </m:sub>
              </m:sSub>
              <m:r>
                <m:rPr>
                  <m:sty m:val="p"/>
                </m:rPr>
                <m:t>−</m:t>
              </m:r>
              <m:r>
                <m:t>1</m:t>
              </m:r>
              <m:r>
                <m:rPr>
                  <m:sty m:val="p"/>
                </m:rPr>
                <m:t>)</m:t>
              </m:r>
            </m:den>
          </m:f>
        </m:oMath>
      </m:oMathPara>
    </w:p>
    <w:p>
      <w:pPr>
        <w:pStyle w:val="Compact"/>
        <w:numPr>
          <w:ilvl w:val="0"/>
          <w:numId w:val="1000"/>
        </w:numPr>
      </w:pPr>
      <w:r>
        <w:t xml:space="preserve">where sampling variance incorporates the observed correlation between log mean and log standard deviation within each period. Effect sizes were pooled in random-effects meta-analytic models using</w:t>
      </w:r>
      <w:r>
        <w:t xml:space="preserve"> </w:t>
      </w:r>
      <w:r>
        <w:rPr>
          <w:rStyle w:val="VerbatimChar"/>
        </w:rPr>
        <w:t xml:space="preserve">metafor</w:t>
      </w:r>
      <w:r>
        <w:t xml:space="preserve"> </w:t>
      </w:r>
      <w:r>
        <w:t xml:space="preserve">(Viechtbauer 2010)</w:t>
      </w:r>
      <w:r>
        <w:t xml:space="preserve">. To distinguish genuine biological variance shifts from observer pooling artifacts,</w:t>
      </w:r>
      <w:r>
        <w:t xml:space="preserve"> </w:t>
      </w:r>
      <m:oMath>
        <m:r>
          <m:rPr>
            <m:sty m:val="p"/>
          </m:rPr>
          <m:t>ln</m:t>
        </m:r>
        <m:r>
          <m:rPr>
            <m:nor/>
            <m:sty m:val="p"/>
          </m:rPr>
          <m:t>CVR</m:t>
        </m:r>
      </m:oMath>
      <w:r>
        <w:t xml:space="preserve"> </w:t>
      </w:r>
      <w:r>
        <w:t xml:space="preserve">was calculated both pooled across all observers (</w:t>
      </w:r>
      <m:oMath>
        <m:r>
          <m:t>k</m:t>
        </m:r>
        <m:r>
          <m:rPr>
            <m:sty m:val="p"/>
          </m:rPr>
          <m:t>=</m:t>
        </m:r>
        <m:r>
          <m:t>54</m:t>
        </m:r>
      </m:oMath>
      <w:r>
        <w:t xml:space="preserve"> </w:t>
      </w:r>
      <w:r>
        <w:t xml:space="preserve">for wing;</w:t>
      </w:r>
      <w:r>
        <w:t xml:space="preserve"> </w:t>
      </w:r>
      <m:oMath>
        <m:r>
          <m:t>k</m:t>
        </m:r>
        <m:r>
          <m:rPr>
            <m:sty m:val="p"/>
          </m:rPr>
          <m:t>=</m:t>
        </m:r>
        <m:r>
          <m:t>57</m:t>
        </m:r>
      </m:oMath>
      <w:r>
        <w:t xml:space="preserve"> </w:t>
      </w:r>
      <w:r>
        <w:t xml:space="preserve">for body mass;</w:t>
      </w:r>
      <w:r>
        <w:t xml:space="preserve"> </w:t>
      </w:r>
      <m:oMath>
        <m:r>
          <m:t>k</m:t>
        </m:r>
        <m:r>
          <m:rPr>
            <m:sty m:val="p"/>
          </m:rPr>
          <m:t>=</m:t>
        </m:r>
        <m:r>
          <m:t>36</m:t>
        </m:r>
      </m:oMath>
      <w:r>
        <w:t xml:space="preserve"> </w:t>
      </w:r>
      <w:r>
        <w:t xml:space="preserve">for bill width) and strictly within the same primary researcher (</w:t>
      </w:r>
      <m:oMath>
        <m:r>
          <m:t>k</m:t>
        </m:r>
        <m:r>
          <m:rPr>
            <m:sty m:val="p"/>
          </m:rPr>
          <m:t>=</m:t>
        </m:r>
        <m:r>
          <m:t>15</m:t>
        </m:r>
      </m:oMath>
      <w:r>
        <w:t xml:space="preserve">).</w:t>
      </w:r>
    </w:p>
    <w:p>
      <w:pPr>
        <w:pStyle w:val="Compact"/>
        <w:numPr>
          <w:ilvl w:val="0"/>
          <w:numId w:val="1003"/>
        </w:numPr>
      </w:pPr>
      <w:r>
        <w:rPr>
          <w:b/>
          <w:bCs/>
        </w:rPr>
        <w:t xml:space="preserve">Continuous heteroscedastic dispersion models</w:t>
      </w:r>
      <w:r>
        <w:t xml:space="preserve">: In</w:t>
      </w:r>
      <w:r>
        <w:t xml:space="preserve"> </w:t>
      </w:r>
      <w:r>
        <w:rPr>
          <w:rStyle w:val="VerbatimChar"/>
        </w:rPr>
        <w:t xml:space="preserve">glmmTMB</w:t>
      </w:r>
      <w:r>
        <w:t xml:space="preserve">, we specified a dispersion submodel (</w:t>
      </w:r>
      <w:r>
        <w:rPr>
          <w:rStyle w:val="VerbatimChar"/>
        </w:rPr>
        <w:t xml:space="preserve">dispformula</w:t>
      </w:r>
      <w:r>
        <w:t xml:space="preserve">) allowing residual standard deviation</w:t>
      </w:r>
      <w:r>
        <w:t xml:space="preserve"> </w:t>
      </w:r>
      <m:oMath>
        <m:sSub>
          <m:e>
            <m:r>
              <m:t>σ</m:t>
            </m:r>
          </m:e>
          <m:sub>
            <m:r>
              <m:t>i</m:t>
            </m:r>
          </m:sub>
        </m:sSub>
      </m:oMath>
      <w:r>
        <w:t xml:space="preserve"> </w:t>
      </w:r>
      <w:r>
        <w:t xml:space="preserve">to vary continuously over time and across observers:</w:t>
      </w:r>
    </w:p>
    <w:p>
      <w:pPr>
        <w:pStyle w:val="Compact"/>
      </w:pPr>
      <m:oMathPara>
        <m:oMathParaPr>
          <m:jc m:val="center"/>
        </m:oMathParaPr>
        <m:oMath>
          <m:r>
            <m:rPr>
              <m:sty m:val="p"/>
            </m:rPr>
            <m:t>log</m:t>
          </m:r>
          <m:r>
            <m:rPr>
              <m:sty m:val="p"/>
            </m:rPr>
            <m:t>(</m:t>
          </m:r>
          <m:sSub>
            <m:e>
              <m:r>
                <m:t>σ</m:t>
              </m:r>
            </m:e>
            <m:sub>
              <m:r>
                <m:t>i</m:t>
              </m:r>
            </m:sub>
          </m:sSub>
          <m:r>
            <m:rPr>
              <m:sty m:val="p"/>
            </m:rPr>
            <m:t>)</m:t>
          </m:r>
          <m:r>
            <m:rPr>
              <m:sty m:val="p"/>
            </m:rPr>
            <m:t>=</m:t>
          </m:r>
          <m:sSub>
            <m:e>
              <m:r>
                <m:t>α</m:t>
              </m:r>
            </m:e>
            <m:sub>
              <m:r>
                <m:t>0</m:t>
              </m:r>
            </m:sub>
          </m:sSub>
          <m:r>
            <m:rPr>
              <m:sty m:val="p"/>
            </m:rPr>
            <m:t>+</m:t>
          </m:r>
          <m:sSub>
            <m:e>
              <m:r>
                <m:t>α</m:t>
              </m:r>
            </m:e>
            <m:sub>
              <m:r>
                <m:t>1</m:t>
              </m:r>
            </m:sub>
          </m:sSub>
          <m:sSub>
            <m:e>
              <m:r>
                <m:rPr>
                  <m:nor/>
                  <m:sty m:val="p"/>
                </m:rPr>
                <m:t>scaled_yr</m:t>
              </m:r>
            </m:e>
            <m:sub>
              <m:r>
                <m:t>i</m:t>
              </m:r>
            </m:sub>
          </m:sSub>
          <m:r>
            <m:rPr>
              <m:sty m:val="p"/>
            </m:rPr>
            <m:t>+</m:t>
          </m:r>
          <m:sSub>
            <m:e>
              <m:r>
                <m:t>α</m:t>
              </m:r>
            </m:e>
            <m:sub>
              <m:r>
                <m:t>2</m:t>
              </m:r>
            </m:sub>
          </m:sSub>
          <m:sSub>
            <m:e>
              <m:r>
                <m:rPr>
                  <m:nor/>
                  <m:sty m:val="p"/>
                </m:rPr>
                <m:t>Sex</m:t>
              </m:r>
            </m:e>
            <m:sub>
              <m:r>
                <m:t>i</m:t>
              </m:r>
            </m:sub>
          </m:sSub>
          <m:r>
            <m:rPr>
              <m:sty m:val="p"/>
            </m:rPr>
            <m:t>+</m:t>
          </m:r>
          <m:sSub>
            <m:e>
              <m:r>
                <m:t>u</m:t>
              </m:r>
            </m:e>
            <m:sub>
              <m:r>
                <m:rPr>
                  <m:nor/>
                  <m:sty m:val="p"/>
                </m:rPr>
                <m:t>researcher</m:t>
              </m:r>
            </m:sub>
          </m:sSub>
        </m:oMath>
      </m:oMathPara>
    </w:p>
    <w:p>
      <w:pPr>
        <w:pStyle w:val="Compact"/>
        <w:numPr>
          <w:ilvl w:val="0"/>
          <w:numId w:val="1000"/>
        </w:numPr>
      </w:pPr>
      <w:r>
        <w:t xml:space="preserve">where</w:t>
      </w:r>
      <w:r>
        <w:t xml:space="preserve"> </w:t>
      </w:r>
      <m:oMath>
        <m:sSub>
          <m:e>
            <m:r>
              <m:t>α</m:t>
            </m:r>
          </m:e>
          <m:sub>
            <m:r>
              <m:t>1</m:t>
            </m:r>
          </m:sub>
        </m:sSub>
      </m:oMath>
      <w:r>
        <w:t xml:space="preserve"> </w:t>
      </w:r>
      <w:r>
        <w:t xml:space="preserve">captures the decadal rate of change in residual standard deviation. In model tier S7, standardized local mean annual temperature (</w:t>
      </w:r>
      <w:r>
        <w:rPr>
          <w:rStyle w:val="VerbatimChar"/>
        </w:rPr>
        <w:t xml:space="preserve">scaled_tmean</w:t>
      </w:r>
      <w:r>
        <w:t xml:space="preserve">) was added to the dispersion formula to test whether residual variance tracked environmental warming.</w:t>
      </w:r>
    </w:p>
    <w:bookmarkEnd w:id="72"/>
    <w:bookmarkStart w:id="73" w:name="Xfd84aa4262ebbdc8c9052e44d41fd99b9baf22f"/>
    <w:p>
      <w:pPr>
        <w:pStyle w:val="Heading2"/>
      </w:pPr>
      <w:r>
        <w:t xml:space="preserve">4.10 Trophic interactions and regional prey context</w:t>
      </w:r>
    </w:p>
    <w:p>
      <w:pPr>
        <w:pStyle w:val="FirstParagraph"/>
      </w:pPr>
      <w:r>
        <w:t xml:space="preserve">Species’ dietary reliance on invertebrates was extracted from the EltonTraits 1.0 database</w:t>
      </w:r>
      <w:r>
        <w:t xml:space="preserve"> </w:t>
      </w:r>
      <w:r>
        <w:t xml:space="preserve">(Wilman et al. 2014)</w:t>
      </w:r>
      <w:r>
        <w:t xml:space="preserve"> </w:t>
      </w:r>
      <w:r>
        <w:t xml:space="preserve">(</w:t>
      </w:r>
      <w:r>
        <w:rPr>
          <w:rStyle w:val="VerbatimChar"/>
        </w:rPr>
        <w:t xml:space="preserve">Diet-Inv</w:t>
      </w:r>
      <w:r>
        <w:t xml:space="preserve">, % of diet consisting of invertebrates). In continuous interaction models (Model A),</w:t>
      </w:r>
      <w:r>
        <w:t xml:space="preserve"> </w:t>
      </w:r>
      <w:r>
        <w:rPr>
          <w:rStyle w:val="VerbatimChar"/>
        </w:rPr>
        <w:t xml:space="preserve">Diet-Inv</w:t>
      </w:r>
      <w:r>
        <w:t xml:space="preserve"> </w:t>
      </w:r>
      <w:r>
        <w:t xml:space="preserve">was standardized (</w:t>
      </w:r>
      <m:oMath>
        <m:r>
          <m:t>z</m:t>
        </m:r>
      </m:oMath>
      <w:r>
        <w:t xml:space="preserve">-score) and interacted with calendar year (</w:t>
      </w:r>
      <w:r>
        <w:rPr>
          <w:rStyle w:val="VerbatimChar"/>
        </w:rPr>
        <w:t xml:space="preserve">scaled_yr * diet_inv_std</w:t>
      </w:r>
      <w:r>
        <w:t xml:space="preserve">). Wing-length trajectories were projected across the 10th (p10), 50th (p50), and 90th (p90) species-weighted percentiles of invertebrate reliance. In categorical models (Model B), diet was collapsed into Invertebrate-dominated (</w:t>
      </w:r>
      <m:oMath>
        <m:r>
          <m:rPr>
            <m:sty m:val="p"/>
          </m:rPr>
          <m:t>≥</m:t>
        </m:r>
        <m:r>
          <m:t>50</m:t>
        </m:r>
        <m:r>
          <m:rPr>
            <m:sty m:val="p"/>
          </m:rPr>
          <m:t>%</m:t>
        </m:r>
      </m:oMath>
      <w:r>
        <w:t xml:space="preserve"> </w:t>
      </w:r>
      <w:r>
        <w:t xml:space="preserve">invertebrate diet) versus Other (frugivores, nectarivores, granivores, omnivores). Both models were fitted across 50 phylogenetic trees with observer random intercepts.</w:t>
      </w:r>
    </w:p>
    <w:p>
      <w:pPr>
        <w:pStyle w:val="BodyText"/>
      </w:pPr>
      <w:r>
        <w:t xml:space="preserve">To evaluate regional prey trends,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field campaigns (1994–2018). We fitted negative-binomial generalized linear mixed models in</w:t>
      </w:r>
      <w:r>
        <w:t xml:space="preserve"> </w:t>
      </w:r>
      <w:r>
        <w:rPr>
          <w:rStyle w:val="VerbatimChar"/>
        </w:rPr>
        <w:t xml:space="preserve">glmmTMB</w:t>
      </w:r>
      <w:r>
        <w:t xml:space="preserve"> </w:t>
      </w:r>
      <w:r>
        <w:t xml:space="preserve">specifying observed ant species richness per campaign as a function of calendar year, with the log of sampling effort (number of pitfall traps</w:t>
      </w:r>
      <w:r>
        <w:t xml:space="preserve"> </w:t>
      </w:r>
      <m:oMath>
        <m:r>
          <m:rPr>
            <m:sty m:val="p"/>
          </m:rPr>
          <m:t>×</m:t>
        </m:r>
      </m:oMath>
      <w:r>
        <w:t xml:space="preserve"> </w:t>
      </w:r>
      <w:r>
        <w:t xml:space="preserve">operational days) as an offset, and random intercepts for contributor, municipality, and sampling locality.</w:t>
      </w:r>
    </w:p>
    <w:bookmarkEnd w:id="73"/>
    <w:bookmarkStart w:id="74" w:name="reproducible-software-environment"/>
    <w:p>
      <w:pPr>
        <w:pStyle w:val="Heading2"/>
      </w:pPr>
      <w:r>
        <w:t xml:space="preserve">4.11 Reproducible software environment</w:t>
      </w:r>
    </w:p>
    <w:p>
      <w:pPr>
        <w:pStyle w:val="FirstParagraph"/>
      </w:pPr>
      <w:r>
        <w:t xml:space="preserve">Analyses and manuscript generation were conducted using R version 4.4+ with packages</w:t>
      </w:r>
      <w:r>
        <w:t xml:space="preserve"> </w:t>
      </w:r>
      <w:r>
        <w:rPr>
          <w:rStyle w:val="VerbatimChar"/>
        </w:rPr>
        <w:t xml:space="preserve">glmmTMB</w:t>
      </w:r>
      <w:r>
        <w:t xml:space="preserve"> </w:t>
      </w:r>
      <w:r>
        <w:t xml:space="preserve">(v1.1.14),</w:t>
      </w:r>
      <w:r>
        <w:t xml:space="preserve"> </w:t>
      </w:r>
      <w:r>
        <w:rPr>
          <w:rStyle w:val="VerbatimChar"/>
        </w:rPr>
        <w:t xml:space="preserve">prepR4pcm</w:t>
      </w:r>
      <w:r>
        <w:t xml:space="preserve"> </w:t>
      </w:r>
      <w:r>
        <w:t xml:space="preserve">(v0.1.0),</w:t>
      </w:r>
      <w:r>
        <w:t xml:space="preserve"> </w:t>
      </w:r>
      <w:r>
        <w:rPr>
          <w:rStyle w:val="VerbatimChar"/>
        </w:rPr>
        <w:t xml:space="preserve">metafor</w:t>
      </w:r>
      <w:r>
        <w:t xml:space="preserve"> </w:t>
      </w:r>
      <w:r>
        <w:t xml:space="preserve">(v4.6+),</w:t>
      </w:r>
      <w:r>
        <w:t xml:space="preserve"> </w:t>
      </w:r>
      <w:r>
        <w:rPr>
          <w:rStyle w:val="VerbatimChar"/>
        </w:rPr>
        <w:t xml:space="preserve">ape</w:t>
      </w:r>
      <w:r>
        <w:t xml:space="preserve"> </w:t>
      </w:r>
      <w:r>
        <w:t xml:space="preserve">(v5.8+),</w:t>
      </w:r>
      <w:r>
        <w:t xml:space="preserve"> </w:t>
      </w:r>
      <w:r>
        <w:rPr>
          <w:rStyle w:val="VerbatimChar"/>
        </w:rPr>
        <w:t xml:space="preserve">sf</w:t>
      </w:r>
      <w:r>
        <w:t xml:space="preserve"> </w:t>
      </w:r>
      <w:r>
        <w:t xml:space="preserve">(v1.0+),</w:t>
      </w:r>
      <w:r>
        <w:t xml:space="preserve"> </w:t>
      </w:r>
      <w:r>
        <w:rPr>
          <w:rStyle w:val="VerbatimChar"/>
        </w:rPr>
        <w:t xml:space="preserve">terra</w:t>
      </w:r>
      <w:r>
        <w:t xml:space="preserve"> </w:t>
      </w:r>
      <w:r>
        <w:t xml:space="preserve">(v1.8+),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 All analysis scripts, curated datasets, and fitted model objects are openly archived and fully reproducible in the project repository (DOI: 10.5281/zenodo.atlantic_birds).</w:t>
      </w:r>
    </w:p>
    <w:bookmarkEnd w:id="74"/>
    <w:bookmarkStart w:id="133" w:name="references"/>
    <w:p>
      <w:pPr>
        <w:pStyle w:val="Heading2"/>
      </w:pPr>
      <w:r>
        <w:t xml:space="preserve">References</w:t>
      </w:r>
    </w:p>
    <w:bookmarkStart w:id="132" w:name="refs"/>
    <w:bookmarkStart w:id="75"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75"/>
    <w:bookmarkStart w:id="77"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76">
        <w:r>
          <w:rPr>
            <w:rStyle w:val="Hyperlink"/>
          </w:rPr>
          <w:t xml:space="preserve">https://doi.org/10.1046/j.1466-822X.2002.00313.x</w:t>
        </w:r>
      </w:hyperlink>
      <w:r>
        <w:t xml:space="preserve">.</w:t>
      </w:r>
    </w:p>
    <w:bookmarkEnd w:id="77"/>
    <w:bookmarkStart w:id="79"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78">
        <w:r>
          <w:rPr>
            <w:rStyle w:val="Hyperlink"/>
          </w:rPr>
          <w:t xml:space="preserve">https://doi.org/10.1007/s11135-018-0802-x</w:t>
        </w:r>
      </w:hyperlink>
      <w:r>
        <w:t xml:space="preserve">.</w:t>
      </w:r>
    </w:p>
    <w:bookmarkEnd w:id="79"/>
    <w:bookmarkStart w:id="81"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80">
        <w:r>
          <w:rPr>
            <w:rStyle w:val="Hyperlink"/>
          </w:rPr>
          <w:t xml:space="preserve">https://www.digitale-sammlungen.de/en/view/bsb10306637?page=1</w:t>
        </w:r>
      </w:hyperlink>
      <w:r>
        <w:t xml:space="preserve">.</w:t>
      </w:r>
    </w:p>
    <w:bookmarkEnd w:id="81"/>
    <w:bookmarkStart w:id="83"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82">
        <w:r>
          <w:rPr>
            <w:rStyle w:val="Hyperlink"/>
          </w:rPr>
          <w:t xml:space="preserve">https://doi.org/10.1016/j.tree.2011.03.005</w:t>
        </w:r>
      </w:hyperlink>
      <w:r>
        <w:t xml:space="preserve">.</w:t>
      </w:r>
    </w:p>
    <w:bookmarkEnd w:id="83"/>
    <w:bookmarkStart w:id="85"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84">
        <w:r>
          <w:rPr>
            <w:rStyle w:val="Hyperlink"/>
          </w:rPr>
          <w:t xml:space="preserve">https://doi.org/10.1038/s41597-020-0453-3</w:t>
        </w:r>
      </w:hyperlink>
      <w:r>
        <w:t xml:space="preserve">.</w:t>
      </w:r>
    </w:p>
    <w:bookmarkEnd w:id="85"/>
    <w:bookmarkStart w:id="86"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86"/>
    <w:bookmarkStart w:id="88"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87">
        <w:r>
          <w:rPr>
            <w:rStyle w:val="Hyperlink"/>
          </w:rPr>
          <w:t xml:space="preserve">https://doi.org/10.1126/sciadv.abk1743</w:t>
        </w:r>
      </w:hyperlink>
      <w:r>
        <w:t xml:space="preserve">.</w:t>
      </w:r>
    </w:p>
    <w:bookmarkEnd w:id="88"/>
    <w:bookmarkStart w:id="90" w:name="ref-lenssen2019gistemp"/>
    <w:p>
      <w:pPr>
        <w:pStyle w:val="Bibliography"/>
      </w:pPr>
      <w:r>
        <w:t xml:space="preserve">Lenssen, Nathan J. L., Gavin A. Schmidt, James E. Hansen, et al. 2019.</w:t>
      </w:r>
      <w:r>
        <w:t xml:space="preserve"> </w:t>
      </w:r>
      <w:r>
        <w:t xml:space="preserve">“Improvements in the</w:t>
      </w:r>
      <w:r>
        <w:t xml:space="preserve"> </w:t>
      </w:r>
      <w:r>
        <w:t xml:space="preserve">GISTEMP</w:t>
      </w:r>
      <w:r>
        <w:t xml:space="preserve"> </w:t>
      </w:r>
      <w:r>
        <w:t xml:space="preserve">Uncertainty Model.”</w:t>
      </w:r>
      <w:r>
        <w:t xml:space="preserve"> </w:t>
      </w:r>
      <w:r>
        <w:rPr>
          <w:i/>
          <w:iCs/>
        </w:rPr>
        <w:t xml:space="preserve">Journal of Geophysical Research: Atmospheres</w:t>
      </w:r>
      <w:r>
        <w:t xml:space="preserve"> </w:t>
      </w:r>
      <w:r>
        <w:t xml:space="preserve">124 (12): 6307–26.</w:t>
      </w:r>
      <w:r>
        <w:t xml:space="preserve"> </w:t>
      </w:r>
      <w:hyperlink r:id="rId89">
        <w:r>
          <w:rPr>
            <w:rStyle w:val="Hyperlink"/>
          </w:rPr>
          <w:t xml:space="preserve">https://doi.org/10.1029/2018JD029522</w:t>
        </w:r>
      </w:hyperlink>
      <w:r>
        <w:t xml:space="preserve">.</w:t>
      </w:r>
    </w:p>
    <w:bookmarkEnd w:id="90"/>
    <w:bookmarkStart w:id="92"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91">
        <w:r>
          <w:rPr>
            <w:rStyle w:val="Hyperlink"/>
          </w:rPr>
          <w:t xml:space="preserve">https://doi.org/10.1098/rsbl.2022.0219</w:t>
        </w:r>
      </w:hyperlink>
      <w:r>
        <w:t xml:space="preserve">.</w:t>
      </w:r>
    </w:p>
    <w:bookmarkEnd w:id="92"/>
    <w:bookmarkStart w:id="94"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93">
        <w:r>
          <w:rPr>
            <w:rStyle w:val="Hyperlink"/>
          </w:rPr>
          <w:t xml:space="preserve">https://doi.org/10.2307/2406103</w:t>
        </w:r>
      </w:hyperlink>
      <w:r>
        <w:t xml:space="preserve">.</w:t>
      </w:r>
    </w:p>
    <w:bookmarkEnd w:id="94"/>
    <w:bookmarkStart w:id="96"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95">
        <w:r>
          <w:rPr>
            <w:rStyle w:val="Hyperlink"/>
          </w:rPr>
          <w:t xml:space="preserve">https://doi.org/10.1073/pnas.2409658122</w:t>
        </w:r>
      </w:hyperlink>
      <w:r>
        <w:t xml:space="preserve">.</w:t>
      </w:r>
    </w:p>
    <w:bookmarkEnd w:id="96"/>
    <w:bookmarkStart w:id="98" w:name="ref-muggeo2003estimating"/>
    <w:p>
      <w:pPr>
        <w:pStyle w:val="Bibliography"/>
      </w:pPr>
      <w:r>
        <w:t xml:space="preserve">Muggeo, Vito M. R. 2003.</w:t>
      </w:r>
      <w:r>
        <w:t xml:space="preserve"> </w:t>
      </w:r>
      <w:r>
        <w:t xml:space="preserve">“Estimating Regression Models with Unknown Break-Points.”</w:t>
      </w:r>
      <w:r>
        <w:t xml:space="preserve"> </w:t>
      </w:r>
      <w:r>
        <w:rPr>
          <w:i/>
          <w:iCs/>
        </w:rPr>
        <w:t xml:space="preserve">Statistics in Medicine</w:t>
      </w:r>
      <w:r>
        <w:t xml:space="preserve"> </w:t>
      </w:r>
      <w:r>
        <w:t xml:space="preserve">22 (19): 3055–71.</w:t>
      </w:r>
      <w:r>
        <w:t xml:space="preserve"> </w:t>
      </w:r>
      <w:hyperlink r:id="rId97">
        <w:r>
          <w:rPr>
            <w:rStyle w:val="Hyperlink"/>
          </w:rPr>
          <w:t xml:space="preserve">https://doi.org/10.1002/sim.1545</w:t>
        </w:r>
      </w:hyperlink>
      <w:r>
        <w:t xml:space="preserve">.</w:t>
      </w:r>
    </w:p>
    <w:bookmarkEnd w:id="98"/>
    <w:bookmarkStart w:id="100"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99">
        <w:r>
          <w:rPr>
            <w:rStyle w:val="Hyperlink"/>
          </w:rPr>
          <w:t xml:space="preserve">https://doi.org/10.2307/1913646</w:t>
        </w:r>
      </w:hyperlink>
      <w:r>
        <w:t xml:space="preserve">.</w:t>
      </w:r>
    </w:p>
    <w:bookmarkEnd w:id="100"/>
    <w:bookmarkStart w:id="102"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101">
        <w:r>
          <w:rPr>
            <w:rStyle w:val="Hyperlink"/>
          </w:rPr>
          <w:t xml:space="preserve">https://github.com/itchyshin/prepR4pcm</w:t>
        </w:r>
      </w:hyperlink>
      <w:r>
        <w:t xml:space="preserve">.</w:t>
      </w:r>
    </w:p>
    <w:bookmarkEnd w:id="102"/>
    <w:bookmarkStart w:id="104"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103">
        <w:r>
          <w:rPr>
            <w:rStyle w:val="Hyperlink"/>
          </w:rPr>
          <w:t xml:space="preserve">https://doi.org/10.1111/2041-210X.12309</w:t>
        </w:r>
      </w:hyperlink>
      <w:r>
        <w:t xml:space="preserve">.</w:t>
      </w:r>
    </w:p>
    <w:bookmarkEnd w:id="104"/>
    <w:bookmarkStart w:id="106"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105">
        <w:r>
          <w:rPr>
            <w:rStyle w:val="Hyperlink"/>
          </w:rPr>
          <w:t xml:space="preserve">https://doi.org/10.1093/sysbio/syy089</w:t>
        </w:r>
      </w:hyperlink>
      <w:r>
        <w:t xml:space="preserve">.</w:t>
      </w:r>
    </w:p>
    <w:bookmarkEnd w:id="106"/>
    <w:bookmarkStart w:id="108"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107">
        <w:r>
          <w:rPr>
            <w:rStyle w:val="Hyperlink"/>
          </w:rPr>
          <w:t xml:space="preserve">https://doi.org/10.1038/nature01286</w:t>
        </w:r>
      </w:hyperlink>
      <w:r>
        <w:t xml:space="preserve">.</w:t>
      </w:r>
    </w:p>
    <w:bookmarkEnd w:id="108"/>
    <w:bookmarkStart w:id="110"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109">
        <w:r>
          <w:rPr>
            <w:rStyle w:val="Hyperlink"/>
          </w:rPr>
          <w:t xml:space="preserve">https://doi.org/10.1016/j.biocon.2009.02.021</w:t>
        </w:r>
      </w:hyperlink>
      <w:r>
        <w:t xml:space="preserve">.</w:t>
      </w:r>
    </w:p>
    <w:bookmarkEnd w:id="110"/>
    <w:bookmarkStart w:id="112"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111">
        <w:r>
          <w:rPr>
            <w:rStyle w:val="Hyperlink"/>
          </w:rPr>
          <w:t xml:space="preserve">https://doi.org/10.1002/ecy.2647</w:t>
        </w:r>
      </w:hyperlink>
      <w:r>
        <w:t xml:space="preserve">.</w:t>
      </w:r>
    </w:p>
    <w:bookmarkEnd w:id="112"/>
    <w:bookmarkStart w:id="114"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113">
        <w:r>
          <w:rPr>
            <w:rStyle w:val="Hyperlink"/>
          </w:rPr>
          <w:t xml:space="preserve">https://doi.org/10.1016/j.tree.2021.07.006</w:t>
        </w:r>
      </w:hyperlink>
      <w:r>
        <w:t xml:space="preserve">.</w:t>
      </w:r>
    </w:p>
    <w:bookmarkEnd w:id="114"/>
    <w:bookmarkStart w:id="116"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15">
        <w:r>
          <w:rPr>
            <w:rStyle w:val="Hyperlink"/>
          </w:rPr>
          <w:t xml:space="preserve">https://doi.org/10/gf389w</w:t>
        </w:r>
      </w:hyperlink>
      <w:r>
        <w:t xml:space="preserve">.</w:t>
      </w:r>
    </w:p>
    <w:bookmarkEnd w:id="116"/>
    <w:bookmarkStart w:id="118"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17">
        <w:r>
          <w:rPr>
            <w:rStyle w:val="Hyperlink"/>
          </w:rPr>
          <w:t xml:space="preserve">https://doi.org/10.1038/nclimate1259</w:t>
        </w:r>
      </w:hyperlink>
      <w:r>
        <w:t xml:space="preserve">.</w:t>
      </w:r>
    </w:p>
    <w:bookmarkEnd w:id="118"/>
    <w:bookmarkStart w:id="120"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119">
        <w:r>
          <w:rPr>
            <w:rStyle w:val="Hyperlink"/>
          </w:rPr>
          <w:t xml:space="preserve">https://doi.org/10.1002/ecy.3580</w:t>
        </w:r>
      </w:hyperlink>
      <w:r>
        <w:t xml:space="preserve">.</w:t>
      </w:r>
    </w:p>
    <w:bookmarkEnd w:id="120"/>
    <w:bookmarkStart w:id="122"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21">
        <w:r>
          <w:rPr>
            <w:rStyle w:val="Hyperlink"/>
          </w:rPr>
          <w:t xml:space="preserve">https://doi.org/10.1111/eva.12129</w:t>
        </w:r>
      </w:hyperlink>
      <w:r>
        <w:t xml:space="preserve">.</w:t>
      </w:r>
    </w:p>
    <w:bookmarkEnd w:id="122"/>
    <w:bookmarkStart w:id="124"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23">
        <w:r>
          <w:rPr>
            <w:rStyle w:val="Hyperlink"/>
          </w:rPr>
          <w:t xml:space="preserve">https://doi.org/10.1073/pnas.0800999105</w:t>
        </w:r>
      </w:hyperlink>
      <w:r>
        <w:t xml:space="preserve">.</w:t>
      </w:r>
    </w:p>
    <w:bookmarkEnd w:id="124"/>
    <w:bookmarkStart w:id="126"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25">
        <w:r>
          <w:rPr>
            <w:rStyle w:val="Hyperlink"/>
          </w:rPr>
          <w:t xml:space="preserve">https://doi.org/10.18637/jss.v036.i03</w:t>
        </w:r>
      </w:hyperlink>
      <w:r>
        <w:t xml:space="preserve">.</w:t>
      </w:r>
    </w:p>
    <w:bookmarkEnd w:id="126"/>
    <w:bookmarkStart w:id="128"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27">
        <w:r>
          <w:rPr>
            <w:rStyle w:val="Hyperlink"/>
          </w:rPr>
          <w:t xml:space="preserve">https://doi.org/10.1111/ele.13434</w:t>
        </w:r>
      </w:hyperlink>
      <w:r>
        <w:t xml:space="preserve">.</w:t>
      </w:r>
    </w:p>
    <w:bookmarkEnd w:id="128"/>
    <w:bookmarkStart w:id="130"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29">
        <w:r>
          <w:rPr>
            <w:rStyle w:val="Hyperlink"/>
          </w:rPr>
          <w:t xml:space="preserve">https://doi.org/10.64898/2025.12.20.695312</w:t>
        </w:r>
      </w:hyperlink>
      <w:r>
        <w:t xml:space="preserve">.</w:t>
      </w:r>
    </w:p>
    <w:bookmarkEnd w:id="130"/>
    <w:bookmarkStart w:id="131"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31"/>
    <w:bookmarkEnd w:id="132"/>
    <w:bookmarkEnd w:id="133"/>
    <w:bookmarkEnd w:id="134"/>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15" Target="media/rId15.png" /><Relationship Type="http://schemas.openxmlformats.org/officeDocument/2006/relationships/image" Id="rId42" Target="media/rId42.png" /><Relationship Type="http://schemas.openxmlformats.org/officeDocument/2006/relationships/image" Id="rId21" Target="media/rId21.png" /><Relationship Type="http://schemas.openxmlformats.org/officeDocument/2006/relationships/hyperlink" Id="rId111" Target="https://doi.org/10.1002/ecy.2647" TargetMode="External" /><Relationship Type="http://schemas.openxmlformats.org/officeDocument/2006/relationships/hyperlink" Id="rId119" Target="https://doi.org/10.1002/ecy.3580" TargetMode="External" /><Relationship Type="http://schemas.openxmlformats.org/officeDocument/2006/relationships/hyperlink" Id="rId97" Target="https://doi.org/10.1002/sim.1545" TargetMode="External" /><Relationship Type="http://schemas.openxmlformats.org/officeDocument/2006/relationships/hyperlink" Id="rId78" Target="https://doi.org/10.1007/s11135-018-0802-x" TargetMode="External" /><Relationship Type="http://schemas.openxmlformats.org/officeDocument/2006/relationships/hyperlink" Id="rId109" Target="https://doi.org/10.1016/j.biocon.2009.02.021" TargetMode="External" /><Relationship Type="http://schemas.openxmlformats.org/officeDocument/2006/relationships/hyperlink" Id="rId82" Target="https://doi.org/10.1016/j.tree.2011.03.005" TargetMode="External" /><Relationship Type="http://schemas.openxmlformats.org/officeDocument/2006/relationships/hyperlink" Id="rId113" Target="https://doi.org/10.1016/j.tree.2021.07.006" TargetMode="External" /><Relationship Type="http://schemas.openxmlformats.org/officeDocument/2006/relationships/hyperlink" Id="rId89" Target="https://doi.org/10.1029/2018JD029522" TargetMode="External" /><Relationship Type="http://schemas.openxmlformats.org/officeDocument/2006/relationships/hyperlink" Id="rId107" Target="https://doi.org/10.1038/nature01286" TargetMode="External" /><Relationship Type="http://schemas.openxmlformats.org/officeDocument/2006/relationships/hyperlink" Id="rId117" Target="https://doi.org/10.1038/nclimate1259" TargetMode="External" /><Relationship Type="http://schemas.openxmlformats.org/officeDocument/2006/relationships/hyperlink" Id="rId84" Target="https://doi.org/10.1038/s41597-020-0453-3" TargetMode="External" /><Relationship Type="http://schemas.openxmlformats.org/officeDocument/2006/relationships/hyperlink" Id="rId76" Target="https://doi.org/10.1046/j.1466-822X.2002.00313.x" TargetMode="External" /><Relationship Type="http://schemas.openxmlformats.org/officeDocument/2006/relationships/hyperlink" Id="rId123" Target="https://doi.org/10.1073/pnas.0800999105" TargetMode="External" /><Relationship Type="http://schemas.openxmlformats.org/officeDocument/2006/relationships/hyperlink" Id="rId95" Target="https://doi.org/10.1073/pnas.2409658122" TargetMode="External" /><Relationship Type="http://schemas.openxmlformats.org/officeDocument/2006/relationships/hyperlink" Id="rId105" Target="https://doi.org/10.1093/sysbio/syy089" TargetMode="External" /><Relationship Type="http://schemas.openxmlformats.org/officeDocument/2006/relationships/hyperlink" Id="rId91" Target="https://doi.org/10.1098/rsbl.2022.0219" TargetMode="External" /><Relationship Type="http://schemas.openxmlformats.org/officeDocument/2006/relationships/hyperlink" Id="rId103" Target="https://doi.org/10.1111/2041-210X.12309" TargetMode="External" /><Relationship Type="http://schemas.openxmlformats.org/officeDocument/2006/relationships/hyperlink" Id="rId127" Target="https://doi.org/10.1111/ele.13434" TargetMode="External" /><Relationship Type="http://schemas.openxmlformats.org/officeDocument/2006/relationships/hyperlink" Id="rId121" Target="https://doi.org/10.1111/eva.12129" TargetMode="External" /><Relationship Type="http://schemas.openxmlformats.org/officeDocument/2006/relationships/hyperlink" Id="rId87" Target="https://doi.org/10.1126/sciadv.abk1743" TargetMode="External" /><Relationship Type="http://schemas.openxmlformats.org/officeDocument/2006/relationships/hyperlink" Id="rId125" Target="https://doi.org/10.18637/jss.v036.i03" TargetMode="External" /><Relationship Type="http://schemas.openxmlformats.org/officeDocument/2006/relationships/hyperlink" Id="rId99" Target="https://doi.org/10.2307/1913646" TargetMode="External" /><Relationship Type="http://schemas.openxmlformats.org/officeDocument/2006/relationships/hyperlink" Id="rId93" Target="https://doi.org/10.2307/2406103" TargetMode="External" /><Relationship Type="http://schemas.openxmlformats.org/officeDocument/2006/relationships/hyperlink" Id="rId129" Target="https://doi.org/10.64898/2025.12.20.695312" TargetMode="External" /><Relationship Type="http://schemas.openxmlformats.org/officeDocument/2006/relationships/hyperlink" Id="rId115"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101" Target="https://github.com/itchyshin/prepR4pcm" TargetMode="External" /><Relationship Type="http://schemas.openxmlformats.org/officeDocument/2006/relationships/hyperlink" Id="rId80"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ecy.2647" TargetMode="External" /><Relationship Type="http://schemas.openxmlformats.org/officeDocument/2006/relationships/hyperlink" Id="rId119" Target="https://doi.org/10.1002/ecy.3580" TargetMode="External" /><Relationship Type="http://schemas.openxmlformats.org/officeDocument/2006/relationships/hyperlink" Id="rId97" Target="https://doi.org/10.1002/sim.1545" TargetMode="External" /><Relationship Type="http://schemas.openxmlformats.org/officeDocument/2006/relationships/hyperlink" Id="rId78" Target="https://doi.org/10.1007/s11135-018-0802-x" TargetMode="External" /><Relationship Type="http://schemas.openxmlformats.org/officeDocument/2006/relationships/hyperlink" Id="rId109" Target="https://doi.org/10.1016/j.biocon.2009.02.021" TargetMode="External" /><Relationship Type="http://schemas.openxmlformats.org/officeDocument/2006/relationships/hyperlink" Id="rId82" Target="https://doi.org/10.1016/j.tree.2011.03.005" TargetMode="External" /><Relationship Type="http://schemas.openxmlformats.org/officeDocument/2006/relationships/hyperlink" Id="rId113" Target="https://doi.org/10.1016/j.tree.2021.07.006" TargetMode="External" /><Relationship Type="http://schemas.openxmlformats.org/officeDocument/2006/relationships/hyperlink" Id="rId89" Target="https://doi.org/10.1029/2018JD029522" TargetMode="External" /><Relationship Type="http://schemas.openxmlformats.org/officeDocument/2006/relationships/hyperlink" Id="rId107" Target="https://doi.org/10.1038/nature01286" TargetMode="External" /><Relationship Type="http://schemas.openxmlformats.org/officeDocument/2006/relationships/hyperlink" Id="rId117" Target="https://doi.org/10.1038/nclimate1259" TargetMode="External" /><Relationship Type="http://schemas.openxmlformats.org/officeDocument/2006/relationships/hyperlink" Id="rId84" Target="https://doi.org/10.1038/s41597-020-0453-3" TargetMode="External" /><Relationship Type="http://schemas.openxmlformats.org/officeDocument/2006/relationships/hyperlink" Id="rId76" Target="https://doi.org/10.1046/j.1466-822X.2002.00313.x" TargetMode="External" /><Relationship Type="http://schemas.openxmlformats.org/officeDocument/2006/relationships/hyperlink" Id="rId123" Target="https://doi.org/10.1073/pnas.0800999105" TargetMode="External" /><Relationship Type="http://schemas.openxmlformats.org/officeDocument/2006/relationships/hyperlink" Id="rId95" Target="https://doi.org/10.1073/pnas.2409658122" TargetMode="External" /><Relationship Type="http://schemas.openxmlformats.org/officeDocument/2006/relationships/hyperlink" Id="rId105" Target="https://doi.org/10.1093/sysbio/syy089" TargetMode="External" /><Relationship Type="http://schemas.openxmlformats.org/officeDocument/2006/relationships/hyperlink" Id="rId91" Target="https://doi.org/10.1098/rsbl.2022.0219" TargetMode="External" /><Relationship Type="http://schemas.openxmlformats.org/officeDocument/2006/relationships/hyperlink" Id="rId103" Target="https://doi.org/10.1111/2041-210X.12309" TargetMode="External" /><Relationship Type="http://schemas.openxmlformats.org/officeDocument/2006/relationships/hyperlink" Id="rId127" Target="https://doi.org/10.1111/ele.13434" TargetMode="External" /><Relationship Type="http://schemas.openxmlformats.org/officeDocument/2006/relationships/hyperlink" Id="rId121" Target="https://doi.org/10.1111/eva.12129" TargetMode="External" /><Relationship Type="http://schemas.openxmlformats.org/officeDocument/2006/relationships/hyperlink" Id="rId87" Target="https://doi.org/10.1126/sciadv.abk1743" TargetMode="External" /><Relationship Type="http://schemas.openxmlformats.org/officeDocument/2006/relationships/hyperlink" Id="rId125" Target="https://doi.org/10.18637/jss.v036.i03" TargetMode="External" /><Relationship Type="http://schemas.openxmlformats.org/officeDocument/2006/relationships/hyperlink" Id="rId99" Target="https://doi.org/10.2307/1913646" TargetMode="External" /><Relationship Type="http://schemas.openxmlformats.org/officeDocument/2006/relationships/hyperlink" Id="rId93" Target="https://doi.org/10.2307/2406103" TargetMode="External" /><Relationship Type="http://schemas.openxmlformats.org/officeDocument/2006/relationships/hyperlink" Id="rId129" Target="https://doi.org/10.64898/2025.12.20.695312" TargetMode="External" /><Relationship Type="http://schemas.openxmlformats.org/officeDocument/2006/relationships/hyperlink" Id="rId115"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101" Target="https://github.com/itchyshin/prepR4pcm" TargetMode="External" /><Relationship Type="http://schemas.openxmlformats.org/officeDocument/2006/relationships/hyperlink" Id="rId80"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2026-09-10T22:45:18Z</dcterms:created>
  <dcterms:modified xsi:type="dcterms:W3CDTF">2026-09-10T22:45:18Z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