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0.png" ContentType="image/png"/>
  <Override PartName="/word/media/rId25.png" ContentType="image/png"/>
  <Override PartName="/word/media/rId15.png" ContentType="image/png"/>
  <Override PartName="/word/media/rId3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is widely hypothesized as a universal ecological response of endotherms to anthropogenic climate warming. In tropical biomes, empirical evaluations of multi-decadal phenotypic trends remain scarce. In the continuous primary rainforests of the central Amazon, 77 resident understorey bird species were recently documented to exhibit near-universal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width,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remarkable stability in body mass (−0.91%/decade, 95% CI: −2.72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with wing data have intervals overlapping zero, demonstrating community-wide heterogeneity rather than uniform shrinkage. Bill width remains constant over time (−0.03 mm/decade, 95% CI: −0.18 to +0.13 mm/decade), refuting generalized thermoregulatory appendage expansion under Allen’s rule. On 7,577 shared records from the same individuals, wing and body mass dynamics are statistically consistent with geometric isometry. Furthermore,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notable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proportions maintain geometric scaling.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universal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landmark breakthrough was provided by</w:t>
      </w:r>
      <w:r>
        <w:t xml:space="preserve"> </w:t>
      </w:r>
      <w:r>
        <w:t xml:space="preserve">Jirinec et al. (2021)</w:t>
      </w:r>
      <w:r>
        <w:t xml:space="preserve">, who analyzed four decades (1979–2019) of standardized field measurements from 77 non-migratory understorey bird species in the continuous, undisturbed primary rainforests of the central Amazon (Biological Dynamics of Forest Fragments Project, BDFFP). They documented near-universal declines in body mass alongside wing elongation across roughly a third of species, resulting in widespread reductions in mass-to-wing ratio (wing loading). This decoupling was interpreted as an adaptive shift to enhance flight economy and minimize metabolic heat production during foraging in an increasingly warm and resource-limited tropical understorey</w:t>
      </w:r>
      <w:r>
        <w:t xml:space="preserve"> </w:t>
      </w:r>
      <w:r>
        <w:t xml:space="preserve">(Jirinec et al. 2021)</w:t>
      </w:r>
      <w:r>
        <w:t xml:space="preserve">.</w:t>
      </w:r>
    </w:p>
    <w:p>
      <w:pPr>
        <w:pStyle w:val="BodyText"/>
      </w:pPr>
      <w:r>
        <w:t xml:space="preserve">Whether such morphological trajectories represent a universal tropical syndrome or reflect local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Does bill width expand over time, testing Allen’s rule for thermoregulatory extremity enlargement?</w:t>
      </w:r>
      <w:r>
        <w:t xml:space="preserve"> </w:t>
      </w:r>
      <w:r>
        <w:t xml:space="preserve">(4) Are wing length and body mass decoupled on the same individuals, testing departures from geometric isometry?</w:t>
      </w:r>
      <w:r>
        <w:t xml:space="preserve"> </w:t>
      </w:r>
      <w:r>
        <w:t xml:space="preserve">(5) Does among-individual phenotypic variability expand under warming, and does dietary reliance on invertebrates modulate morphological sensitivity to climate trends?</w:t>
      </w:r>
    </w:p>
    <w:bookmarkEnd w:id="9"/>
    <w:bookmarkStart w:id="43"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 across 72 species;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across the three focal traits revealed substantial variation across the avian community (</w:t>
      </w:r>
      <w:hyperlink w:anchor="fig-trends">
        <w:r>
          <w:rPr>
            <w:rStyle w:val="Hyperlink"/>
          </w:rPr>
          <w:t xml:space="preserve">Figure 2</w:t>
        </w:r>
      </w:hyperlink>
      <w:r>
        <w:t xml:space="preserve">): wing length exhibited decreases in 43 species and increases in 18 species (</w:t>
      </w:r>
      <w:hyperlink w:anchor="fig-trends">
        <w:r>
          <w:rPr>
            <w:rStyle w:val="Hyperlink"/>
          </w:rPr>
          <w:t xml:space="preserve">Figure 2</w:t>
        </w:r>
      </w:hyperlink>
      <w:r>
        <w:t xml:space="preserve"> </w:t>
      </w:r>
      <w:r>
        <w:t xml:space="preserve">A), body mass decreased in 36 species and increased in 26 species (</w:t>
      </w:r>
      <w:hyperlink w:anchor="fig-trends">
        <w:r>
          <w:rPr>
            <w:rStyle w:val="Hyperlink"/>
          </w:rPr>
          <w:t xml:space="preserve">Figure 2</w:t>
        </w:r>
      </w:hyperlink>
      <w:r>
        <w:t xml:space="preserve"> </w:t>
      </w:r>
      <w:r>
        <w:t xml:space="preserve">B), and bill width decreased in 13 species and increased in 31 species (</w:t>
      </w:r>
      <w:hyperlink w:anchor="fig-trends">
        <w:r>
          <w:rPr>
            <w:rStyle w:val="Hyperlink"/>
          </w:rPr>
          <w:t xml:space="preserve">Figure 2</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2109297"/>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210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body mass, and bill width between early and late sampling periods. Paired per-species means between the early (1995–2006) and late (2013–2018) periods for (A) wing length (</w:t>
            </w:r>
            <m:oMath>
              <m:r>
                <m:t>n</m:t>
              </m:r>
              <m:r>
                <m:rPr>
                  <m:sty m:val="p"/>
                </m:rPr>
                <m:t>=</m:t>
              </m:r>
              <m:r>
                <m:t>61</m:t>
              </m:r>
            </m:oMath>
            <w:r>
              <w:t xml:space="preserve"> </w:t>
            </w:r>
            <w:r>
              <w:t xml:space="preserve">species), (B) body mass (</w:t>
            </w:r>
            <m:oMath>
              <m:r>
                <m:t>n</m:t>
              </m:r>
              <m:r>
                <m:rPr>
                  <m:sty m:val="p"/>
                </m:rPr>
                <m:t>=</m:t>
              </m:r>
              <m:r>
                <m:t>62</m:t>
              </m:r>
            </m:oMath>
            <w:r>
              <w:t xml:space="preserve"> </w:t>
            </w:r>
            <w:r>
              <w:t xml:space="preserve">species), and (C) bill width (</w:t>
            </w:r>
            <m:oMath>
              <m:r>
                <m:t>n</m:t>
              </m:r>
              <m:r>
                <m:rPr>
                  <m:sty m:val="p"/>
                </m:rPr>
                <m:t>=</m:t>
              </m:r>
              <m:r>
                <m:t>44</m:t>
              </m:r>
            </m:oMath>
            <w:r>
              <w:t xml:space="preserve"> </w:t>
            </w:r>
            <w:r>
              <w:t xml:space="preserve">species)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and municipality (M1) immediately halved the estimated rate of decline to</w:t>
      </w:r>
      <w:r>
        <w:t xml:space="preserve"> </w:t>
      </w:r>
      <m:oMath>
        <m:r>
          <m:t>β</m:t>
        </m:r>
        <m:r>
          <m:rPr>
            <m:sty m:val="p"/>
          </m:rPr>
          <m:t>=</m:t>
        </m:r>
        <m:r>
          <m:rPr>
            <m:sty m:val="p"/>
          </m:rPr>
          <m:t>−</m:t>
        </m:r>
        <m:r>
          <m:t>0.53</m:t>
        </m:r>
      </m:oMath>
      <w:r>
        <w:t xml:space="preserve"> </w:t>
      </w:r>
      <w:r>
        <w:t xml:space="preserve">mm/SD-year (−1.1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with wing measurements displayed negative point estimates, 61 of 72 species had 95% intervals overlapping zero (one species in the 73-species analytical sample,</w:t>
      </w:r>
      <w:r>
        <w:t xml:space="preserve"> </w:t>
      </w:r>
      <w:r>
        <w:rPr>
          <w:i/>
          <w:iCs/>
        </w:rPr>
        <w:t xml:space="preserve">Herpsilochmus pectoralis</w:t>
      </w:r>
      <w:r>
        <w:t xml:space="preserve">, lacked wing length and body mass data and was measured only for bill and tarsus traits).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31" w:name="Xe386fa2e79ea564ffc4e1aa08f79406f162231b"/>
    <w:p>
      <w:pPr>
        <w:pStyle w:val="Heading2"/>
      </w:pPr>
      <w:r>
        <w:t xml:space="preserve">2.3 Body mass stability and wing–mass allometry on shared individuals</w:t>
      </w:r>
    </w:p>
    <w:p>
      <w:pPr>
        <w:pStyle w:val="FirstParagraph"/>
      </w:pPr>
      <w:r>
        <w:t xml:space="preserve">In striking contrast to the pervasive body mass declines documented in the central Amazon</w:t>
      </w:r>
      <w:r>
        <w:t xml:space="preserve"> </w:t>
      </w:r>
      <w:r>
        <w:t xml:space="preserve">(Jirinec et al. 2021)</w:t>
      </w:r>
      <w:r>
        <w:t xml:space="preserve">, Atlantic Forest passerines exhibited remarkable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ass-allometry">
        <w:r>
          <w:rPr>
            <w:rStyle w:val="Hyperlink"/>
          </w:rPr>
          <w:t xml:space="preserve">Table 2</w:t>
        </w:r>
      </w:hyperlink>
      <w:r>
        <w:t xml:space="preserve">). In an unadjusted baseline phylogenetic model (M0) that accounted only for sex, latitude, species random slopes, and 50 phylogenetic trees, log body mass showed a slight, non-significant downward trend:</w:t>
      </w:r>
      <w:r>
        <w:t xml:space="preserve"> </w:t>
      </w:r>
      <m:oMath>
        <m:r>
          <m:t>β</m:t>
        </m:r>
        <m:r>
          <m:rPr>
            <m:sty m:val="p"/>
          </m:rPr>
          <m:t>=</m:t>
        </m:r>
        <m:r>
          <m:rPr>
            <m:sty m:val="p"/>
          </m:rPr>
          <m:t>−</m:t>
        </m:r>
        <m:r>
          <m:t>0.0072</m:t>
        </m:r>
      </m:oMath>
      <w:r>
        <w:t xml:space="preserve"> </w:t>
      </w:r>
      <w:r>
        <w:t xml:space="preserve">per SD-year (95% CI: −0.0165 to 0.0021, corresponding to −1.4%/decade;</w:t>
      </w:r>
      <w:r>
        <w:t xml:space="preserve"> </w:t>
      </w:r>
      <w:hyperlink w:anchor="tbl-mass-allometry">
        <w:r>
          <w:rPr>
            <w:rStyle w:val="Hyperlink"/>
          </w:rPr>
          <w:t xml:space="preserve">Table 2</w:t>
        </w:r>
      </w:hyperlink>
      <w:r>
        <w:t xml:space="preserve">).</w:t>
      </w:r>
    </w:p>
    <w:p>
      <w:pPr>
        <w:pStyle w:val="BodyText"/>
      </w:pPr>
      <w:r>
        <w:t xml:space="preserve">Accounting for observer identity and municipality (M1) reduced this slope to</w:t>
      </w:r>
      <w:r>
        <w:t xml:space="preserve"> </w:t>
      </w:r>
      <m:oMath>
        <m:r>
          <m:t>β</m:t>
        </m:r>
        <m:r>
          <m:rPr>
            <m:sty m:val="p"/>
          </m:rPr>
          <m:t>=</m:t>
        </m:r>
        <m:r>
          <m:rPr>
            <m:sty m:val="p"/>
          </m:rPr>
          <m:t>−</m:t>
        </m:r>
        <m:r>
          <m:t>0.0056</m:t>
        </m:r>
      </m:oMath>
      <w:r>
        <w:t xml:space="preserve"> </w:t>
      </w:r>
      <w:r>
        <w:t xml:space="preserve">per SD-year (95% CI: −0.0164 to 0.0051, −1.1%/decade;</w:t>
      </w:r>
      <w:r>
        <w:t xml:space="preserve"> </w:t>
      </w:r>
      <w:hyperlink w:anchor="tbl-mass-allometry">
        <w:r>
          <w:rPr>
            <w:rStyle w:val="Hyperlink"/>
          </w:rPr>
          <w:t xml:space="preserve">Table 2</w:t>
        </w:r>
      </w:hyperlink>
      <w:r>
        <w:t xml:space="preserve">). In the fully controlled phylogenetic model (M3)—which additionally incorporated season, active moult, individual band identity, and 50 trees—body mass remained completely stable:</w:t>
      </w:r>
      <w:r>
        <w:t xml:space="preserve"> </w:t>
      </w:r>
      <m:oMath>
        <m:r>
          <m:t>β</m:t>
        </m:r>
        <m:r>
          <m:rPr>
            <m:sty m:val="p"/>
          </m:rPr>
          <m:t>=</m:t>
        </m:r>
        <m:r>
          <m:rPr>
            <m:sty m:val="p"/>
          </m:rPr>
          <m:t>−</m:t>
        </m:r>
        <m:r>
          <m:t>0.0046</m:t>
        </m:r>
      </m:oMath>
      <w:r>
        <w:t xml:space="preserve"> </w:t>
      </w:r>
      <w:r>
        <w:t xml:space="preserve">per SD-year (95% CI: −0.0138 to 0.0047, −0.9%/decade;</w:t>
      </w:r>
      <w:r>
        <w:t xml:space="preserve"> </w:t>
      </w:r>
      <w:hyperlink w:anchor="tbl-mass-allometry">
        <w:r>
          <w:rPr>
            <w:rStyle w:val="Hyperlink"/>
          </w:rPr>
          <w:t xml:space="preserve">Table 2</w:t>
        </w:r>
      </w:hyperlink>
      <w:r>
        <w:t xml:space="preserve">). Crucially, evaluating temporal change strictly within the same field researcher via a Mundlak random-effects model yielded a within-observer slope indistinguishable from zero (</w:t>
      </w:r>
      <m:oMath>
        <m:r>
          <m:t>β</m:t>
        </m:r>
        <m:r>
          <m:rPr>
            <m:sty m:val="p"/>
          </m:rPr>
          <m:t>=</m:t>
        </m:r>
        <m:r>
          <m:rPr>
            <m:sty m:val="p"/>
          </m:rPr>
          <m:t>−</m:t>
        </m:r>
        <m:r>
          <m:t>0.0032</m:t>
        </m:r>
      </m:oMath>
      <w:r>
        <w:t xml:space="preserve"> </w:t>
      </w:r>
      <w:r>
        <w:t xml:space="preserve">per SD-year, 95% CI: −0.0104 to 0.0041, −0.6%/decade;</w:t>
      </w:r>
      <w:r>
        <w:t xml:space="preserve"> </w:t>
      </w:r>
      <w:hyperlink w:anchor="tbl-mass-allomet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ass-allometry"/>
          <w:p>
            <w:pPr>
              <w:jc w:val="center"/>
            </w:pPr>
            <w:pPr>
              <w:jc w:val="left"/>
              <w:spacing w:before="200"/>
              <w:pStyle w:val="ImageCaption"/>
            </w:pPr>
            <w:r>
              <w:t xml:space="preserve">Table 2: 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307"/>
              <w:gridCol w:w="972"/>
              <w:gridCol w:w="1250"/>
              <w:gridCol w:w="903"/>
              <w:gridCol w:w="486"/>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Body mass: M1 (+ Observer + Municipality intercepts)</w:t>
                  </w:r>
                </w:p>
              </w:tc>
              <w:tc>
                <w:tcPr/>
                <w:p>
                  <w:pPr>
                    <w:pStyle w:val="Compact"/>
                    <w:jc w:val="left"/>
                    <w:jc w:val="center"/>
                  </w:pPr>
                  <w:r>
                    <w:t xml:space="preserve">−0.0056</w:t>
                  </w:r>
                </w:p>
              </w:tc>
              <w:tc>
                <w:tcPr/>
                <w:p>
                  <w:pPr>
                    <w:pStyle w:val="Compact"/>
                    <w:jc w:val="left"/>
                    <w:jc w:val="center"/>
                  </w:pPr>
                  <w:r>
                    <w:t xml:space="preserve">[−0.0164, 0.0051]</w:t>
                  </w:r>
                </w:p>
              </w:tc>
              <w:tc>
                <w:tcPr/>
                <w:p>
                  <w:pPr>
                    <w:pStyle w:val="Compact"/>
                    <w:jc w:val="left"/>
                    <w:jc w:val="center"/>
                  </w:pPr>
                  <w:r>
                    <w:t xml:space="preserve">−1.1%</w:t>
                  </w:r>
                </w:p>
              </w:tc>
              <w:tc>
                <w:tcPr/>
                <w:p>
                  <w:pPr>
                    <w:pStyle w:val="Compact"/>
                    <w:jc w:val="left"/>
                    <w:jc w:val="center"/>
                  </w:pPr>
                  <w:r>
                    <w:t xml:space="preserve">11,256</w:t>
                  </w:r>
                </w:p>
              </w:tc>
            </w:tr>
            <w:tr>
              <w:tc>
                <w:tcPr/>
                <w:p>
                  <w:pPr>
                    <w:pStyle w:val="Compact"/>
                    <w:jc w:val="left"/>
                    <w:jc w:val="center"/>
                  </w:pPr>
                  <w:r>
                    <w:t xml:space="preserve">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Body mass: Mundlak within-observer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Body mass: Diurnal capture hour model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w:t>
                  </w:r>
                </w:p>
              </w:tc>
              <w:tc>
                <w:tcPr/>
                <w:p>
                  <w:pPr>
                    <w:pStyle w:val="Compact"/>
                    <w:jc w:val="left"/>
                    <w:jc w:val="center"/>
                  </w:pPr>
                  <w:r>
                    <w:t xml:space="preserve">—</w:t>
                  </w:r>
                </w:p>
              </w:tc>
              <w:tc>
                <w:tcPr/>
                <w:p>
                  <w:pPr>
                    <w:pStyle w:val="Compact"/>
                    <w:jc w:val="left"/>
                    <w:jc w:val="center"/>
                  </w:pPr>
                  <w:r>
                    <w:t xml:space="preserve">[−2.7, −0.4]</w:t>
                  </w:r>
                </w:p>
              </w:tc>
              <w:tc>
                <w:tcPr/>
                <w:p>
                  <w:pPr>
                    <w:pStyle w:val="Compact"/>
                    <w:jc w:val="left"/>
                    <w:jc w:val="center"/>
                  </w:pPr>
                  <w:r>
                    <w:t xml:space="preserve">−1.5%</w:t>
                  </w:r>
                </w:p>
              </w:tc>
              <w:tc>
                <w:tcPr/>
                <w:p>
                  <w:pPr>
                    <w:pStyle w:val="Compact"/>
                    <w:jc w:val="left"/>
                    <w:jc w:val="center"/>
                  </w:pPr>
                  <w:r>
                    <w:t xml:space="preserve">7,577</w:t>
                  </w:r>
                </w:p>
              </w:tc>
            </w:tr>
            <w:tr>
              <w:tc>
                <w:tcPr/>
                <w:p>
                  <w:pPr>
                    <w:pStyle w:val="Compact"/>
                    <w:jc w:val="left"/>
                    <w:jc w:val="center"/>
                  </w:pPr>
                  <w:r>
                    <w:t xml:space="preserve">Shared records (N = 7,577): Body mass rate</w:t>
                  </w:r>
                </w:p>
              </w:tc>
              <w:tc>
                <w:tcPr/>
                <w:p>
                  <w:pPr>
                    <w:pStyle w:val="Compact"/>
                    <w:jc w:val="left"/>
                    <w:jc w:val="center"/>
                  </w:pPr>
                  <w:r>
                    <w:t xml:space="preserve">—</w:t>
                  </w:r>
                </w:p>
              </w:tc>
              <w:tc>
                <w:tcPr/>
                <w:p>
                  <w:pPr>
                    <w:pStyle w:val="Compact"/>
                    <w:jc w:val="left"/>
                    <w:jc w:val="center"/>
                  </w:pPr>
                  <w:r>
                    <w:t xml:space="preserve">[−2.7, 1.6]</w:t>
                  </w:r>
                </w:p>
              </w:tc>
              <w:tc>
                <w:tcPr/>
                <w:p>
                  <w:pPr>
                    <w:pStyle w:val="Compact"/>
                    <w:jc w:val="left"/>
                    <w:jc w:val="center"/>
                  </w:pPr>
                  <w:r>
                    <w:t xml:space="preserve">−0.5%</w:t>
                  </w:r>
                </w:p>
              </w:tc>
              <w:tc>
                <w:tcPr/>
                <w:p>
                  <w:pPr>
                    <w:pStyle w:val="Compact"/>
                    <w:jc w:val="left"/>
                    <w:jc w:val="center"/>
                  </w:pPr>
                  <w:r>
                    <w:t xml:space="preserve">7,577</w:t>
                  </w:r>
                </w:p>
              </w:tc>
            </w:tr>
            <w:tr>
              <w:tc>
                <w:tcPr/>
                <w:p>
                  <w:pPr>
                    <w:pStyle w:val="Compact"/>
                    <w:jc w:val="left"/>
                    <w:jc w:val="center"/>
                  </w:pPr>
                  <w:r>
                    <w:t xml:space="preserve">Shared records: Rate difference (Mass − Wing)</w:t>
                  </w:r>
                </w:p>
              </w:tc>
              <w:tc>
                <w:tcPr/>
                <w:p>
                  <w:pPr>
                    <w:pStyle w:val="Compact"/>
                    <w:jc w:val="left"/>
                    <w:jc w:val="center"/>
                  </w:pPr>
                  <w:r>
                    <w:t xml:space="preserve">—</w:t>
                  </w:r>
                </w:p>
              </w:tc>
              <w:tc>
                <w:tcPr/>
                <w:p>
                  <w:pPr>
                    <w:pStyle w:val="Compact"/>
                    <w:jc w:val="left"/>
                    <w:jc w:val="center"/>
                  </w:pPr>
                  <w:r>
                    <w:t xml:space="preserve">[−3.4, 1.4]</w:t>
                  </w:r>
                </w:p>
              </w:tc>
              <w:tc>
                <w:tcPr/>
                <w:p>
                  <w:pPr>
                    <w:pStyle w:val="Compact"/>
                    <w:jc w:val="left"/>
                    <w:jc w:val="center"/>
                  </w:pPr>
                  <w:r>
                    <w:t xml:space="preserve">−1.0%</w:t>
                  </w:r>
                </w:p>
              </w:tc>
              <w:tc>
                <w:tcPr/>
                <w:p>
                  <w:pPr>
                    <w:pStyle w:val="Compact"/>
                    <w:jc w:val="left"/>
                    <w:jc w:val="center"/>
                  </w:pPr>
                  <w:r>
                    <w:t xml:space="preserve">7,577</w:t>
                  </w:r>
                </w:p>
              </w:tc>
            </w:tr>
            <w:tr>
              <w:tc>
                <w:tcPr/>
                <w:p>
                  <w:pPr>
                    <w:pStyle w:val="Compact"/>
                    <w:jc w:val="left"/>
                    <w:jc w:val="center"/>
                  </w:pPr>
                  <w:r>
                    <w:t xml:space="preserve">Shared records: Geometric isometry contrast (Mass − 3 × Wing)</w:t>
                  </w:r>
                </w:p>
              </w:tc>
              <w:tc>
                <w:tcPr/>
                <w:p>
                  <w:pPr>
                    <w:pStyle w:val="Compact"/>
                    <w:jc w:val="left"/>
                    <w:jc w:val="center"/>
                  </w:pPr>
                  <w:r>
                    <w:t xml:space="preserve">—</w:t>
                  </w:r>
                </w:p>
              </w:tc>
              <w:tc>
                <w:tcPr/>
                <w:p>
                  <w:pPr>
                    <w:pStyle w:val="Compact"/>
                    <w:jc w:val="left"/>
                    <w:jc w:val="center"/>
                  </w:pPr>
                  <w:r>
                    <w:t xml:space="preserve">[−0.1, 8.1]</w:t>
                  </w:r>
                </w:p>
              </w:tc>
              <w:tc>
                <w:tcPr/>
                <w:p>
                  <w:pPr>
                    <w:pStyle w:val="Compact"/>
                    <w:jc w:val="left"/>
                    <w:jc w:val="center"/>
                  </w:pPr>
                  <w:r>
                    <w:t xml:space="preserve">+4.0%</w:t>
                  </w:r>
                </w:p>
              </w:tc>
              <w:tc>
                <w:tcPr/>
                <w:p>
                  <w:pPr>
                    <w:pStyle w:val="Compact"/>
                    <w:jc w:val="left"/>
                    <w:jc w:val="center"/>
                  </w:pPr>
                  <w:r>
                    <w:t xml:space="preserve">7,577</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 95% CI: −0.0188 to 0.0062, −1.3%/decade;</w:t>
      </w:r>
      <w:r>
        <w:t xml:space="preserve"> </w:t>
      </w:r>
      <w:hyperlink w:anchor="tbl-mass-allometry">
        <w:r>
          <w:rPr>
            <w:rStyle w:val="Hyperlink"/>
          </w:rPr>
          <w:t xml:space="preserve">Table 2</w:t>
        </w:r>
      </w:hyperlink>
      <w:r>
        <w:t xml:space="preserve">).</w:t>
      </w:r>
    </w:p>
    <w:p>
      <w:pPr>
        <w:pStyle w:val="BodyText"/>
      </w:pPr>
      <w:r>
        <w:t xml:space="preserve">To evaluate whether shape changes occurred on the same individual birds, we analyzed 7,577 shared records with simultaneous measurements of wing length and body mass across 72 species. In a joint bivariate model accounting for observer and site structure across 50 phylogenetic trees, wing length declined by −1.5%/decade (95% CI: −2.7 to −0.4%) while body mass declined by −0.5%/decade (95% CI: −2.7 to 1.6%;</w:t>
      </w:r>
      <w:r>
        <w:t xml:space="preserve"> </w:t>
      </w:r>
      <w:hyperlink w:anchor="tbl-mass-allometry">
        <w:r>
          <w:rPr>
            <w:rStyle w:val="Hyperlink"/>
          </w:rPr>
          <w:t xml:space="preserve">Table 2</w:t>
        </w:r>
      </w:hyperlink>
      <w:r>
        <w:t xml:space="preserve">).</w:t>
      </w:r>
    </w:p>
    <w:p>
      <w:pPr>
        <w:pStyle w:val="BodyText"/>
      </w:pPr>
      <w:r>
        <w:t xml:space="preserve">The difference between the two rates was −1.0%/decade (95% CI: −3.4 to 1.4%,</w:t>
      </w:r>
      <w:r>
        <w:t xml:space="preserve"> </w:t>
      </w:r>
      <m:oMath>
        <m:r>
          <m:t>z</m:t>
        </m:r>
        <m:r>
          <m:rPr>
            <m:sty m:val="p"/>
          </m:rPr>
          <m:t>=</m:t>
        </m:r>
        <m:r>
          <m:rPr>
            <m:sty m:val="p"/>
          </m:rPr>
          <m:t>−</m:t>
        </m:r>
        <m:r>
          <m:t>0.79</m:t>
        </m:r>
      </m:oMath>
      <w:r>
        <w:t xml:space="preserve">;</w:t>
      </w:r>
      <w:r>
        <w:t xml:space="preserve"> </w:t>
      </w:r>
      <w:hyperlink w:anchor="tbl-mass-allometry">
        <w:r>
          <w:rPr>
            <w:rStyle w:val="Hyperlink"/>
          </w:rPr>
          <w:t xml:space="preserve">Table 2</w:t>
        </w:r>
      </w:hyperlink>
      <w:r>
        <w:t xml:space="preserve">). Under geometric isometry, body mass scales with the cube of linear dimensions (</w:t>
      </w:r>
      <m:oMath>
        <m:r>
          <m:t>M</m:t>
        </m:r>
        <m:r>
          <m:rPr>
            <m:sty m:val="p"/>
          </m:rPr>
          <m:t>∝</m:t>
        </m:r>
        <m:sSup>
          <m:e>
            <m:r>
              <m:t>L</m:t>
            </m:r>
          </m:e>
          <m:sup>
            <m:r>
              <m:t>3</m:t>
            </m:r>
          </m:sup>
        </m:sSup>
      </m:oMath>
      <w:r>
        <w:t xml:space="preserve">), yielding an expected mass change of approximately three times the linear dimension change. The formal isometry contrast (</w:t>
      </w:r>
      <m:oMath>
        <m:r>
          <m:rPr>
            <m:nor/>
            <m:sty m:val="p"/>
          </m:rPr>
          <m:t>mass trend</m:t>
        </m:r>
        <m:r>
          <m:rPr>
            <m:sty m:val="p"/>
          </m:rPr>
          <m:t>−</m:t>
        </m:r>
        <m:r>
          <m:t>3</m:t>
        </m:r>
        <m:r>
          <m:rPr>
            <m:sty m:val="p"/>
          </m:rPr>
          <m:t>×</m:t>
        </m:r>
        <m:r>
          <m:rPr>
            <m:nor/>
            <m:sty m:val="p"/>
          </m:rPr>
          <m:t>wing trend</m:t>
        </m:r>
      </m:oMath>
      <w:r>
        <w:t xml:space="preserve">) was +4.0%/decade (95% CI: −0.1 to 8.1%,</w:t>
      </w:r>
      <w:r>
        <w:t xml:space="preserve"> </w:t>
      </w:r>
      <m:oMath>
        <m:r>
          <m:t>z</m:t>
        </m:r>
        <m:r>
          <m:rPr>
            <m:sty m:val="p"/>
          </m:rPr>
          <m:t>=</m:t>
        </m:r>
        <m:r>
          <m:t>1.93</m:t>
        </m:r>
      </m:oMath>
      <w:r>
        <w:t xml:space="preserve">;</w:t>
      </w:r>
      <w:r>
        <w:t xml:space="preserve"> </w:t>
      </w:r>
      <w:hyperlink w:anchor="tbl-mass-allometry">
        <w:r>
          <w:rPr>
            <w:rStyle w:val="Hyperlink"/>
          </w:rPr>
          <w:t xml:space="preserve">Table 2</w:t>
        </w:r>
      </w:hyperlink>
      <w:r>
        <w:t xml:space="preserve">). Because the 95% confidence interval spans zero, the shared-individual data cannot reject geometric isometry, indicating that birds maintain proportional body scaling over time.</w:t>
      </w:r>
    </w:p>
    <w:bookmarkEnd w:id="31"/>
    <w:bookmarkStart w:id="32" w:name="X136763f3c02b09c0acc4147ac8a27ccd4bb65b5"/>
    <w:p>
      <w:pPr>
        <w:pStyle w:val="Heading2"/>
      </w:pPr>
      <w:r>
        <w:t xml:space="preserve">2.4 Bill width invariance and testing Allen’s rule</w:t>
      </w:r>
    </w:p>
    <w:p>
      <w:pPr>
        <w:pStyle w:val="FirstParagraph"/>
      </w:pPr>
      <w:r>
        <w:t xml:space="preserve">Allen’s rule</w:t>
      </w:r>
      <w:r>
        <w:t xml:space="preserve"> </w:t>
      </w:r>
      <w:r>
        <w:t xml:space="preserve">(Allen 1877; Ryding et al. 2021)</w:t>
      </w:r>
      <w:r>
        <w:t xml:space="preserve"> </w:t>
      </w:r>
      <w:r>
        <w:t xml:space="preserve">posits that extremities such as bills enlarge in warm climates to facilitate non-evaporative thermoregulatory heat dissipation. Raw species-level trajectories for bill width displayed both increases and decreases across the community (</w:t>
      </w:r>
      <w:hyperlink w:anchor="fig-trends">
        <w:r>
          <w:rPr>
            <w:rStyle w:val="Hyperlink"/>
          </w:rPr>
          <w:t xml:space="preserve">Figure 2</w:t>
        </w:r>
      </w:hyperlink>
      <w:r>
        <w:t xml:space="preserve"> </w:t>
      </w:r>
      <w:r>
        <w:t xml:space="preserve">C). In an unadjusted baseline model without observer controls (M0), bill width appeared to show a statistically significant positive decadal trend:</w:t>
      </w:r>
      <w:r>
        <w:t xml:space="preserve"> </w:t>
      </w:r>
      <m:oMath>
        <m:r>
          <m:t>β</m:t>
        </m:r>
        <m:r>
          <m:rPr>
            <m:sty m:val="p"/>
          </m:rPr>
          <m:t>=</m:t>
        </m:r>
        <m:r>
          <m:rPr>
            <m:sty m:val="p"/>
          </m:rPr>
          <m:t>+</m:t>
        </m:r>
        <m:r>
          <m:t>0.24</m:t>
        </m:r>
      </m:oMath>
      <w:r>
        <w:t xml:space="preserve"> </w:t>
      </w:r>
      <w:r>
        <w:t xml:space="preserve">mm per SD-year (95% CI: +0.06 to +0.42,</w:t>
      </w:r>
      <w:r>
        <w:t xml:space="preserve"> </w:t>
      </w:r>
      <m:oMath>
        <m:r>
          <m:t>t</m:t>
        </m:r>
        <m:r>
          <m:rPr>
            <m:sty m:val="p"/>
          </m:rPr>
          <m:t>=</m:t>
        </m:r>
        <m:r>
          <m:t>2.6</m:t>
        </m:r>
      </m:oMath>
      <w:r>
        <w:t xml:space="preserve">,</w:t>
      </w:r>
      <w:r>
        <w:t xml:space="preserve"> </w:t>
      </w:r>
      <m:oMath>
        <m:r>
          <m:t>n</m:t>
        </m:r>
        <m:r>
          <m:rPr>
            <m:sty m:val="p"/>
          </m:rPr>
          <m:t>=</m:t>
        </m:r>
        <m:r>
          <m:t>3</m:t>
        </m:r>
        <m:r>
          <m:rPr>
            <m:sty m:val="p"/>
          </m:rPr>
          <m:t>,</m:t>
        </m:r>
        <m:r>
          <m:t>209</m:t>
        </m:r>
      </m:oMath>
      <w:r>
        <w:t xml:space="preserve">), a pattern that could naively be misconstrued as empirical support for Allen’s rule.</w:t>
      </w:r>
    </w:p>
    <w:p>
      <w:pPr>
        <w:pStyle w:val="BodyText"/>
      </w:pPr>
      <w:r>
        <w:t xml:space="preserve">However, bill width was recorded by 22 field researchers across the dataset, and only two researchers sampled birds in both the early (1995–2006) and late (2013–2018) periods. When researcher identity and municipality were accounted for (M1), this apparent positive trajectory collapsed completely to zero (</w:t>
      </w:r>
      <m:oMath>
        <m:r>
          <m:t>β</m:t>
        </m:r>
        <m:r>
          <m:rPr>
            <m:sty m:val="p"/>
          </m:rPr>
          <m:t>=</m:t>
        </m:r>
        <m:r>
          <m:rPr>
            <m:sty m:val="p"/>
          </m:rPr>
          <m:t>−</m:t>
        </m:r>
        <m:r>
          <m:t>0.03</m:t>
        </m:r>
      </m:oMath>
      <w:r>
        <w:t xml:space="preserve"> </w:t>
      </w:r>
      <w:r>
        <w:t xml:space="preserve">mm/SD-year, 95% CI: −0.18 to 0.12,</w:t>
      </w:r>
      <w:r>
        <w:t xml:space="preserve"> </w:t>
      </w:r>
      <m:oMath>
        <m:r>
          <m:t>n</m:t>
        </m:r>
        <m:r>
          <m:rPr>
            <m:sty m:val="p"/>
          </m:rPr>
          <m:t>=</m:t>
        </m:r>
        <m:r>
          <m:t>3</m:t>
        </m:r>
        <m:r>
          <m:rPr>
            <m:sty m:val="p"/>
          </m:rPr>
          <m:t>,</m:t>
        </m:r>
        <m:r>
          <m:t>209</m:t>
        </m:r>
      </m:oMath>
      <w:r>
        <w:t xml:space="preserve">). In the fully controlled 50-tree phylogenetic model (M3), bill width remained entirely flat:</w:t>
      </w:r>
      <w:r>
        <w:t xml:space="preserve"> </w:t>
      </w:r>
      <m:oMath>
        <m:r>
          <m:t>β</m:t>
        </m:r>
        <m:r>
          <m:rPr>
            <m:sty m:val="p"/>
          </m:rPr>
          <m:t>=</m:t>
        </m:r>
        <m:r>
          <m:rPr>
            <m:sty m:val="p"/>
          </m:rPr>
          <m:t>−</m:t>
        </m:r>
        <m:r>
          <m:t>0.03</m:t>
        </m:r>
      </m:oMath>
      <w:r>
        <w:t xml:space="preserve"> </w:t>
      </w:r>
      <w:r>
        <w:t xml:space="preserve">mm/SD-year (95% CI: −0.18 to 0.13, corresponding to −0.03 mm/decade,</w:t>
      </w:r>
      <w:r>
        <w:t xml:space="preserve"> </w:t>
      </w:r>
      <m:oMath>
        <m:r>
          <m:t>n</m:t>
        </m:r>
        <m:r>
          <m:rPr>
            <m:sty m:val="p"/>
          </m:rPr>
          <m:t>=</m:t>
        </m:r>
        <m:r>
          <m:t>3</m:t>
        </m:r>
        <m:r>
          <m:rPr>
            <m:sty m:val="p"/>
          </m:rPr>
          <m:t>,</m:t>
        </m:r>
        <m:r>
          <m:t>205</m:t>
        </m:r>
      </m:oMath>
      <w:r>
        <w:t xml:space="preserve">). Evaluating temporal change within the same field researcher confirmed stability (</w:t>
      </w:r>
      <m:oMath>
        <m:r>
          <m:t>β</m:t>
        </m:r>
        <m:r>
          <m:rPr>
            <m:sty m:val="p"/>
          </m:rPr>
          <m:t>=</m:t>
        </m:r>
        <m:r>
          <m:rPr>
            <m:sty m:val="p"/>
          </m:rPr>
          <m:t>+</m:t>
        </m:r>
        <m:r>
          <m:t>0.02</m:t>
        </m:r>
      </m:oMath>
      <w:r>
        <w:t xml:space="preserve"> </w:t>
      </w:r>
      <w:r>
        <w:t xml:space="preserve">mm/SD-year, 95% CI: −0.19 to 0.22). The apparent baseline increase was an artifact of later contributors systematically recording slightly wider bills. Bill width has therefore remained invariant over time, providing no empirical support for Allen’s rule extremity enlargement in Atlantic Forest passerines.</w:t>
      </w:r>
    </w:p>
    <w:bookmarkEnd w:id="32"/>
    <w:bookmarkStart w:id="37"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(1995–2006) and late (2013–2018) periods across the community revealed subtle patterns when pooled across observers (</w:t>
      </w:r>
      <w:hyperlink w:anchor="fig-variability">
        <w:r>
          <w:rPr>
            <w:rStyle w:val="Hyperlink"/>
          </w:rPr>
          <w:t xml:space="preserve">Figure 5</w:t>
        </w:r>
      </w:hyperlink>
      <w:r>
        <w:t xml:space="preserve">): wing length exhibited a meta-analytic mean of</w:t>
      </w:r>
      <w:r>
        <w:t xml:space="preserve"> </w:t>
      </w:r>
      <m:oMath>
        <m:r>
          <m:rPr>
            <m:sty m:val="p"/>
          </m:rPr>
          <m:t>ln</m:t>
        </m:r>
        <m:r>
          <m:rPr>
            <m:nor/>
            <m:sty m:val="p"/>
          </m:rPr>
          <m:t>CVR</m:t>
        </m:r>
        <m:r>
          <m:rPr>
            <m:sty m:val="p"/>
          </m:rPr>
          <m:t>=</m:t>
        </m:r>
        <m:r>
          <m:rPr>
            <m:sty m:val="p"/>
          </m:rPr>
          <m:t>+</m:t>
        </m:r>
        <m:r>
          <m:t>0.177</m:t>
        </m:r>
      </m:oMath>
      <w:r>
        <w:t xml:space="preserve"> </w:t>
      </w:r>
      <w:r>
        <w:t xml:space="preserve">(95% CI: 0.031 to 0.323,</w:t>
      </w:r>
      <w:r>
        <w:t xml:space="preserve"> </w:t>
      </w:r>
      <m:oMath>
        <m:r>
          <m:t>k</m:t>
        </m:r>
        <m:r>
          <m:rPr>
            <m:sty m:val="p"/>
          </m:rPr>
          <m:t>=</m:t>
        </m:r>
        <m:r>
          <m:t>54</m:t>
        </m:r>
      </m:oMath>
      <w:r>
        <w:t xml:space="preserve">;</w:t>
      </w:r>
      <w:r>
        <w:t xml:space="preserve"> </w:t>
      </w:r>
      <w:hyperlink w:anchor="fig-variability">
        <w:r>
          <w:rPr>
            <w:rStyle w:val="Hyperlink"/>
          </w:rPr>
          <w:t xml:space="preserve">Figure 5</w:t>
        </w:r>
      </w:hyperlink>
      <w:r>
        <w:t xml:space="preserve"> </w:t>
      </w:r>
      <w:r>
        <w:t xml:space="preserve">A), body mass exhibited</w:t>
      </w:r>
      <w:r>
        <w:t xml:space="preserve"> </w:t>
      </w:r>
      <m:oMath>
        <m:r>
          <m:rPr>
            <m:sty m:val="p"/>
          </m:rPr>
          <m:t>ln</m:t>
        </m:r>
        <m:r>
          <m:rPr>
            <m:nor/>
            <m:sty m:val="p"/>
          </m:rPr>
          <m:t>CVR</m:t>
        </m:r>
        <m:r>
          <m:rPr>
            <m:sty m:val="p"/>
          </m:rPr>
          <m:t>=</m:t>
        </m:r>
        <m:r>
          <m:rPr>
            <m:sty m:val="p"/>
          </m:rPr>
          <m:t>+</m:t>
        </m:r>
        <m:r>
          <m:t>0.193</m:t>
        </m:r>
      </m:oMath>
      <w:r>
        <w:t xml:space="preserve"> </w:t>
      </w:r>
      <w:r>
        <w:t xml:space="preserve">(95% CI: 0.021 to 0.366,</w:t>
      </w:r>
      <w:r>
        <w:t xml:space="preserve"> </w:t>
      </w:r>
      <m:oMath>
        <m:r>
          <m:t>k</m:t>
        </m:r>
        <m:r>
          <m:rPr>
            <m:sty m:val="p"/>
          </m:rPr>
          <m:t>=</m:t>
        </m:r>
        <m:r>
          <m:t>57</m:t>
        </m:r>
      </m:oMath>
      <w:r>
        <w:t xml:space="preserve">;</w:t>
      </w:r>
      <w:r>
        <w:t xml:space="preserve"> </w:t>
      </w:r>
      <w:hyperlink w:anchor="fig-variability">
        <w:r>
          <w:rPr>
            <w:rStyle w:val="Hyperlink"/>
          </w:rPr>
          <w:t xml:space="preserve">Figure 5</w:t>
        </w:r>
      </w:hyperlink>
      <w:r>
        <w:t xml:space="preserve"> </w:t>
      </w:r>
      <w:r>
        <w:t xml:space="preserve">B), and bill width exhibited</w:t>
      </w:r>
      <w:r>
        <w:t xml:space="preserve"> </w:t>
      </w:r>
      <m:oMath>
        <m:r>
          <m:rPr>
            <m:sty m:val="p"/>
          </m:rPr>
          <m:t>ln</m:t>
        </m:r>
        <m:r>
          <m:rPr>
            <m:nor/>
            <m:sty m:val="p"/>
          </m:rPr>
          <m:t>CVR</m:t>
        </m:r>
        <m:r>
          <m:rPr>
            <m:sty m:val="p"/>
          </m:rPr>
          <m:t>=</m:t>
        </m:r>
        <m:r>
          <m:rPr>
            <m:sty m:val="p"/>
          </m:rPr>
          <m:t>+</m:t>
        </m:r>
        <m:r>
          <m:t>0.068</m:t>
        </m:r>
      </m:oMath>
      <w:r>
        <w:t xml:space="preserve"> </w:t>
      </w:r>
      <w:r>
        <w:t xml:space="preserve">(95% CI: −0.146 to +0.282,</w:t>
      </w:r>
      <w:r>
        <w:t xml:space="preserve"> </w:t>
      </w:r>
      <m:oMath>
        <m:r>
          <m:t>k</m:t>
        </m:r>
        <m:r>
          <m:rPr>
            <m:sty m:val="p"/>
          </m:rPr>
          <m:t>=</m:t>
        </m:r>
        <m:r>
          <m:t>36</m:t>
        </m:r>
      </m:oMath>
      <w:r>
        <w:t xml:space="preserve">;</w:t>
      </w:r>
      <w:r>
        <w:t xml:space="preserve"> </w:t>
      </w:r>
      <w:hyperlink w:anchor="fig-variability">
        <w:r>
          <w:rPr>
            <w:rStyle w:val="Hyperlink"/>
          </w:rPr>
          <w:t xml:space="preserve">Figure 5</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36" w:name="fig-variability"/>
          <w:p>
            <w:pPr>
              <w:pStyle w:val="Compact"/>
              <w:jc w:val="center"/>
            </w:pPr>
            <w:r>
              <w:drawing>
                <wp:inline>
                  <wp:extent cx="5334000" cy="3270823"/>
                  <wp:effectExtent b="0" l="0" r="0" t="0"/>
                  <wp:docPr descr="" title="" id="34" name="Picture"/>
                  <a:graphic>
                    <a:graphicData uri="http://schemas.openxmlformats.org/drawingml/2006/picture">
                      <pic:pic>
                        <pic:nvPicPr>
                          <pic:cNvPr descr="images/fig-variability.png" id="35" name="Picture"/>
                          <pic:cNvPicPr>
                            <a:picLocks noChangeArrowheads="1" noChangeAspect="1"/>
                          </pic:cNvPicPr>
                        </pic:nvPicPr>
                        <pic:blipFill>
                          <a:blip r:embed="rId33"/>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36"/>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and site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37"/>
    <w:bookmarkStart w:id="42"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6</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and municipality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6</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41" w:name="fig-dietinteraction"/>
          <w:p>
            <w:pPr>
              <w:pStyle w:val="Compact"/>
              <w:jc w:val="center"/>
            </w:pPr>
            <w:r>
              <w:drawing>
                <wp:inline>
                  <wp:extent cx="5334000" cy="6858000"/>
                  <wp:effectExtent b="0" l="0" r="0" t="0"/>
                  <wp:docPr descr="" title="" id="39" name="Picture"/>
                  <a:graphic>
                    <a:graphicData uri="http://schemas.openxmlformats.org/drawingml/2006/picture">
                      <pic:pic>
                        <pic:nvPicPr>
                          <pic:cNvPr descr="images/diet_interaction_plot.png" id="40" name="Picture"/>
                          <pic:cNvPicPr>
                            <a:picLocks noChangeArrowheads="1" noChangeAspect="1"/>
                          </pic:cNvPicPr>
                        </pic:nvPicPr>
                        <pic:blipFill>
                          <a:blip r:embed="rId38"/>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and municipality), the interaction attenuates and obligate insectivores exhibit slopes overlapping zero.</w:t>
            </w:r>
          </w:p>
          <w:bookmarkEnd w:id="41"/>
        </w:tc>
      </w:tr>
    </w:tbl>
    <w:p>
      <w:pPr>
        <w:pStyle w:val="BodyText"/>
      </w:pPr>
      <w:r>
        <w:t xml:space="preserve">To evaluate regional prey availability, we examined regional insect evidence.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an acute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and ground-dwelling litter ants represent only a fraction of avian invertebrate diets. Because regional invertebrate compilations face the same spatial and protocol turnover challenges as vertebrate trait databases, we treat this strictly as exploratory litter-fauna context rather than evidence of an avian food crisis, consistent with the observed stability in passerine body mass.</w:t>
      </w:r>
    </w:p>
    <w:bookmarkEnd w:id="42"/>
    <w:bookmarkEnd w:id="43"/>
    <w:bookmarkStart w:id="49"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notable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sharp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Bill width invariance refutes Allen’s rule</w:t>
      </w:r>
      <w:r>
        <w:t xml:space="preserve">: Bill width shows no temporal expansion under controls (−0.03 mm/decade), refuting the hypothesis of extremity enlargement for thermoregulatory heat dissipation.</w:t>
      </w:r>
      <w:r>
        <w:t xml:space="preserve"> </w:t>
      </w:r>
      <w:r>
        <w:t xml:space="preserve">(4)</w:t>
      </w:r>
      <w:r>
        <w:t xml:space="preserve"> </w:t>
      </w:r>
      <w:r>
        <w:rPr>
          <w:b/>
          <w:bCs/>
        </w:rPr>
        <w:t xml:space="preserve">Preservation of geometric isometry</w:t>
      </w:r>
      <w:r>
        <w:t xml:space="preserve">: On shared individuals measured for both traits, wing length and body mass maintain geometric scaling (</w:t>
      </w:r>
      <m:oMath>
        <m:r>
          <m:t>M</m:t>
        </m:r>
        <m:r>
          <m:rPr>
            <m:sty m:val="p"/>
          </m:rPr>
          <m:t>∝</m:t>
        </m:r>
        <m:sSup>
          <m:e>
            <m:r>
              <m:t>L</m:t>
            </m:r>
          </m:e>
          <m:sup>
            <m:r>
              <m:t>3</m:t>
            </m:r>
          </m:sup>
        </m:sSup>
      </m:oMath>
      <w:r>
        <w:t xml:space="preserve">), with no community-wide allometric decoupling.</w:t>
      </w:r>
      <w:r>
        <w:t xml:space="preserve"> </w:t>
      </w:r>
      <w:r>
        <w:t xml:space="preserve">(5)</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(6)</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44"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striking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ubiquitous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pervasive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p>
      <w:pPr>
        <w:pStyle w:val="BodyText"/>
      </w:pPr>
      <w:r>
        <w:t xml:space="preserve">Beyond these ecological mechanisms, a plausible alternative hypothesis is whether the contrast reflects study design—namely, a single continuous 40-year ringing station (BDFFP) versus a multi-site macroecological compilation. Crucially, our within-observer Mundlak decomposition directly demonstrates that phenotypic stability in the Atlantic Forest is not an artifact of observational noise or compiler turnover: field researchers who sampled birds continuously across multi-year spans (e.g., E. Carrano, A. Ross, M. Alves) independently exhibited slopes indistinguishable from zero (within-observer wing slope: −0.3 mm/decade; complete cases: +0.03 mm/decade; body mass: −0.6%/decade). This confirms that phenotypic stability reflects a genuine biological characteristic of resident Atlantic Forest passerines across this warming era rather than an inferential limitation of large compilations.</w:t>
      </w:r>
    </w:p>
    <w:bookmarkEnd w:id="44"/>
    <w:bookmarkStart w:id="45"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universal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universality of Bergmann’s rule as a general response to contemporary climate warming,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bill width remaining completely invariant (−0.03 mm/decade, spanning zero).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45"/>
    <w:bookmarkStart w:id="46"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universal</w:t>
      </w:r>
      <w:r>
        <w:t xml:space="preserve"> </w:t>
      </w:r>
      <w:r>
        <w:t xml:space="preserve">(Teplitsky and Millien 2014)</w:t>
      </w:r>
      <w:r>
        <w:t xml:space="preserve">.</w:t>
      </w:r>
    </w:p>
    <w:p>
      <w:pPr>
        <w:pStyle w:val="BodyText"/>
      </w:pPr>
      <w:r>
        <w:t xml:space="preserve">Importantly, our analysis of 7,577 shared records from the same individuals showed that wing length and body mass maintain geometric scaling (</w:t>
      </w:r>
      <m:oMath>
        <m:r>
          <m:t>M</m:t>
        </m:r>
        <m:r>
          <m:rPr>
            <m:sty m:val="p"/>
          </m:rPr>
          <m:t>∝</m:t>
        </m:r>
        <m:sSup>
          <m:e>
            <m:r>
              <m:t>L</m:t>
            </m:r>
          </m:e>
          <m:sup>
            <m:r>
              <m:t>3</m:t>
            </m:r>
          </m:sup>
        </m:sSup>
      </m:oMath>
      <w:r>
        <w:t xml:space="preserve">). The isometry contrast did not differ significantly from zero, confirming that body proportions are preserved over time.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46"/>
    <w:bookmarkStart w:id="47" w:name="X794f256fa8947bb153e477f6c6f93c8f99c0b29"/>
    <w:p>
      <w:pPr>
        <w:pStyle w:val="Heading2"/>
      </w:pPr>
      <w:r>
        <w:t xml:space="preserve">3.4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47"/>
    <w:bookmarkStart w:id="48" w:name="conclusion"/>
    <w:p>
      <w:pPr>
        <w:pStyle w:val="Heading2"/>
      </w:pPr>
      <w:r>
        <w:t xml:space="preserve">3.5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remarkable stability in body mass, invariant bill width,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48"/>
    <w:bookmarkEnd w:id="49"/>
    <w:bookmarkStart w:id="114" w:name="sec-methods"/>
    <w:p>
      <w:pPr>
        <w:pStyle w:val="Heading1"/>
      </w:pPr>
      <w:r>
        <w:t xml:space="preserve">4. Methods</w:t>
      </w:r>
    </w:p>
    <w:bookmarkStart w:id="50"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 (</w:t>
      </w:r>
      <w:r>
        <w:rPr>
          <w:rStyle w:val="VerbatimChar"/>
        </w:rPr>
        <w:t xml:space="preserve">Analysis/scripts/update_descriptive_stats.R</w:t>
      </w:r>
      <w:r>
        <w:t xml:space="preserve">).</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authoritative analytical dataset of 73 passerine species and 12,571 live-capture records (8,478 wing-length records across 72 species; one species,</w:t>
      </w:r>
      <w:r>
        <w:t xml:space="preserve"> </w:t>
      </w:r>
      <w:r>
        <w:rPr>
          <w:i/>
          <w:iCs/>
        </w:rPr>
        <w:t xml:space="preserve">Herpsilochmus pectoralis</w:t>
      </w:r>
      <w:r>
        <w:t xml:space="preserve">, was sampled exclusively for bill and tarsus traits and lacked wing and mass records in the compilation).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50"/>
    <w:bookmarkStart w:id="53"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severely confound temporal trends if left unmodeled: observer turnover and spatial turnover.</w:t>
      </w:r>
    </w:p>
    <w:bookmarkStart w:id="51" w:name="X0182f22886a6e37bc6cfdd93d22c7a6097f325e"/>
    <w:p>
      <w:pPr>
        <w:pStyle w:val="Heading3"/>
      </w:pPr>
      <w:r>
        <w:t xml:space="preserve">4.2.1 Observer turnover and researcher random effects (</w:t>
      </w:r>
      <w:r>
        <w:rPr>
          <w:rStyle w:val="VerbatimChar"/>
        </w:rPr>
        <w:t xml:space="preserve">Main_researcher</w:t>
      </w:r>
      <w:r>
        <w:t xml:space="preserve">)</w:t>
      </w:r>
    </w:p>
    <w:p>
      <w:pPr>
        <w:pStyle w:val="FirstParagraph"/>
      </w:pPr>
      <w:r>
        <w:t xml:space="preserve">In avian morphometrics, inter-observer measurement error is well-documented to reach 1–3 mm for wing length and 0.5–1 mm for bill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and literature reference (</w:t>
      </w:r>
      <w:r>
        <w:rPr>
          <w:rStyle w:val="VerbatimChar"/>
        </w:rPr>
        <w:t xml:space="preserve">Reference</w:t>
      </w:r>
      <w:r>
        <w:t xml:space="preserve">) is 99% missing.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 provenance audit revealed pronounced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51"/>
    <w:bookmarkStart w:id="52" w:name="X7ec42846ed14f019991479d92721b67651b6e82"/>
    <w:p>
      <w:pPr>
        <w:pStyle w:val="Heading3"/>
      </w:pPr>
      <w:r>
        <w:t xml:space="preserve">4.2.2 Spatial turnover and municipal random effects (</w:t>
      </w:r>
      <w:r>
        <w:rPr>
          <w:rStyle w:val="VerbatimChar"/>
        </w:rPr>
        <w:t xml:space="preserve">Municipality</w:t>
      </w:r>
      <w:r>
        <w:t xml:space="preserve">)</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spatial clustering and local population differentiation, we evaluated spatial grouping variables. While the database contains a specific field station/farm name column (</w:t>
      </w:r>
      <w:r>
        <w:rPr>
          <w:rStyle w:val="VerbatimChar"/>
        </w:rPr>
        <w:t xml:space="preserve">Locality</w:t>
      </w:r>
      <w:r>
        <w:t xml:space="preserve">), this column contains 193 levels and 11% missing values (NA). Using</w:t>
      </w:r>
      <w:r>
        <w:t xml:space="preserve"> </w:t>
      </w:r>
      <w:r>
        <w:rPr>
          <w:rStyle w:val="VerbatimChar"/>
        </w:rPr>
        <w:t xml:space="preserve">Locality</w:t>
      </w:r>
      <w:r>
        <w:t xml:space="preserve"> </w:t>
      </w:r>
      <w:r>
        <w:t xml:space="preserve">as a random effect would therefore discard over 1,000 biological records due to missing locality names. In contrast, municipality (</w:t>
      </w:r>
      <w:r>
        <w:rPr>
          <w:rStyle w:val="VerbatimChar"/>
        </w:rPr>
        <w:t xml:space="preserve">Municipality</w:t>
      </w:r>
      <w:r>
        <w:t xml:space="preserve">, 130 levels) is 100% complete across all 12,571 analytical records.</w:t>
      </w:r>
      <w:r>
        <w:t xml:space="preserve"> </w:t>
      </w:r>
      <w:r>
        <w:rPr>
          <w:rStyle w:val="VerbatimChar"/>
        </w:rPr>
        <w:t xml:space="preserve">Municipality</w:t>
      </w:r>
      <w:r>
        <w:t xml:space="preserve"> </w:t>
      </w:r>
      <w:r>
        <w:t xml:space="preserve">represents an administrative spatial unit that groups contiguous field stations and forest fragments within local landscapes without any data loss. We therefore incorporated</w:t>
      </w:r>
      <w:r>
        <w:t xml:space="preserve"> </w:t>
      </w:r>
      <w:r>
        <w:rPr>
          <w:rStyle w:val="VerbatimChar"/>
        </w:rPr>
        <w:t xml:space="preserve">(1 | Municipality)</w:t>
      </w:r>
      <w:r>
        <w:t xml:space="preserve"> </w:t>
      </w:r>
      <w:r>
        <w:t xml:space="preserve">as a spatial random intercept. To capture continuous spatial and elevational variation, subsequent model tiers also included standardized latitude (</w:t>
      </w:r>
      <w:r>
        <w:rPr>
          <w:rStyle w:val="VerbatimChar"/>
        </w:rPr>
        <w:t xml:space="preserve">scaled_lat</w:t>
      </w:r>
      <w:r>
        <w:t xml:space="preserve">), standardized longitude (</w:t>
      </w:r>
      <w:r>
        <w:rPr>
          <w:rStyle w:val="VerbatimChar"/>
        </w:rPr>
        <w:t xml:space="preserve">scaled_long</w:t>
      </w:r>
      <w:r>
        <w:t xml:space="preserve">), and elevation (</w:t>
      </w:r>
      <w:r>
        <w:rPr>
          <w:rStyle w:val="VerbatimChar"/>
        </w:rPr>
        <w:t xml:space="preserve">scaled_elev</w:t>
      </w:r>
      <w:r>
        <w:t xml:space="preserve">).</w:t>
      </w:r>
    </w:p>
    <w:bookmarkEnd w:id="52"/>
    <w:bookmarkEnd w:id="53"/>
    <w:bookmarkStart w:id="54"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random intercepts for researcher identity</w:t>
      </w:r>
      <w:r>
        <w:t xml:space="preserve"> </w:t>
      </w:r>
      <w:r>
        <w:rPr>
          <w:rStyle w:val="VerbatimChar"/>
        </w:rPr>
        <w:t xml:space="preserve">(1 | Main_researcher)</w:t>
      </w:r>
      <w:r>
        <w:t xml:space="preserve"> </w:t>
      </w:r>
      <w:r>
        <w:t xml:space="preserve">and spatial municipality</w:t>
      </w:r>
      <w:r>
        <w:t xml:space="preserve"> </w:t>
      </w:r>
      <w:r>
        <w:rPr>
          <w:rStyle w:val="VerbatimChar"/>
        </w:rPr>
        <w:t xml:space="preserve">(1 | Municipality)</w:t>
      </w:r>
      <w:r>
        <w:t xml:space="preserve">.</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54"/>
    <w:bookmarkStart w:id="55"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prohibitive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Municipality)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 (</w:t>
      </w:r>
      <w:r>
        <w:rPr>
          <w:rStyle w:val="VerbatimChar"/>
        </w:rPr>
        <w:t xml:space="preserve">Analysis/scripts/GLMMTMB_ENGINE.md</w:t>
      </w:r>
      <w:r>
        <w:t xml:space="preserve">).</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55"/>
    <w:bookmarkStart w:id="56" w:name="X656a538e2e6ba7277e818ecf4966f95a904c340"/>
    <w:p>
      <w:pPr>
        <w:pStyle w:val="Heading2"/>
      </w:pPr>
      <w:r>
        <w:t xml:space="preserve">4.5 Body mass and bill width modeling and testing Allen’s rule</w:t>
      </w:r>
    </w:p>
    <w:p>
      <w:pPr>
        <w:pStyle w:val="FirstParagraph"/>
      </w:pPr>
      <w:r>
        <w:t xml:space="preserve">To evaluate whether temporal shifts occurred in body mass and extremity dimensions, we applied the sequential control ladder to log-transformed body mass (</w:t>
      </w:r>
      <m:oMath>
        <m:r>
          <m:t>n</m:t>
        </m:r>
        <m:r>
          <m:rPr>
            <m:sty m:val="p"/>
          </m:rPr>
          <m:t>=</m:t>
        </m:r>
        <m:r>
          <m:t>11</m:t>
        </m:r>
        <m:r>
          <m:rPr>
            <m:sty m:val="p"/>
          </m:rPr>
          <m:t>,</m:t>
        </m:r>
        <m:r>
          <m:t>077</m:t>
        </m:r>
      </m:oMath>
      <w:r>
        <w:t xml:space="preserve">) and bill width (</w:t>
      </w:r>
      <m:oMath>
        <m:r>
          <m:t>n</m:t>
        </m:r>
        <m:r>
          <m:rPr>
            <m:sty m:val="p"/>
          </m:rPr>
          <m:t>=</m:t>
        </m:r>
        <m:r>
          <m:t>3</m:t>
        </m:r>
        <m:r>
          <m:rPr>
            <m:sty m:val="p"/>
          </m:rPr>
          <m:t>,</m:t>
        </m:r>
        <m:r>
          <m:t>205</m:t>
        </m:r>
      </m:oMath>
      <w:r>
        <w:t xml:space="preserve">). Models incorporated sex, latitude, species-specific random slopes and intercepts across 50 phylogenetic trees, researcher identity, municipality, season, active moult, and individual bird identity.</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extremities enlarge in warmer conditions to facilitate non-evaporative heat dissipation, we tested whether bill width exhibited a positive temporal slope under researcher and spatial controls.</w:t>
      </w:r>
    </w:p>
    <w:bookmarkEnd w:id="56"/>
    <w:bookmarkStart w:id="57"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a joint bivariate model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If the 95% confidence interval of</w:t>
      </w:r>
      <w:r>
        <w:t xml:space="preserve"> </w:t>
      </w:r>
      <m:oMath>
        <m:sSub>
          <m:e>
            <m:r>
              <m:rPr>
                <m:sty m:val="p"/>
              </m:rPr>
              <m:t>Δ</m:t>
            </m:r>
          </m:e>
          <m:sub>
            <m:r>
              <m:rPr>
                <m:nor/>
                <m:sty m:val="p"/>
              </m:rPr>
              <m:t>iso</m:t>
            </m:r>
          </m:sub>
        </m:sSub>
      </m:oMath>
      <w:r>
        <w:t xml:space="preserve"> </w:t>
      </w:r>
      <w:r>
        <w:t xml:space="preserve">spans zero, morphological dynamics cannot reject geometric isometry.</w:t>
      </w:r>
    </w:p>
    <w:bookmarkEnd w:id="57"/>
    <w:bookmarkStart w:id="58" w:name="X6ff614c3587b78c67248aba5d88ecab96336cc0"/>
    <w:p>
      <w:pPr>
        <w:pStyle w:val="Heading2"/>
      </w:pPr>
      <w:r>
        <w:t xml:space="preserve">4.7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57</m:t>
        </m:r>
      </m:oMath>
      <w:r>
        <w:t xml:space="preserve"> </w:t>
      </w:r>
      <w:r>
        <w:t xml:space="preserve">for body mass;</w:t>
      </w:r>
      <w:r>
        <w:t xml:space="preserve"> </w:t>
      </w:r>
      <m:oMath>
        <m:r>
          <m:t>k</m:t>
        </m:r>
        <m:r>
          <m:rPr>
            <m:sty m:val="p"/>
          </m:rPr>
          <m:t>=</m:t>
        </m:r>
        <m:r>
          <m:t>36</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r>
            <m:rPr>
              <m:sty m:val="p"/>
            </m:rPr>
            <m:t>+</m:t>
          </m:r>
          <m:sSub>
            <m:e>
              <m:r>
                <m:t>u</m:t>
              </m:r>
            </m:e>
            <m:sub>
              <m:r>
                <m:rPr>
                  <m:nor/>
                  <m:sty m:val="p"/>
                </m:rPr>
                <m:t>municipality</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58"/>
    <w:bookmarkStart w:id="59" w:name="Xfd84aa4262ebbdc8c9052e44d41fd99b9baf22f"/>
    <w:p>
      <w:pPr>
        <w:pStyle w:val="Heading2"/>
      </w:pPr>
      <w:r>
        <w:t xml:space="preserve">4.8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and municipality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59"/>
    <w:bookmarkStart w:id="60" w:name="reproducible-software-environment"/>
    <w:p>
      <w:pPr>
        <w:pStyle w:val="Heading2"/>
      </w:pPr>
      <w:r>
        <w:t xml:space="preserve">4.9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60"/>
    <w:bookmarkStart w:id="113" w:name="references"/>
    <w:p>
      <w:pPr>
        <w:pStyle w:val="Heading2"/>
      </w:pPr>
      <w:r>
        <w:t xml:space="preserve">References</w:t>
      </w:r>
    </w:p>
    <w:bookmarkStart w:id="112" w:name="refs"/>
    <w:bookmarkStart w:id="61"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61"/>
    <w:bookmarkStart w:id="63"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62">
        <w:r>
          <w:rPr>
            <w:rStyle w:val="Hyperlink"/>
          </w:rPr>
          <w:t xml:space="preserve">https://doi.org/10.1046/j.1466-822X.2002.00313.x</w:t>
        </w:r>
      </w:hyperlink>
      <w:r>
        <w:t xml:space="preserve">.</w:t>
      </w:r>
    </w:p>
    <w:bookmarkEnd w:id="63"/>
    <w:bookmarkStart w:id="6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4">
        <w:r>
          <w:rPr>
            <w:rStyle w:val="Hyperlink"/>
          </w:rPr>
          <w:t xml:space="preserve">https://doi.org/10.1007/s11135-018-0802-x</w:t>
        </w:r>
      </w:hyperlink>
      <w:r>
        <w:t xml:space="preserve">.</w:t>
      </w:r>
    </w:p>
    <w:bookmarkEnd w:id="65"/>
    <w:bookmarkStart w:id="67"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66">
        <w:r>
          <w:rPr>
            <w:rStyle w:val="Hyperlink"/>
          </w:rPr>
          <w:t xml:space="preserve">https://www.digitale-sammlungen.de/en/view/bsb10306637?page=1</w:t>
        </w:r>
      </w:hyperlink>
      <w:r>
        <w:t xml:space="preserve">.</w:t>
      </w:r>
    </w:p>
    <w:bookmarkEnd w:id="67"/>
    <w:bookmarkStart w:id="69"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68">
        <w:r>
          <w:rPr>
            <w:rStyle w:val="Hyperlink"/>
          </w:rPr>
          <w:t xml:space="preserve">https://doi.org/10.1016/j.tree.2011.03.005</w:t>
        </w:r>
      </w:hyperlink>
      <w:r>
        <w:t xml:space="preserve">.</w:t>
      </w:r>
    </w:p>
    <w:bookmarkEnd w:id="69"/>
    <w:bookmarkStart w:id="70"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70"/>
    <w:bookmarkStart w:id="72"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71">
        <w:r>
          <w:rPr>
            <w:rStyle w:val="Hyperlink"/>
          </w:rPr>
          <w:t xml:space="preserve">https://doi.org/10.1126/sciadv.abk1743</w:t>
        </w:r>
      </w:hyperlink>
      <w:r>
        <w:t xml:space="preserve">.</w:t>
      </w:r>
    </w:p>
    <w:bookmarkEnd w:id="72"/>
    <w:bookmarkStart w:id="74"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73">
        <w:r>
          <w:rPr>
            <w:rStyle w:val="Hyperlink"/>
          </w:rPr>
          <w:t xml:space="preserve">https://doi.org/10.1098/rsbl.2022.0219</w:t>
        </w:r>
      </w:hyperlink>
      <w:r>
        <w:t xml:space="preserve">.</w:t>
      </w:r>
    </w:p>
    <w:bookmarkEnd w:id="74"/>
    <w:bookmarkStart w:id="76"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75">
        <w:r>
          <w:rPr>
            <w:rStyle w:val="Hyperlink"/>
          </w:rPr>
          <w:t xml:space="preserve">https://doi.org/10.2307/2406103</w:t>
        </w:r>
      </w:hyperlink>
      <w:r>
        <w:t xml:space="preserve">.</w:t>
      </w:r>
    </w:p>
    <w:bookmarkEnd w:id="76"/>
    <w:bookmarkStart w:id="78"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77">
        <w:r>
          <w:rPr>
            <w:rStyle w:val="Hyperlink"/>
          </w:rPr>
          <w:t xml:space="preserve">https://doi.org/10.1073/pnas.2409658122</w:t>
        </w:r>
      </w:hyperlink>
      <w:r>
        <w:t xml:space="preserve">.</w:t>
      </w:r>
    </w:p>
    <w:bookmarkEnd w:id="78"/>
    <w:bookmarkStart w:id="80"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79">
        <w:r>
          <w:rPr>
            <w:rStyle w:val="Hyperlink"/>
          </w:rPr>
          <w:t xml:space="preserve">https://doi.org/10.2307/1913646</w:t>
        </w:r>
      </w:hyperlink>
      <w:r>
        <w:t xml:space="preserve">.</w:t>
      </w:r>
    </w:p>
    <w:bookmarkEnd w:id="80"/>
    <w:bookmarkStart w:id="82"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81">
        <w:r>
          <w:rPr>
            <w:rStyle w:val="Hyperlink"/>
          </w:rPr>
          <w:t xml:space="preserve">https://github.com/itchyshin/prepR4pcm</w:t>
        </w:r>
      </w:hyperlink>
      <w:r>
        <w:t xml:space="preserve">.</w:t>
      </w:r>
    </w:p>
    <w:bookmarkEnd w:id="82"/>
    <w:bookmarkStart w:id="84"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83">
        <w:r>
          <w:rPr>
            <w:rStyle w:val="Hyperlink"/>
          </w:rPr>
          <w:t xml:space="preserve">https://doi.org/10.1111/2041-210X.12309</w:t>
        </w:r>
      </w:hyperlink>
      <w:r>
        <w:t xml:space="preserve">.</w:t>
      </w:r>
    </w:p>
    <w:bookmarkEnd w:id="84"/>
    <w:bookmarkStart w:id="86"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85">
        <w:r>
          <w:rPr>
            <w:rStyle w:val="Hyperlink"/>
          </w:rPr>
          <w:t xml:space="preserve">https://doi.org/10.1093/sysbio/syy089</w:t>
        </w:r>
      </w:hyperlink>
      <w:r>
        <w:t xml:space="preserve">.</w:t>
      </w:r>
    </w:p>
    <w:bookmarkEnd w:id="86"/>
    <w:bookmarkStart w:id="88"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87">
        <w:r>
          <w:rPr>
            <w:rStyle w:val="Hyperlink"/>
          </w:rPr>
          <w:t xml:space="preserve">https://doi.org/10.1038/nature01286</w:t>
        </w:r>
      </w:hyperlink>
      <w:r>
        <w:t xml:space="preserve">.</w:t>
      </w:r>
    </w:p>
    <w:bookmarkEnd w:id="88"/>
    <w:bookmarkStart w:id="90"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89">
        <w:r>
          <w:rPr>
            <w:rStyle w:val="Hyperlink"/>
          </w:rPr>
          <w:t xml:space="preserve">https://doi.org/10.1016/j.biocon.2009.02.021</w:t>
        </w:r>
      </w:hyperlink>
      <w:r>
        <w:t xml:space="preserve">.</w:t>
      </w:r>
    </w:p>
    <w:bookmarkEnd w:id="90"/>
    <w:bookmarkStart w:id="92"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91">
        <w:r>
          <w:rPr>
            <w:rStyle w:val="Hyperlink"/>
          </w:rPr>
          <w:t xml:space="preserve">https://doi.org/10.1002/ecy.2647</w:t>
        </w:r>
      </w:hyperlink>
      <w:r>
        <w:t xml:space="preserve">.</w:t>
      </w:r>
    </w:p>
    <w:bookmarkEnd w:id="92"/>
    <w:bookmarkStart w:id="94"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93">
        <w:r>
          <w:rPr>
            <w:rStyle w:val="Hyperlink"/>
          </w:rPr>
          <w:t xml:space="preserve">https://doi.org/10.1016/j.tree.2021.07.006</w:t>
        </w:r>
      </w:hyperlink>
      <w:r>
        <w:t xml:space="preserve">.</w:t>
      </w:r>
    </w:p>
    <w:bookmarkEnd w:id="94"/>
    <w:bookmarkStart w:id="96"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95">
        <w:r>
          <w:rPr>
            <w:rStyle w:val="Hyperlink"/>
          </w:rPr>
          <w:t xml:space="preserve">https://doi.org/10/gf389w</w:t>
        </w:r>
      </w:hyperlink>
      <w:r>
        <w:t xml:space="preserve">.</w:t>
      </w:r>
    </w:p>
    <w:bookmarkEnd w:id="96"/>
    <w:bookmarkStart w:id="98"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97">
        <w:r>
          <w:rPr>
            <w:rStyle w:val="Hyperlink"/>
          </w:rPr>
          <w:t xml:space="preserve">https://doi.org/10.1038/nclimate1259</w:t>
        </w:r>
      </w:hyperlink>
      <w:r>
        <w:t xml:space="preserve">.</w:t>
      </w:r>
    </w:p>
    <w:bookmarkEnd w:id="98"/>
    <w:bookmarkStart w:id="100"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99">
        <w:r>
          <w:rPr>
            <w:rStyle w:val="Hyperlink"/>
          </w:rPr>
          <w:t xml:space="preserve">https://doi.org/10.1002/ecy.3580</w:t>
        </w:r>
      </w:hyperlink>
      <w:r>
        <w:t xml:space="preserve">.</w:t>
      </w:r>
    </w:p>
    <w:bookmarkEnd w:id="100"/>
    <w:bookmarkStart w:id="102"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01">
        <w:r>
          <w:rPr>
            <w:rStyle w:val="Hyperlink"/>
          </w:rPr>
          <w:t xml:space="preserve">https://doi.org/10.1111/eva.12129</w:t>
        </w:r>
      </w:hyperlink>
      <w:r>
        <w:t xml:space="preserve">.</w:t>
      </w:r>
    </w:p>
    <w:bookmarkEnd w:id="102"/>
    <w:bookmarkStart w:id="104"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03">
        <w:r>
          <w:rPr>
            <w:rStyle w:val="Hyperlink"/>
          </w:rPr>
          <w:t xml:space="preserve">https://doi.org/10.1073/pnas.0800999105</w:t>
        </w:r>
      </w:hyperlink>
      <w:r>
        <w:t xml:space="preserve">.</w:t>
      </w:r>
    </w:p>
    <w:bookmarkEnd w:id="104"/>
    <w:bookmarkStart w:id="106"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05">
        <w:r>
          <w:rPr>
            <w:rStyle w:val="Hyperlink"/>
          </w:rPr>
          <w:t xml:space="preserve">https://doi.org/10.18637/jss.v036.i03</w:t>
        </w:r>
      </w:hyperlink>
      <w:r>
        <w:t xml:space="preserve">.</w:t>
      </w:r>
    </w:p>
    <w:bookmarkEnd w:id="106"/>
    <w:bookmarkStart w:id="108"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07">
        <w:r>
          <w:rPr>
            <w:rStyle w:val="Hyperlink"/>
          </w:rPr>
          <w:t xml:space="preserve">https://doi.org/10.1111/ele.13434</w:t>
        </w:r>
      </w:hyperlink>
      <w:r>
        <w:t xml:space="preserve">.</w:t>
      </w:r>
    </w:p>
    <w:bookmarkEnd w:id="108"/>
    <w:bookmarkStart w:id="110"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09">
        <w:r>
          <w:rPr>
            <w:rStyle w:val="Hyperlink"/>
          </w:rPr>
          <w:t xml:space="preserve">https://doi.org/10.64898/2025.12.20.695312</w:t>
        </w:r>
      </w:hyperlink>
      <w:r>
        <w:t xml:space="preserve">.</w:t>
      </w:r>
    </w:p>
    <w:bookmarkEnd w:id="110"/>
    <w:bookmarkStart w:id="111"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11"/>
    <w:bookmarkEnd w:id="112"/>
    <w:bookmarkEnd w:id="113"/>
    <w:bookmarkEnd w:id="114"/>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hyperlink" Id="rId91" Target="https://doi.org/10.1002/ecy.2647" TargetMode="External" /><Relationship Type="http://schemas.openxmlformats.org/officeDocument/2006/relationships/hyperlink" Id="rId99" Target="https://doi.org/10.1002/ecy.3580" TargetMode="External" /><Relationship Type="http://schemas.openxmlformats.org/officeDocument/2006/relationships/hyperlink" Id="rId64" Target="https://doi.org/10.1007/s11135-018-0802-x" TargetMode="External" /><Relationship Type="http://schemas.openxmlformats.org/officeDocument/2006/relationships/hyperlink" Id="rId89" Target="https://doi.org/10.1016/j.biocon.2009.02.021" TargetMode="External" /><Relationship Type="http://schemas.openxmlformats.org/officeDocument/2006/relationships/hyperlink" Id="rId68" Target="https://doi.org/10.1016/j.tree.2011.03.005" TargetMode="External" /><Relationship Type="http://schemas.openxmlformats.org/officeDocument/2006/relationships/hyperlink" Id="rId93" Target="https://doi.org/10.1016/j.tree.2021.07.006" TargetMode="External" /><Relationship Type="http://schemas.openxmlformats.org/officeDocument/2006/relationships/hyperlink" Id="rId87" Target="https://doi.org/10.1038/nature01286" TargetMode="External" /><Relationship Type="http://schemas.openxmlformats.org/officeDocument/2006/relationships/hyperlink" Id="rId97" Target="https://doi.org/10.1038/nclimate1259" TargetMode="External" /><Relationship Type="http://schemas.openxmlformats.org/officeDocument/2006/relationships/hyperlink" Id="rId62" Target="https://doi.org/10.1046/j.1466-822X.2002.00313.x" TargetMode="External" /><Relationship Type="http://schemas.openxmlformats.org/officeDocument/2006/relationships/hyperlink" Id="rId103" Target="https://doi.org/10.1073/pnas.0800999105" TargetMode="External" /><Relationship Type="http://schemas.openxmlformats.org/officeDocument/2006/relationships/hyperlink" Id="rId77" Target="https://doi.org/10.1073/pnas.2409658122" TargetMode="External" /><Relationship Type="http://schemas.openxmlformats.org/officeDocument/2006/relationships/hyperlink" Id="rId85" Target="https://doi.org/10.1093/sysbio/syy089" TargetMode="External" /><Relationship Type="http://schemas.openxmlformats.org/officeDocument/2006/relationships/hyperlink" Id="rId73" Target="https://doi.org/10.1098/rsbl.2022.0219" TargetMode="External" /><Relationship Type="http://schemas.openxmlformats.org/officeDocument/2006/relationships/hyperlink" Id="rId83" Target="https://doi.org/10.1111/2041-210X.12309" TargetMode="External" /><Relationship Type="http://schemas.openxmlformats.org/officeDocument/2006/relationships/hyperlink" Id="rId107" Target="https://doi.org/10.1111/ele.13434" TargetMode="External" /><Relationship Type="http://schemas.openxmlformats.org/officeDocument/2006/relationships/hyperlink" Id="rId101" Target="https://doi.org/10.1111/eva.12129" TargetMode="External" /><Relationship Type="http://schemas.openxmlformats.org/officeDocument/2006/relationships/hyperlink" Id="rId71" Target="https://doi.org/10.1126/sciadv.abk1743" TargetMode="External" /><Relationship Type="http://schemas.openxmlformats.org/officeDocument/2006/relationships/hyperlink" Id="rId105" Target="https://doi.org/10.18637/jss.v036.i03" TargetMode="External" /><Relationship Type="http://schemas.openxmlformats.org/officeDocument/2006/relationships/hyperlink" Id="rId79" Target="https://doi.org/10.2307/1913646" TargetMode="External" /><Relationship Type="http://schemas.openxmlformats.org/officeDocument/2006/relationships/hyperlink" Id="rId75" Target="https://doi.org/10.2307/2406103" TargetMode="External" /><Relationship Type="http://schemas.openxmlformats.org/officeDocument/2006/relationships/hyperlink" Id="rId109" Target="https://doi.org/10.64898/2025.12.20.695312" TargetMode="External" /><Relationship Type="http://schemas.openxmlformats.org/officeDocument/2006/relationships/hyperlink" Id="rId95"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1" Target="https://github.com/itchyshin/prepR4pcm" TargetMode="External" /><Relationship Type="http://schemas.openxmlformats.org/officeDocument/2006/relationships/hyperlink" Id="rId66"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ecy.2647" TargetMode="External" /><Relationship Type="http://schemas.openxmlformats.org/officeDocument/2006/relationships/hyperlink" Id="rId99" Target="https://doi.org/10.1002/ecy.3580" TargetMode="External" /><Relationship Type="http://schemas.openxmlformats.org/officeDocument/2006/relationships/hyperlink" Id="rId64" Target="https://doi.org/10.1007/s11135-018-0802-x" TargetMode="External" /><Relationship Type="http://schemas.openxmlformats.org/officeDocument/2006/relationships/hyperlink" Id="rId89" Target="https://doi.org/10.1016/j.biocon.2009.02.021" TargetMode="External" /><Relationship Type="http://schemas.openxmlformats.org/officeDocument/2006/relationships/hyperlink" Id="rId68" Target="https://doi.org/10.1016/j.tree.2011.03.005" TargetMode="External" /><Relationship Type="http://schemas.openxmlformats.org/officeDocument/2006/relationships/hyperlink" Id="rId93" Target="https://doi.org/10.1016/j.tree.2021.07.006" TargetMode="External" /><Relationship Type="http://schemas.openxmlformats.org/officeDocument/2006/relationships/hyperlink" Id="rId87" Target="https://doi.org/10.1038/nature01286" TargetMode="External" /><Relationship Type="http://schemas.openxmlformats.org/officeDocument/2006/relationships/hyperlink" Id="rId97" Target="https://doi.org/10.1038/nclimate1259" TargetMode="External" /><Relationship Type="http://schemas.openxmlformats.org/officeDocument/2006/relationships/hyperlink" Id="rId62" Target="https://doi.org/10.1046/j.1466-822X.2002.00313.x" TargetMode="External" /><Relationship Type="http://schemas.openxmlformats.org/officeDocument/2006/relationships/hyperlink" Id="rId103" Target="https://doi.org/10.1073/pnas.0800999105" TargetMode="External" /><Relationship Type="http://schemas.openxmlformats.org/officeDocument/2006/relationships/hyperlink" Id="rId77" Target="https://doi.org/10.1073/pnas.2409658122" TargetMode="External" /><Relationship Type="http://schemas.openxmlformats.org/officeDocument/2006/relationships/hyperlink" Id="rId85" Target="https://doi.org/10.1093/sysbio/syy089" TargetMode="External" /><Relationship Type="http://schemas.openxmlformats.org/officeDocument/2006/relationships/hyperlink" Id="rId73" Target="https://doi.org/10.1098/rsbl.2022.0219" TargetMode="External" /><Relationship Type="http://schemas.openxmlformats.org/officeDocument/2006/relationships/hyperlink" Id="rId83" Target="https://doi.org/10.1111/2041-210X.12309" TargetMode="External" /><Relationship Type="http://schemas.openxmlformats.org/officeDocument/2006/relationships/hyperlink" Id="rId107" Target="https://doi.org/10.1111/ele.13434" TargetMode="External" /><Relationship Type="http://schemas.openxmlformats.org/officeDocument/2006/relationships/hyperlink" Id="rId101" Target="https://doi.org/10.1111/eva.12129" TargetMode="External" /><Relationship Type="http://schemas.openxmlformats.org/officeDocument/2006/relationships/hyperlink" Id="rId71" Target="https://doi.org/10.1126/sciadv.abk1743" TargetMode="External" /><Relationship Type="http://schemas.openxmlformats.org/officeDocument/2006/relationships/hyperlink" Id="rId105" Target="https://doi.org/10.18637/jss.v036.i03" TargetMode="External" /><Relationship Type="http://schemas.openxmlformats.org/officeDocument/2006/relationships/hyperlink" Id="rId79" Target="https://doi.org/10.2307/1913646" TargetMode="External" /><Relationship Type="http://schemas.openxmlformats.org/officeDocument/2006/relationships/hyperlink" Id="rId75" Target="https://doi.org/10.2307/2406103" TargetMode="External" /><Relationship Type="http://schemas.openxmlformats.org/officeDocument/2006/relationships/hyperlink" Id="rId109" Target="https://doi.org/10.64898/2025.12.20.695312" TargetMode="External" /><Relationship Type="http://schemas.openxmlformats.org/officeDocument/2006/relationships/hyperlink" Id="rId95"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1" Target="https://github.com/itchyshin/prepR4pcm" TargetMode="External" /><Relationship Type="http://schemas.openxmlformats.org/officeDocument/2006/relationships/hyperlink" Id="rId66"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2026-09-10T18:57:06Z</dcterms:created>
  <dcterms:modified xsi:type="dcterms:W3CDTF">2026-09-10T18:57:06Z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proportions maintain geometric scaling.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