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1.png" ContentType="image/png"/>
  <Override PartName="/word/media/rId10.png" ContentType="image/png"/>
  <Override PartName="/word/media/rId25.png" ContentType="image/png"/>
  <Override PartName="/word/media/rId15.png" ContentType="image/png"/>
  <Override PartName="/word/media/rId3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refuting generalized thermoregulatory appendage expansion under Allen’s rule. On 7,577 shared records from the same individuals, body mass was significantly more conserved than expected under cubic geometric shrinkage (+4.85%/decade contrast, 95% CI: +0.81 to +8.89%, rejecting isometry toward slight stoutening), flatly refuting Amazonian slenderization.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7"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(M1) immediately reduced the estimated rate of decline to</w:t>
      </w:r>
      <w:r>
        <w:t xml:space="preserve"> </w:t>
      </w:r>
      <m:oMath>
        <m:r>
          <m:t>β</m:t>
        </m:r>
        <m:r>
          <m:rPr>
            <m:sty m:val="p"/>
          </m:rPr>
          <m:t>=</m:t>
        </m:r>
        <m:r>
          <m:rPr>
            <m:sty m:val="p"/>
          </m:rPr>
          <m:t>−</m:t>
        </m:r>
        <m:r>
          <m:t>0.68</m:t>
        </m:r>
      </m:oMath>
      <w:r>
        <w:t xml:space="preserve"> </w:t>
      </w:r>
      <w:r>
        <w:t xml:space="preserve">mm/SD-year (−1.4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5" w:name="Xe386fa2e79ea564ffc4e1aa08f79406f162231b"/>
    <w:p>
      <w:pPr>
        <w:pStyle w:val="Heading2"/>
      </w:pPr>
      <w:r>
        <w:t xml:space="preserve">2.3 Body mass stability and wing–mass allometry on shared individuals</w:t>
      </w:r>
    </w:p>
    <w:p>
      <w:pPr>
        <w:pStyle w:val="FirstParagraph"/>
      </w:pPr>
      <w:r>
        <w:t xml:space="preserve">In striking contrast to the pervasive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(M1) reduced this slope to</w:t>
      </w:r>
      <w:r>
        <w:t xml:space="preserve"> </w:t>
      </w:r>
      <m:oMath>
        <m:r>
          <m:t>β</m:t>
        </m:r>
        <m:r>
          <m:rPr>
            <m:sty m:val="p"/>
          </m:rPr>
          <m:t>=</m:t>
        </m:r>
        <m:r>
          <m:rPr>
            <m:sty m:val="p"/>
          </m:rPr>
          <m:t>−</m:t>
        </m:r>
        <m:r>
          <m:t>0.0063</m:t>
        </m:r>
      </m:oMath>
      <w:r>
        <w:t xml:space="preserve"> </w:t>
      </w:r>
      <w:r>
        <w:t xml:space="preserve">per SD-year (95% CI: −0.0160 to 0.0034, −1.3%/decade;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(Observer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(Observer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Across the 7,577 shared records measured simultaneously for both traits under observer control,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observer control,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strictly excludes zero, the shared-individual data formally reject strict geometric isometry in favor of mass conservation: passerine body mass declined significantly less than predicted by cubic geometric shrinkage of the wing, leaning toward slight stoutening.</w:t>
      </w:r>
    </w:p>
    <w:p>
      <w:pPr>
        <w:pStyle w:val="BodyText"/>
      </w:pPr>
      <w:r>
        <w:t xml:space="preserve">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and remains completely isolated from the morphological decoupling quadrant documented in the central Amazon (</w:t>
      </w:r>
      <w:r>
        <w:t xml:space="preserve">Jirinec et al. (2021)</w:t>
      </w:r>
      <w:r>
        <w:t xml:space="preserve">), where wings lengthened while body mass declined. Atlantic Forest passerines maintain stable body mass and resist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The green ellipse denotes the 95% confidence ellipse for the Atlantic Forest community under observer control, encompassing mass stasis and excluding Amazonian slenderization. Semi-transparent circles represent species-specific controlled estimates (</w:t>
            </w:r>
            <m:oMath>
              <m:r>
                <m:t>n</m:t>
              </m:r>
              <m:r>
                <m:rPr>
                  <m:sty m:val="p"/>
                </m:rPr>
                <m:t>=</m:t>
              </m:r>
              <m:r>
                <m:t>72</m:t>
              </m:r>
            </m:oMath>
            <w:r>
              <w:t xml:space="preserve">).</w:t>
            </w:r>
          </w:p>
          <w:bookmarkEnd w:id="34"/>
        </w:tc>
      </w:tr>
    </w:tbl>
    <w:bookmarkEnd w:id="35"/>
    <w:bookmarkStart w:id="36"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was accounted for (M1), this apparent positive trajectory collapsed completely (</w:t>
      </w:r>
      <m:oMath>
        <m:r>
          <m:t>β</m:t>
        </m:r>
        <m:r>
          <m:rPr>
            <m:sty m:val="p"/>
          </m:rPr>
          <m:t>=</m:t>
        </m:r>
        <m:r>
          <m:rPr>
            <m:sty m:val="p"/>
          </m:rPr>
          <m:t>−</m:t>
        </m:r>
        <m:r>
          <m:t>0.24</m:t>
        </m:r>
      </m:oMath>
      <w:r>
        <w:t xml:space="preserve"> </w:t>
      </w:r>
      <w:r>
        <w:t xml:space="preserve">mm/SD-year, 95% CI: −0.39 to −0.10,</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36"/>
    <w:bookmarkStart w:id="41"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6</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6</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6</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6</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0" w:name="fig-variability"/>
          <w:p>
            <w:pPr>
              <w:pStyle w:val="Compact"/>
              <w:jc w:val="center"/>
            </w:pPr>
            <w:r>
              <w:drawing>
                <wp:inline>
                  <wp:extent cx="5334000" cy="3270823"/>
                  <wp:effectExtent b="0" l="0" r="0" t="0"/>
                  <wp:docPr descr="" title="" id="38" name="Picture"/>
                  <a:graphic>
                    <a:graphicData uri="http://schemas.openxmlformats.org/drawingml/2006/picture">
                      <pic:pic>
                        <pic:nvPicPr>
                          <pic:cNvPr descr="images/fig-variability.png" id="39" name="Picture"/>
                          <pic:cNvPicPr>
                            <a:picLocks noChangeArrowheads="1" noChangeAspect="1"/>
                          </pic:cNvPicPr>
                        </pic:nvPicPr>
                        <pic:blipFill>
                          <a:blip r:embed="rId37"/>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0"/>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41"/>
    <w:bookmarkStart w:id="46"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7</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7</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5" w:name="fig-dietinteraction"/>
          <w:p>
            <w:pPr>
              <w:pStyle w:val="Compact"/>
              <w:jc w:val="center"/>
            </w:pPr>
            <w:r>
              <w:drawing>
                <wp:inline>
                  <wp:extent cx="5334000" cy="6858000"/>
                  <wp:effectExtent b="0" l="0" r="0" t="0"/>
                  <wp:docPr descr="" title="" id="43" name="Picture"/>
                  <a:graphic>
                    <a:graphicData uri="http://schemas.openxmlformats.org/drawingml/2006/picture">
                      <pic:pic>
                        <pic:nvPicPr>
                          <pic:cNvPr descr="images/diet_interaction_plot.png" id="44" name="Picture"/>
                          <pic:cNvPicPr>
                            <a:picLocks noChangeArrowheads="1" noChangeAspect="1"/>
                          </pic:cNvPicPr>
                        </pic:nvPicPr>
                        <pic:blipFill>
                          <a:blip r:embed="rId42"/>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the interaction attenuates and obligate insectivores exhibit slopes overlapping zero.</w:t>
            </w:r>
          </w:p>
          <w:bookmarkEnd w:id="45"/>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46"/>
    <w:bookmarkEnd w:id="47"/>
    <w:bookmarkStart w:id="53"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refutes Allen’s rule</w:t>
      </w:r>
      <w:r>
        <w:t xml:space="preserve">: Bill width shows no temporal expansion under controls (−0.03 mm/decade), refuting the hypothesis of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flatly refuting Amazonian slenderization.</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8"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48"/>
    <w:bookmarkStart w:id="49"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9"/>
    <w:bookmarkStart w:id="50"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w:t>
      </w:r>
      <m:oMath>
        <m:sSub>
          <m:e>
            <m:r>
              <m:rPr>
                <m:sty m:val="p"/>
              </m:rPr>
              <m:t>Δ</m:t>
            </m:r>
          </m:e>
          <m:sub>
            <m:r>
              <m:rPr>
                <m:nor/>
                <m:sty m:val="p"/>
              </m:rPr>
              <m:t>iso</m:t>
            </m:r>
          </m:sub>
        </m:sSub>
        <m:r>
          <m:rPr>
            <m:sty m:val="p"/>
          </m:rPr>
          <m:t>=</m:t>
        </m:r>
        <m:r>
          <m:rPr>
            <m:sty m:val="p"/>
          </m:rPr>
          <m:t>+</m:t>
        </m:r>
        <m:r>
          <m:t>4.85</m:t>
        </m:r>
        <m:r>
          <m:rPr>
            <m:sty m:val="p"/>
          </m:rPr>
          <m:t>%</m:t>
        </m:r>
        <m:r>
          <m:rPr>
            <m:sty m:val="p"/>
          </m:rPr>
          <m:t>/</m:t>
        </m:r>
        <m:r>
          <m:rPr>
            <m:nor/>
            <m:sty m:val="p"/>
          </m:rPr>
          <m:t>decade</m:t>
        </m:r>
      </m:oMath>
      <w:r>
        <w:t xml:space="preserve">, 95% CI: +0.81 to +8.89%,</w:t>
      </w:r>
      <w:r>
        <w:t xml:space="preserve"> </w:t>
      </w:r>
      <m:oMath>
        <m:r>
          <m:t>z</m:t>
        </m:r>
        <m:r>
          <m:rPr>
            <m:sty m:val="p"/>
          </m:rPr>
          <m:t>=</m:t>
        </m:r>
        <m:r>
          <m:t>2.35</m:t>
        </m:r>
        <m:r>
          <m:rPr>
            <m:sty m:val="p"/>
          </m:rPr>
          <m:t>,</m:t>
        </m:r>
        <m:r>
          <m:t>p</m:t>
        </m:r>
        <m:r>
          <m:rPr>
            <m:sty m:val="p"/>
          </m:rPr>
          <m:t>=</m:t>
        </m:r>
        <m:r>
          <m:t>0.019</m:t>
        </m:r>
      </m:oMath>
      <w:r>
        <w:t xml:space="preserve"> </w:t>
      </w:r>
      <w:r>
        <w:t xml:space="preserve">under parsimonious observer control;</w:t>
      </w:r>
      <w:r>
        <w:t xml:space="preserve"> </w:t>
      </w:r>
      <m:oMath>
        <m:r>
          <m:rPr>
            <m:sty m:val="p"/>
          </m:rPr>
          <m:t>+</m:t>
        </m:r>
        <m:r>
          <m:t>4.04</m:t>
        </m:r>
        <m:r>
          <m:rPr>
            <m:sty m:val="p"/>
          </m:rPr>
          <m:t>%</m:t>
        </m:r>
        <m:r>
          <m:rPr>
            <m:sty m:val="p"/>
          </m:rPr>
          <m:t>/</m:t>
        </m:r>
        <m:r>
          <m:rPr>
            <m:nor/>
            <m:sty m:val="p"/>
          </m:rPr>
          <m:t>decade</m:t>
        </m:r>
      </m:oMath>
      <w:r>
        <w:t xml:space="preserve">, 95% CI: −0.06 to +8.15% under crossed observer and site controls;</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50"/>
    <w:bookmarkStart w:id="51"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51"/>
    <w:bookmarkStart w:id="52"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52"/>
    <w:bookmarkEnd w:id="53"/>
    <w:bookmarkStart w:id="119" w:name="sec-methods"/>
    <w:p>
      <w:pPr>
        <w:pStyle w:val="Heading1"/>
      </w:pPr>
      <w:r>
        <w:t xml:space="preserve">4. Methods</w:t>
      </w:r>
    </w:p>
    <w:bookmarkStart w:id="54"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54"/>
    <w:bookmarkStart w:id="58"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55"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55"/>
    <w:bookmarkStart w:id="56" w:name="Xfad59f5c48d6cb7277320f018ba251711124662"/>
    <w:p>
      <w:pPr>
        <w:pStyle w:val="Heading3"/>
      </w:pPr>
      <w:r>
        <w:t xml:space="preserve">4.2.2 Spatial provenance and continuous environmental controls</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continuous spatial and elevational variation without discarding records or introducing artificial clustering, models incorporated standardized latitude (</w:t>
      </w:r>
      <w:r>
        <w:rPr>
          <w:rStyle w:val="VerbatimChar"/>
        </w:rPr>
        <w:t xml:space="preserve">scaled_lat</w:t>
      </w:r>
      <w:r>
        <w:t xml:space="preserve">), standardized longitude (</w:t>
      </w:r>
      <w:r>
        <w:rPr>
          <w:rStyle w:val="VerbatimChar"/>
        </w:rPr>
        <w:t xml:space="preserve">scaled_long</w:t>
      </w:r>
      <w:r>
        <w:t xml:space="preserve">), and standardized elevation (</w:t>
      </w:r>
      <w:r>
        <w:rPr>
          <w:rStyle w:val="VerbatimChar"/>
        </w:rPr>
        <w:t xml:space="preserve">scaled_elev</w:t>
      </w:r>
      <w:r>
        <w:t xml:space="preserve">) as continuous covariates.</w:t>
      </w:r>
    </w:p>
    <w:bookmarkEnd w:id="56"/>
    <w:bookmarkStart w:id="57" w:name="X7ded9429c4cba6fd745661808c9b73d14ee2c47"/>
    <w:p>
      <w:pPr>
        <w:pStyle w:val="Heading3"/>
      </w:pPr>
      <w:r>
        <w:t xml:space="preserve">4.2.3 Sampling hierarchy, collinearity, and exclusion of administrative municipality</w:t>
      </w:r>
    </w:p>
    <w:p>
      <w:pPr>
        <w:pStyle w:val="FirstParagraph"/>
      </w:pPr>
      <w:r>
        <w:t xml:space="preserve">A critical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Because morphometric measurement error (caliper tension, wing flattening, scale calibration) is a proximate property of the research team rather than administrative municipal boundaries, and because geographic and altitudinal clines are directly controlled via continuous coordinates and elevation, incorporating a redundant</w:t>
      </w:r>
      <w:r>
        <w:t xml:space="preserve"> </w:t>
      </w:r>
      <w:r>
        <w:rPr>
          <w:rStyle w:val="VerbatimChar"/>
        </w:rPr>
        <w:t xml:space="preserve">(1 | Municipality)</w:t>
      </w:r>
      <w:r>
        <w:t xml:space="preserve"> </w:t>
      </w:r>
      <w:r>
        <w:t xml:space="preserve">random intercept induces variance competition, collinearity, and parameter inflation without improving model fit. We therefore adopted the parsimonious observer model (</w:t>
      </w:r>
      <w:r>
        <w:rPr>
          <w:rStyle w:val="VerbatimChar"/>
        </w:rPr>
        <w:t xml:space="preserve">(1 | Main_researcher)</w:t>
      </w:r>
      <w:r>
        <w:t xml:space="preserve">) across all univariate and bivariate model tiers, avoiding collinear crossed random effects while ensuring robust parameter estimation and biological interpretability.</w:t>
      </w:r>
    </w:p>
    <w:bookmarkEnd w:id="57"/>
    <w:bookmarkEnd w:id="58"/>
    <w:bookmarkStart w:id="59"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a random intercept for researcher identity</w:t>
      </w:r>
      <w:r>
        <w:t xml:space="preserve"> </w:t>
      </w:r>
      <w:r>
        <w:rPr>
          <w:rStyle w:val="VerbatimChar"/>
        </w:rPr>
        <w:t xml:space="preserve">(1 | Main_researcher)</w:t>
      </w:r>
      <w:r>
        <w:t xml:space="preserve"> </w:t>
      </w:r>
      <w:r>
        <w:t xml:space="preserve">to absorb inter-observer measurement error.</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59"/>
    <w:bookmarkStart w:id="60"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scaled_long </w:t>
      </w:r>
      <w:r>
        <w:rPr>
          <w:rStyle w:val="SpecialCharTok"/>
        </w:rPr>
        <w:t xml:space="preserve">+</w:t>
      </w:r>
      <w:r>
        <w:rPr>
          <w:rStyle w:val="NormalTok"/>
        </w:rPr>
        <w:t xml:space="preserve"> </w:t>
      </w:r>
      <w:r>
        <w:br/>
      </w:r>
      <w:r>
        <w:rPr>
          <w:rStyle w:val="NormalTok"/>
        </w:rPr>
        <w:t xml:space="preserve">          scaled_elev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br/>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0"/>
    <w:bookmarkStart w:id="61"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longitude, elevation, species-specific random slopes and intercepts across 50 phylogenetic trees, researcher identity,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1"/>
    <w:bookmarkStart w:id="62"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all models incorporated the parsimonious observer random intercept</w:t>
      </w:r>
      <w:r>
        <w:t xml:space="preserve"> </w:t>
      </w:r>
      <w:r>
        <w:rPr>
          <w:rStyle w:val="VerbatimChar"/>
        </w:rPr>
        <w:t xml:space="preserve">(1 | Main_researcher)</w:t>
      </w:r>
      <w:r>
        <w:t xml:space="preserve">, alongside sex, latitude, and species-specific random slopes and intercepts across 50 phylogenetic trees.</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2"/>
    <w:bookmarkStart w:id="63" w:name="X6ff614c3587b78c67248aba5d88ecab96336cc0"/>
    <w:p>
      <w:pPr>
        <w:pStyle w:val="Heading2"/>
      </w:pPr>
      <w:r>
        <w:t xml:space="preserve">4.7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63"/>
    <w:bookmarkStart w:id="64" w:name="Xfd84aa4262ebbdc8c9052e44d41fd99b9baf22f"/>
    <w:p>
      <w:pPr>
        <w:pStyle w:val="Heading2"/>
      </w:pPr>
      <w:r>
        <w:t xml:space="preserve">4.8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64"/>
    <w:bookmarkStart w:id="65" w:name="reproducible-software-environment"/>
    <w:p>
      <w:pPr>
        <w:pStyle w:val="Heading2"/>
      </w:pPr>
      <w:r>
        <w:t xml:space="preserve">4.9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65"/>
    <w:bookmarkStart w:id="118" w:name="references"/>
    <w:p>
      <w:pPr>
        <w:pStyle w:val="Heading2"/>
      </w:pPr>
      <w:r>
        <w:t xml:space="preserve">References</w:t>
      </w:r>
    </w:p>
    <w:bookmarkStart w:id="117" w:name="refs"/>
    <w:bookmarkStart w:id="66"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66"/>
    <w:bookmarkStart w:id="68"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67">
        <w:r>
          <w:rPr>
            <w:rStyle w:val="Hyperlink"/>
          </w:rPr>
          <w:t xml:space="preserve">https://doi.org/10.1046/j.1466-822X.2002.00313.x</w:t>
        </w:r>
      </w:hyperlink>
      <w:r>
        <w:t xml:space="preserve">.</w:t>
      </w:r>
    </w:p>
    <w:bookmarkEnd w:id="68"/>
    <w:bookmarkStart w:id="70"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9">
        <w:r>
          <w:rPr>
            <w:rStyle w:val="Hyperlink"/>
          </w:rPr>
          <w:t xml:space="preserve">https://doi.org/10.1007/s11135-018-0802-x</w:t>
        </w:r>
      </w:hyperlink>
      <w:r>
        <w:t xml:space="preserve">.</w:t>
      </w:r>
    </w:p>
    <w:bookmarkEnd w:id="70"/>
    <w:bookmarkStart w:id="72"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71">
        <w:r>
          <w:rPr>
            <w:rStyle w:val="Hyperlink"/>
          </w:rPr>
          <w:t xml:space="preserve">https://www.digitale-sammlungen.de/en/view/bsb10306637?page=1</w:t>
        </w:r>
      </w:hyperlink>
      <w:r>
        <w:t xml:space="preserve">.</w:t>
      </w:r>
    </w:p>
    <w:bookmarkEnd w:id="72"/>
    <w:bookmarkStart w:id="74"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73">
        <w:r>
          <w:rPr>
            <w:rStyle w:val="Hyperlink"/>
          </w:rPr>
          <w:t xml:space="preserve">https://doi.org/10.1016/j.tree.2011.03.005</w:t>
        </w:r>
      </w:hyperlink>
      <w:r>
        <w:t xml:space="preserve">.</w:t>
      </w:r>
    </w:p>
    <w:bookmarkEnd w:id="74"/>
    <w:bookmarkStart w:id="7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5"/>
    <w:bookmarkStart w:id="77"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76">
        <w:r>
          <w:rPr>
            <w:rStyle w:val="Hyperlink"/>
          </w:rPr>
          <w:t xml:space="preserve">https://doi.org/10.1126/sciadv.abk1743</w:t>
        </w:r>
      </w:hyperlink>
      <w:r>
        <w:t xml:space="preserve">.</w:t>
      </w:r>
    </w:p>
    <w:bookmarkEnd w:id="77"/>
    <w:bookmarkStart w:id="79"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8">
        <w:r>
          <w:rPr>
            <w:rStyle w:val="Hyperlink"/>
          </w:rPr>
          <w:t xml:space="preserve">https://doi.org/10.1098/rsbl.2022.0219</w:t>
        </w:r>
      </w:hyperlink>
      <w:r>
        <w:t xml:space="preserve">.</w:t>
      </w:r>
    </w:p>
    <w:bookmarkEnd w:id="79"/>
    <w:bookmarkStart w:id="81"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80">
        <w:r>
          <w:rPr>
            <w:rStyle w:val="Hyperlink"/>
          </w:rPr>
          <w:t xml:space="preserve">https://doi.org/10.2307/2406103</w:t>
        </w:r>
      </w:hyperlink>
      <w:r>
        <w:t xml:space="preserve">.</w:t>
      </w:r>
    </w:p>
    <w:bookmarkEnd w:id="81"/>
    <w:bookmarkStart w:id="83"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82">
        <w:r>
          <w:rPr>
            <w:rStyle w:val="Hyperlink"/>
          </w:rPr>
          <w:t xml:space="preserve">https://doi.org/10.1073/pnas.2409658122</w:t>
        </w:r>
      </w:hyperlink>
      <w:r>
        <w:t xml:space="preserve">.</w:t>
      </w:r>
    </w:p>
    <w:bookmarkEnd w:id="83"/>
    <w:bookmarkStart w:id="85"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84">
        <w:r>
          <w:rPr>
            <w:rStyle w:val="Hyperlink"/>
          </w:rPr>
          <w:t xml:space="preserve">https://doi.org/10.2307/1913646</w:t>
        </w:r>
      </w:hyperlink>
      <w:r>
        <w:t xml:space="preserve">.</w:t>
      </w:r>
    </w:p>
    <w:bookmarkEnd w:id="85"/>
    <w:bookmarkStart w:id="8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86">
        <w:r>
          <w:rPr>
            <w:rStyle w:val="Hyperlink"/>
          </w:rPr>
          <w:t xml:space="preserve">https://github.com/itchyshin/prepR4pcm</w:t>
        </w:r>
      </w:hyperlink>
      <w:r>
        <w:t xml:space="preserve">.</w:t>
      </w:r>
    </w:p>
    <w:bookmarkEnd w:id="87"/>
    <w:bookmarkStart w:id="89"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8">
        <w:r>
          <w:rPr>
            <w:rStyle w:val="Hyperlink"/>
          </w:rPr>
          <w:t xml:space="preserve">https://doi.org/10.1111/2041-210X.12309</w:t>
        </w:r>
      </w:hyperlink>
      <w:r>
        <w:t xml:space="preserve">.</w:t>
      </w:r>
    </w:p>
    <w:bookmarkEnd w:id="89"/>
    <w:bookmarkStart w:id="91"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90">
        <w:r>
          <w:rPr>
            <w:rStyle w:val="Hyperlink"/>
          </w:rPr>
          <w:t xml:space="preserve">https://doi.org/10.1093/sysbio/syy089</w:t>
        </w:r>
      </w:hyperlink>
      <w:r>
        <w:t xml:space="preserve">.</w:t>
      </w:r>
    </w:p>
    <w:bookmarkEnd w:id="91"/>
    <w:bookmarkStart w:id="93"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92">
        <w:r>
          <w:rPr>
            <w:rStyle w:val="Hyperlink"/>
          </w:rPr>
          <w:t xml:space="preserve">https://doi.org/10.1038/nature01286</w:t>
        </w:r>
      </w:hyperlink>
      <w:r>
        <w:t xml:space="preserve">.</w:t>
      </w:r>
    </w:p>
    <w:bookmarkEnd w:id="93"/>
    <w:bookmarkStart w:id="95"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94">
        <w:r>
          <w:rPr>
            <w:rStyle w:val="Hyperlink"/>
          </w:rPr>
          <w:t xml:space="preserve">https://doi.org/10.1016/j.biocon.2009.02.021</w:t>
        </w:r>
      </w:hyperlink>
      <w:r>
        <w:t xml:space="preserve">.</w:t>
      </w:r>
    </w:p>
    <w:bookmarkEnd w:id="95"/>
    <w:bookmarkStart w:id="97"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96">
        <w:r>
          <w:rPr>
            <w:rStyle w:val="Hyperlink"/>
          </w:rPr>
          <w:t xml:space="preserve">https://doi.org/10.1002/ecy.2647</w:t>
        </w:r>
      </w:hyperlink>
      <w:r>
        <w:t xml:space="preserve">.</w:t>
      </w:r>
    </w:p>
    <w:bookmarkEnd w:id="97"/>
    <w:bookmarkStart w:id="99"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98">
        <w:r>
          <w:rPr>
            <w:rStyle w:val="Hyperlink"/>
          </w:rPr>
          <w:t xml:space="preserve">https://doi.org/10.1016/j.tree.2021.07.006</w:t>
        </w:r>
      </w:hyperlink>
      <w:r>
        <w:t xml:space="preserve">.</w:t>
      </w:r>
    </w:p>
    <w:bookmarkEnd w:id="99"/>
    <w:bookmarkStart w:id="101"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00">
        <w:r>
          <w:rPr>
            <w:rStyle w:val="Hyperlink"/>
          </w:rPr>
          <w:t xml:space="preserve">https://doi.org/10/gf389w</w:t>
        </w:r>
      </w:hyperlink>
      <w:r>
        <w:t xml:space="preserve">.</w:t>
      </w:r>
    </w:p>
    <w:bookmarkEnd w:id="101"/>
    <w:bookmarkStart w:id="103"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02">
        <w:r>
          <w:rPr>
            <w:rStyle w:val="Hyperlink"/>
          </w:rPr>
          <w:t xml:space="preserve">https://doi.org/10.1038/nclimate1259</w:t>
        </w:r>
      </w:hyperlink>
      <w:r>
        <w:t xml:space="preserve">.</w:t>
      </w:r>
    </w:p>
    <w:bookmarkEnd w:id="103"/>
    <w:bookmarkStart w:id="105"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04">
        <w:r>
          <w:rPr>
            <w:rStyle w:val="Hyperlink"/>
          </w:rPr>
          <w:t xml:space="preserve">https://doi.org/10.1002/ecy.3580</w:t>
        </w:r>
      </w:hyperlink>
      <w:r>
        <w:t xml:space="preserve">.</w:t>
      </w:r>
    </w:p>
    <w:bookmarkEnd w:id="105"/>
    <w:bookmarkStart w:id="107"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06">
        <w:r>
          <w:rPr>
            <w:rStyle w:val="Hyperlink"/>
          </w:rPr>
          <w:t xml:space="preserve">https://doi.org/10.1111/eva.12129</w:t>
        </w:r>
      </w:hyperlink>
      <w:r>
        <w:t xml:space="preserve">.</w:t>
      </w:r>
    </w:p>
    <w:bookmarkEnd w:id="107"/>
    <w:bookmarkStart w:id="109"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08">
        <w:r>
          <w:rPr>
            <w:rStyle w:val="Hyperlink"/>
          </w:rPr>
          <w:t xml:space="preserve">https://doi.org/10.1073/pnas.0800999105</w:t>
        </w:r>
      </w:hyperlink>
      <w:r>
        <w:t xml:space="preserve">.</w:t>
      </w:r>
    </w:p>
    <w:bookmarkEnd w:id="109"/>
    <w:bookmarkStart w:id="111"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10">
        <w:r>
          <w:rPr>
            <w:rStyle w:val="Hyperlink"/>
          </w:rPr>
          <w:t xml:space="preserve">https://doi.org/10.18637/jss.v036.i03</w:t>
        </w:r>
      </w:hyperlink>
      <w:r>
        <w:t xml:space="preserve">.</w:t>
      </w:r>
    </w:p>
    <w:bookmarkEnd w:id="111"/>
    <w:bookmarkStart w:id="113"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12">
        <w:r>
          <w:rPr>
            <w:rStyle w:val="Hyperlink"/>
          </w:rPr>
          <w:t xml:space="preserve">https://doi.org/10.1111/ele.13434</w:t>
        </w:r>
      </w:hyperlink>
      <w:r>
        <w:t xml:space="preserve">.</w:t>
      </w:r>
    </w:p>
    <w:bookmarkEnd w:id="113"/>
    <w:bookmarkStart w:id="115"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14">
        <w:r>
          <w:rPr>
            <w:rStyle w:val="Hyperlink"/>
          </w:rPr>
          <w:t xml:space="preserve">https://doi.org/10.64898/2025.12.20.695312</w:t>
        </w:r>
      </w:hyperlink>
      <w:r>
        <w:t xml:space="preserve">.</w:t>
      </w:r>
    </w:p>
    <w:bookmarkEnd w:id="115"/>
    <w:bookmarkStart w:id="116"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16"/>
    <w:bookmarkEnd w:id="117"/>
    <w:bookmarkEnd w:id="118"/>
    <w:bookmarkEnd w:id="11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2026-09-10T20:59:15Z</dcterms:created>
  <dcterms:modified xsi:type="dcterms:W3CDTF">2026-09-10T20:59:15Z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