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9.png" ContentType="image/png"/>
  <Override PartName="/word/media/rId1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30"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our analytical sample from the ATLANTIC BIRD TRAITS database, 47 contributors (research groups, identified by their principal investigator) carried out field mist-netting in 153 municipalities between 1995 and 2018 (42 contributors and 130 municipalities in the wing sample;</w:t>
      </w:r>
      <w:r>
        <w:t xml:space="preserve">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contributors in the wing sample sampled birds in both the early period (1995–2006; 12 active contributors) and the late period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contributor, municipality and the other covariates are modelled (Table S1), and the apparent trends in bill width and trait variance do not persist.</w:t>
      </w:r>
    </w:p>
    <w:p>
      <w:pPr>
        <w:pStyle w:val="BodyText"/>
      </w:pPr>
      <w:r>
        <w:t xml:space="preserve">To resolve genuine biological change from sampling turnover, all models beyond the baseline incorporate random intercepts for contributor and municipality (</w:t>
      </w:r>
      <w:r>
        <w:rPr>
          <w:rStyle w:val="VerbatimChar"/>
        </w:rPr>
        <w:t xml:space="preserve">(1 | Main_researcher)</w:t>
      </w:r>
      <w:r>
        <w:t xml:space="preserve">,</w:t>
      </w:r>
      <w:r>
        <w:t xml:space="preserve"> </w:t>
      </w:r>
      <w:r>
        <w:rPr>
          <w:rStyle w:val="VerbatimChar"/>
        </w:rPr>
        <w:t xml:space="preserve">(1 | Municipality)</w:t>
      </w:r>
      <w:r>
        <w:t xml:space="preserve">). Within-between random effects models [Mundlak REWB;</w:t>
      </w:r>
      <w:r>
        <w:t xml:space="preserve"> </w:t>
      </w:r>
      <w:r>
        <w:t xml:space="preserve">Mundlak (1978)</w:t>
      </w:r>
      <w:r>
        <w:t xml:space="preserve">;</w:t>
      </w:r>
      <w:r>
        <w:t xml:space="preserve"> </w:t>
      </w:r>
      <w:r>
        <w:t xml:space="preserve">Bell et al. (2019)</w:t>
      </w:r>
      <w:r>
        <w:t xml:space="preserve">] do not detect directional change within contributors, but estimate it imprecisely (within-contributor wing slope: −0.3 mm/decade, 95% CI: −1.6 to 1.0; complete cases: 0.1 mm/decade, 95% CI: −1.2 to 1.3; REML).</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contributors (1995–2018). (Top) Number of wing records per calendar year, stacked by the 12 largest research contributors (and an aggregated</w:t>
            </w:r>
            <w:r>
              <w:t xml:space="preserve"> </w:t>
            </w:r>
            <w:r>
              <w:t xml:space="preserve">“Other (30)”</w:t>
            </w:r>
            <w:r>
              <w:t xml:space="preserve"> </w:t>
            </w:r>
            <w:r>
              <w:t xml:space="preserve">category). Daggers (†) mark contributors that sampled birds in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bookmarkEnd w:id="22"/>
    <w:bookmarkStart w:id="27" w:name="X3b085c09a546f6a398ad22d31a5b80de2348c06"/>
    <w:p>
      <w:pPr>
        <w:pStyle w:val="Heading2"/>
      </w:pPr>
      <w:r>
        <w:t xml:space="preserve">1.3 Supplementary Note S3: Species-Level Phenotypic Variability (lnCVR)</w:t>
      </w:r>
    </w:p>
    <w:p>
      <w:pPr>
        <w:pStyle w:val="FirstParagraph"/>
      </w:pPr>
      <w:r>
        <w:t xml:space="preserve">The main text reports among-individual phenotypic variability from continuous heteroscedastic dispersion models. As a complementary species-level summary, we computed log coefficient-of-variation ratios (</w:t>
      </w:r>
      <m:oMath>
        <m:r>
          <m:rPr>
            <m:sty m:val="p"/>
          </m:rPr>
          <m:t>ln</m:t>
        </m:r>
        <m:r>
          <m:rPr>
            <m:nor/>
            <m:sty m:val="p"/>
          </m:rPr>
          <m:t>CVR</m:t>
        </m:r>
      </m:oMath>
      <w:r>
        <w:t xml:space="preserve">) with small-sample bias correction</w:t>
      </w:r>
      <w:r>
        <w:t xml:space="preserve"> </w:t>
      </w:r>
      <w:r>
        <w:t xml:space="preserve">(Nakagawa et al. 2015)</w:t>
      </w:r>
      <w:r>
        <w:t xml:space="preserve"> </w:t>
      </w:r>
      <w:r>
        <w:t xml:space="preserve">for species with</w:t>
      </w:r>
      <w:r>
        <w:t xml:space="preserve"> </w:t>
      </w:r>
      <m:oMath>
        <m:r>
          <m:rPr>
            <m:sty m:val="p"/>
          </m:rPr>
          <m:t>≥</m:t>
        </m:r>
        <m:r>
          <m:t>5</m:t>
        </m:r>
      </m:oMath>
      <w:r>
        <w:t xml:space="preserve"> </w:t>
      </w:r>
      <w:r>
        <w:t xml:space="preserve">records in both the early (1995–2006) and late (2013–2018) periods, pooling effect sizes in random-effects meta-analytic models using</w:t>
      </w:r>
      <w:r>
        <w:t xml:space="preserve"> </w:t>
      </w:r>
      <w:r>
        <w:rPr>
          <w:rStyle w:val="VerbatimChar"/>
        </w:rPr>
        <w:t xml:space="preserve">metafor</w:t>
      </w:r>
      <w:r>
        <w:t xml:space="preserve"> </w:t>
      </w:r>
      <w:r>
        <w:t xml:space="preserve">(Viechtbauer 2010)</w:t>
      </w:r>
      <w:r>
        <w:t xml:space="preserve">. Pooled across contributors, variability appeared to increase (wing length</w:t>
      </w:r>
      <w:r>
        <w:t xml:space="preserve"> </w:t>
      </w:r>
      <m:oMath>
        <m:r>
          <m:rPr>
            <m:sty m:val="p"/>
          </m:rPr>
          <m:t>ln</m:t>
        </m:r>
        <m:r>
          <m:rPr>
            <m:nor/>
            <m:sty m:val="p"/>
          </m:rPr>
          <m:t>CVR</m:t>
        </m:r>
        <m:r>
          <m:rPr>
            <m:sty m:val="p"/>
          </m:rPr>
          <m:t>=</m:t>
        </m:r>
        <m:r>
          <m:rPr>
            <m:sty m:val="p"/>
          </m:rPr>
          <m:t>+</m:t>
        </m:r>
        <m:r>
          <m:t>0.177</m:t>
        </m:r>
      </m:oMath>
      <w:r>
        <w:t xml:space="preserve">, 95% CI: 0.031 to 0.323,</w:t>
      </w:r>
      <w:r>
        <w:t xml:space="preserve"> </w:t>
      </w:r>
      <m:oMath>
        <m:r>
          <m:t>k</m:t>
        </m:r>
        <m:r>
          <m:rPr>
            <m:sty m:val="p"/>
          </m:rPr>
          <m:t>=</m:t>
        </m:r>
        <m:r>
          <m:t>54</m:t>
        </m:r>
      </m:oMath>
      <w:r>
        <w:t xml:space="preserve">; body mass</w:t>
      </w:r>
      <w:r>
        <w:t xml:space="preserve"> </w:t>
      </w:r>
      <m:oMath>
        <m:r>
          <m:rPr>
            <m:sty m:val="p"/>
          </m:rPr>
          <m:t>+</m:t>
        </m:r>
        <m:r>
          <m:t>0.193</m:t>
        </m:r>
      </m:oMath>
      <w:r>
        <w:t xml:space="preserve">, 95% CI: 0.021 to 0.366,</w:t>
      </w:r>
      <w:r>
        <w:t xml:space="preserve"> </w:t>
      </w:r>
      <m:oMath>
        <m:r>
          <m:t>k</m:t>
        </m:r>
        <m:r>
          <m:rPr>
            <m:sty m:val="p"/>
          </m:rPr>
          <m:t>=</m:t>
        </m:r>
        <m:r>
          <m:t>57</m:t>
        </m:r>
      </m:oMath>
      <w:r>
        <w:t xml:space="preserve">; bill width</w:t>
      </w:r>
      <w:r>
        <w:t xml:space="preserve"> </w:t>
      </w:r>
      <m:oMath>
        <m:r>
          <m:rPr>
            <m:sty m:val="p"/>
          </m:rPr>
          <m:t>+</m:t>
        </m:r>
        <m:r>
          <m:t>0.068</m:t>
        </m:r>
      </m:oMath>
      <w:r>
        <w:t xml:space="preserve">, 95% CI: −0.146 to +0.282,</w:t>
      </w:r>
      <w:r>
        <w:t xml:space="preserve"> </w:t>
      </w:r>
      <m:oMath>
        <m:r>
          <m:t>k</m:t>
        </m:r>
        <m:r>
          <m:rPr>
            <m:sty m:val="p"/>
          </m:rPr>
          <m:t>=</m:t>
        </m:r>
        <m:r>
          <m:t>36</m:t>
        </m:r>
      </m:oMath>
      <w:r>
        <w:t xml:space="preserve">). Restricted to within the same contributor, the apparent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 matching the conclusion drawn from the dispersion models. The within-contributor version requires a species to have been sampled by the same contributor in both periods, which few combinations satisfy, so it rests on a considerably smaller and compositionally narrower subset than the pooled comparison.</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3270823"/>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26"/>
        </w:tc>
      </w:tr>
    </w:tbl>
    <w:bookmarkEnd w:id="27"/>
    <w:bookmarkStart w:id="29" w:name="X44e14e2582f1f1a857d73e39aced1ad963ebf7b"/>
    <w:p>
      <w:pPr>
        <w:pStyle w:val="Heading2"/>
      </w:pPr>
      <w:r>
        <w:t xml:space="preserve">1.4 Supplementary Note S4: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s-thermal"/>
          <w:p>
            <w:pPr>
              <w:jc w:val="center"/>
            </w:pPr>
            <w:pPr>
              <w:jc w:val="left"/>
              <w:spacing w:before="200"/>
              <w:pStyle w:val="ImageCaption"/>
            </w:pPr>
            <w:r>
              <w:t xml:space="preserve">Table 1:</w:t>
            </w:r>
            <w:r>
              <w:t xml:space="preserve"> </w:t>
            </w:r>
            <w:r>
              <w:rPr>
                <w:b/>
                <w:bCs/>
              </w:rPr>
              <w:t xml:space="preserve">Supplementary Table S3.</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90"/>
              <w:gridCol w:w="2017"/>
              <w:gridCol w:w="747"/>
              <w:gridCol w:w="672"/>
              <w:gridCol w:w="597"/>
              <w:gridCol w:w="448"/>
              <w:gridCol w:w="597"/>
              <w:gridCol w:w="448"/>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-0.02200</w:t>
                  </w:r>
                </w:p>
              </w:tc>
              <w:tc>
                <w:tcPr/>
                <w:p>
                  <w:pPr>
                    <w:pStyle w:val="Compact"/>
                    <w:jc w:val="right"/>
                    <w:jc w:val="center"/>
                  </w:pPr>
                  <w:r>
                    <w:t xml:space="preserve">0.19600</w:t>
                  </w:r>
                </w:p>
              </w:tc>
              <w:tc>
                <w:tcPr/>
                <w:p>
                  <w:pPr>
                    <w:pStyle w:val="Compact"/>
                    <w:jc w:val="right"/>
                    <w:jc w:val="center"/>
                  </w:pPr>
                  <w:r>
                    <w:t xml:space="preserve">-0.11</w:t>
                  </w:r>
                </w:p>
              </w:tc>
              <w:tc>
                <w:tcPr/>
                <w:p>
                  <w:pPr>
                    <w:pStyle w:val="Compact"/>
                    <w:jc w:val="right"/>
                    <w:jc w:val="center"/>
                  </w:pPr>
                  <w:r>
                    <w:t xml:space="preserve">0.91100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-0.53800</w:t>
                  </w:r>
                </w:p>
              </w:tc>
              <w:tc>
                <w:tcPr/>
                <w:p>
                  <w:pPr>
                    <w:pStyle w:val="Compact"/>
                    <w:jc w:val="right"/>
                    <w:jc w:val="center"/>
                  </w:pPr>
                  <w:r>
                    <w:t xml:space="preserve">0.21900</w:t>
                  </w:r>
                </w:p>
              </w:tc>
              <w:tc>
                <w:tcPr/>
                <w:p>
                  <w:pPr>
                    <w:pStyle w:val="Compact"/>
                    <w:jc w:val="right"/>
                    <w:jc w:val="center"/>
                  </w:pPr>
                  <w:r>
                    <w:t xml:space="preserve">-2.46</w:t>
                  </w:r>
                </w:p>
              </w:tc>
              <w:tc>
                <w:tcPr/>
                <w:p>
                  <w:pPr>
                    <w:pStyle w:val="Compact"/>
                    <w:jc w:val="right"/>
                    <w:jc w:val="center"/>
                  </w:pPr>
                  <w:r>
                    <w:t xml:space="preserve">0.01400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-0.16300</w:t>
                  </w:r>
                </w:p>
              </w:tc>
              <w:tc>
                <w:tcPr/>
                <w:p>
                  <w:pPr>
                    <w:pStyle w:val="Compact"/>
                    <w:jc w:val="right"/>
                    <w:jc w:val="center"/>
                  </w:pPr>
                  <w:r>
                    <w:t xml:space="preserve">0.19500</w:t>
                  </w:r>
                </w:p>
              </w:tc>
              <w:tc>
                <w:tcPr/>
                <w:p>
                  <w:pPr>
                    <w:pStyle w:val="Compact"/>
                    <w:jc w:val="right"/>
                    <w:jc w:val="center"/>
                  </w:pPr>
                  <w:r>
                    <w:t xml:space="preserve">-0.83</w:t>
                  </w:r>
                </w:p>
              </w:tc>
              <w:tc>
                <w:tcPr/>
                <w:p>
                  <w:pPr>
                    <w:pStyle w:val="Compact"/>
                    <w:jc w:val="right"/>
                    <w:jc w:val="center"/>
                  </w:pPr>
                  <w:r>
                    <w:t xml:space="preserve">0.40400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0.00727</w:t>
                  </w:r>
                </w:p>
              </w:tc>
              <w:tc>
                <w:tcPr/>
                <w:p>
                  <w:pPr>
                    <w:pStyle w:val="Compact"/>
                    <w:jc w:val="right"/>
                    <w:jc w:val="center"/>
                  </w:pPr>
                  <w:r>
                    <w:t xml:space="preserve">0.00687</w:t>
                  </w:r>
                </w:p>
              </w:tc>
              <w:tc>
                <w:tcPr/>
                <w:p>
                  <w:pPr>
                    <w:pStyle w:val="Compact"/>
                    <w:jc w:val="right"/>
                    <w:jc w:val="center"/>
                  </w:pPr>
                  <w:r>
                    <w:t xml:space="preserve">1.06</w:t>
                  </w:r>
                </w:p>
              </w:tc>
              <w:tc>
                <w:tcPr/>
                <w:p>
                  <w:pPr>
                    <w:pStyle w:val="Compact"/>
                    <w:jc w:val="right"/>
                    <w:jc w:val="center"/>
                  </w:pPr>
                  <w:r>
                    <w:t xml:space="preserve">0.29000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-0.00189</w:t>
                  </w:r>
                </w:p>
              </w:tc>
              <w:tc>
                <w:tcPr/>
                <w:p>
                  <w:pPr>
                    <w:pStyle w:val="Compact"/>
                    <w:jc w:val="right"/>
                    <w:jc w:val="center"/>
                  </w:pPr>
                  <w:r>
                    <w:t xml:space="preserve">0.00521</w:t>
                  </w:r>
                </w:p>
              </w:tc>
              <w:tc>
                <w:tcPr/>
                <w:p>
                  <w:pPr>
                    <w:pStyle w:val="Compact"/>
                    <w:jc w:val="right"/>
                    <w:jc w:val="center"/>
                  </w:pPr>
                  <w:r>
                    <w:t xml:space="preserve">-0.36</w:t>
                  </w:r>
                </w:p>
              </w:tc>
              <w:tc>
                <w:tcPr/>
                <w:p>
                  <w:pPr>
                    <w:pStyle w:val="Compact"/>
                    <w:jc w:val="right"/>
                    <w:jc w:val="center"/>
                  </w:pPr>
                  <w:r>
                    <w:t xml:space="preserve">0.71700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0.00640</w:t>
                  </w:r>
                </w:p>
              </w:tc>
              <w:tc>
                <w:tcPr/>
                <w:p>
                  <w:pPr>
                    <w:pStyle w:val="Compact"/>
                    <w:jc w:val="right"/>
                    <w:jc w:val="center"/>
                  </w:pPr>
                  <w:r>
                    <w:t xml:space="preserve">0.00681</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0.01570</w:t>
                  </w:r>
                </w:p>
              </w:tc>
              <w:tc>
                <w:tcPr/>
                <w:p>
                  <w:pPr>
                    <w:pStyle w:val="Compact"/>
                    <w:jc w:val="right"/>
                    <w:jc w:val="center"/>
                  </w:pPr>
                  <w:r>
                    <w:t xml:space="preserve">0.00995</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0.01990</w:t>
                  </w:r>
                </w:p>
              </w:tc>
              <w:tc>
                <w:tcPr/>
                <w:p>
                  <w:pPr>
                    <w:pStyle w:val="Compact"/>
                    <w:jc w:val="right"/>
                    <w:jc w:val="center"/>
                  </w:pPr>
                  <w:r>
                    <w:t xml:space="preserve">0.00721</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0.02010</w:t>
                  </w:r>
                </w:p>
              </w:tc>
              <w:tc>
                <w:tcPr/>
                <w:p>
                  <w:pPr>
                    <w:pStyle w:val="Compact"/>
                    <w:jc w:val="right"/>
                    <w:jc w:val="center"/>
                  </w:pPr>
                  <w:r>
                    <w:t xml:space="preserve">0.00985</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-0.00524</w:t>
                  </w:r>
                </w:p>
              </w:tc>
              <w:tc>
                <w:tcPr/>
                <w:p>
                  <w:pPr>
                    <w:pStyle w:val="Compact"/>
                    <w:jc w:val="right"/>
                    <w:jc w:val="center"/>
                  </w:pPr>
                  <w:r>
                    <w:t xml:space="preserve">0.00332</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-0.00664</w:t>
                  </w:r>
                </w:p>
              </w:tc>
              <w:tc>
                <w:tcPr/>
                <w:p>
                  <w:pPr>
                    <w:pStyle w:val="Compact"/>
                    <w:jc w:val="right"/>
                    <w:jc w:val="center"/>
                  </w:pPr>
                  <w:r>
                    <w:t xml:space="preserve">0.00240</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-0.00671</w:t>
                  </w:r>
                </w:p>
              </w:tc>
              <w:tc>
                <w:tcPr/>
                <w:p>
                  <w:pPr>
                    <w:pStyle w:val="Compact"/>
                    <w:jc w:val="right"/>
                    <w:jc w:val="center"/>
                  </w:pPr>
                  <w:r>
                    <w:t xml:space="preserve">0.00328</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-0.32900</w:t>
                  </w:r>
                </w:p>
              </w:tc>
              <w:tc>
                <w:tcPr/>
                <w:p>
                  <w:pPr>
                    <w:pStyle w:val="Compact"/>
                    <w:jc w:val="right"/>
                    <w:jc w:val="center"/>
                  </w:pPr>
                  <w:r>
                    <w:t xml:space="preserve">0.29200</w:t>
                  </w:r>
                </w:p>
              </w:tc>
              <w:tc>
                <w:tcPr/>
                <w:p>
                  <w:pPr>
                    <w:pStyle w:val="Compact"/>
                    <w:jc w:val="right"/>
                    <w:jc w:val="center"/>
                  </w:pPr>
                  <w:r>
                    <w:t xml:space="preserve">-1.13</w:t>
                  </w:r>
                </w:p>
              </w:tc>
              <w:tc>
                <w:tcPr/>
                <w:p>
                  <w:pPr>
                    <w:pStyle w:val="Compact"/>
                    <w:jc w:val="right"/>
                    <w:jc w:val="center"/>
                  </w:pPr>
                  <w:r>
                    <w:t xml:space="preserve">0.25900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0.00574</w:t>
                  </w:r>
                </w:p>
              </w:tc>
              <w:tc>
                <w:tcPr/>
                <w:p>
                  <w:pPr>
                    <w:pStyle w:val="Compact"/>
                    <w:jc w:val="right"/>
                    <w:jc w:val="center"/>
                  </w:pPr>
                  <w:r>
                    <w:t xml:space="preserve">0.00905</w:t>
                  </w:r>
                </w:p>
              </w:tc>
              <w:tc>
                <w:tcPr/>
                <w:p>
                  <w:pPr>
                    <w:pStyle w:val="Compact"/>
                    <w:jc w:val="right"/>
                    <w:jc w:val="center"/>
                  </w:pPr>
                  <w:r>
                    <w:t xml:space="preserve">0.63</w:t>
                  </w:r>
                </w:p>
              </w:tc>
              <w:tc>
                <w:tcPr/>
                <w:p>
                  <w:pPr>
                    <w:pStyle w:val="Compact"/>
                    <w:jc w:val="right"/>
                    <w:jc w:val="center"/>
                  </w:pPr>
                  <w:r>
                    <w:t xml:space="preserve">0.52600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0.02570</w:t>
                  </w:r>
                </w:p>
              </w:tc>
              <w:tc>
                <w:tcPr/>
                <w:p>
                  <w:pPr>
                    <w:pStyle w:val="Compact"/>
                    <w:jc w:val="right"/>
                    <w:jc w:val="center"/>
                  </w:pPr>
                  <w:r>
                    <w:t xml:space="preserve">0.01450</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-0.00858</w:t>
                  </w:r>
                </w:p>
              </w:tc>
              <w:tc>
                <w:tcPr/>
                <w:p>
                  <w:pPr>
                    <w:pStyle w:val="Compact"/>
                    <w:jc w:val="right"/>
                    <w:jc w:val="center"/>
                  </w:pPr>
                  <w:r>
                    <w:t xml:space="preserve">0.00485</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0.01040</w:t>
                  </w:r>
                </w:p>
              </w:tc>
              <w:tc>
                <w:tcPr/>
                <w:p>
                  <w:pPr>
                    <w:pStyle w:val="Compact"/>
                    <w:jc w:val="right"/>
                    <w:jc w:val="center"/>
                  </w:pPr>
                  <w:r>
                    <w:t xml:space="preserve">0.19400</w:t>
                  </w:r>
                </w:p>
              </w:tc>
              <w:tc>
                <w:tcPr/>
                <w:p>
                  <w:pPr>
                    <w:pStyle w:val="Compact"/>
                    <w:jc w:val="right"/>
                    <w:jc w:val="center"/>
                  </w:pPr>
                  <w:r>
                    <w:t xml:space="preserve">0.05</w:t>
                  </w:r>
                </w:p>
              </w:tc>
              <w:tc>
                <w:tcPr/>
                <w:p>
                  <w:pPr>
                    <w:pStyle w:val="Compact"/>
                    <w:jc w:val="right"/>
                    <w:jc w:val="center"/>
                  </w:pPr>
                  <w:r>
                    <w:t xml:space="preserve">0.95700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0.11200</w:t>
                  </w:r>
                </w:p>
              </w:tc>
              <w:tc>
                <w:tcPr/>
                <w:p>
                  <w:pPr>
                    <w:pStyle w:val="Compact"/>
                    <w:jc w:val="right"/>
                    <w:jc w:val="center"/>
                  </w:pPr>
                  <w:r>
                    <w:t xml:space="preserve">0.19600</w:t>
                  </w:r>
                </w:p>
              </w:tc>
              <w:tc>
                <w:tcPr/>
                <w:p>
                  <w:pPr>
                    <w:pStyle w:val="Compact"/>
                    <w:jc w:val="right"/>
                    <w:jc w:val="center"/>
                  </w:pPr>
                  <w:r>
                    <w:t xml:space="preserve">0.57</w:t>
                  </w:r>
                </w:p>
              </w:tc>
              <w:tc>
                <w:tcPr/>
                <w:p>
                  <w:pPr>
                    <w:pStyle w:val="Compact"/>
                    <w:jc w:val="right"/>
                    <w:jc w:val="center"/>
                  </w:pPr>
                  <w:r>
                    <w:t xml:space="preserve">0.56800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-0.29400</w:t>
                  </w:r>
                </w:p>
              </w:tc>
              <w:tc>
                <w:tcPr/>
                <w:p>
                  <w:pPr>
                    <w:pStyle w:val="Compact"/>
                    <w:jc w:val="right"/>
                    <w:jc w:val="center"/>
                  </w:pPr>
                  <w:r>
                    <w:t xml:space="preserve">0.20800</w:t>
                  </w:r>
                </w:p>
              </w:tc>
              <w:tc>
                <w:tcPr/>
                <w:p>
                  <w:pPr>
                    <w:pStyle w:val="Compact"/>
                    <w:jc w:val="right"/>
                    <w:jc w:val="center"/>
                  </w:pPr>
                  <w:r>
                    <w:t xml:space="preserve">-1.41</w:t>
                  </w:r>
                </w:p>
              </w:tc>
              <w:tc>
                <w:tcPr/>
                <w:p>
                  <w:pPr>
                    <w:pStyle w:val="Compact"/>
                    <w:jc w:val="right"/>
                    <w:jc w:val="center"/>
                  </w:pPr>
                  <w:r>
                    <w:t xml:space="preserve">0.15700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0.00485</w:t>
                  </w:r>
                </w:p>
              </w:tc>
              <w:tc>
                <w:tcPr/>
                <w:p>
                  <w:pPr>
                    <w:pStyle w:val="Compact"/>
                    <w:jc w:val="right"/>
                    <w:jc w:val="center"/>
                  </w:pPr>
                  <w:r>
                    <w:t xml:space="preserve">0.00680</w:t>
                  </w:r>
                </w:p>
              </w:tc>
              <w:tc>
                <w:tcPr/>
                <w:p>
                  <w:pPr>
                    <w:pStyle w:val="Compact"/>
                    <w:jc w:val="right"/>
                    <w:jc w:val="center"/>
                  </w:pPr>
                  <w:r>
                    <w:t xml:space="preserve">0.71</w:t>
                  </w:r>
                </w:p>
              </w:tc>
              <w:tc>
                <w:tcPr/>
                <w:p>
                  <w:pPr>
                    <w:pStyle w:val="Compact"/>
                    <w:jc w:val="right"/>
                    <w:jc w:val="center"/>
                  </w:pPr>
                  <w:r>
                    <w:t xml:space="preserve">0.47600</w:t>
                  </w:r>
                </w:p>
              </w:tc>
              <w:tc>
                <w:tcPr/>
                <w:p>
                  <w:pPr>
                    <w:pStyle w:val="Compact"/>
                    <w:jc w:val="right"/>
                    <w:jc w:val="center"/>
                  </w:pPr>
                  <w:r>
                    <w:t xml:space="preserve">38</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0.00596</w:t>
                  </w:r>
                </w:p>
              </w:tc>
              <w:tc>
                <w:tcPr/>
                <w:p>
                  <w:pPr>
                    <w:pStyle w:val="Compact"/>
                    <w:jc w:val="right"/>
                    <w:jc w:val="center"/>
                  </w:pPr>
                  <w:r>
                    <w:t xml:space="preserve">0.00686</w:t>
                  </w:r>
                </w:p>
              </w:tc>
              <w:tc>
                <w:tcPr/>
                <w:p>
                  <w:pPr>
                    <w:pStyle w:val="Compact"/>
                    <w:jc w:val="right"/>
                    <w:jc w:val="center"/>
                  </w:pPr>
                  <w:r>
                    <w:t xml:space="preserve">0.87</w:t>
                  </w:r>
                </w:p>
              </w:tc>
              <w:tc>
                <w:tcPr/>
                <w:p>
                  <w:pPr>
                    <w:pStyle w:val="Compact"/>
                    <w:jc w:val="right"/>
                    <w:jc w:val="center"/>
                  </w:pPr>
                  <w:r>
                    <w:t xml:space="preserve">0.38500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-0.00179</w:t>
                  </w:r>
                </w:p>
              </w:tc>
              <w:tc>
                <w:tcPr/>
                <w:p>
                  <w:pPr>
                    <w:pStyle w:val="Compact"/>
                    <w:jc w:val="right"/>
                    <w:jc w:val="center"/>
                  </w:pPr>
                  <w:r>
                    <w:t xml:space="preserve">0.00441</w:t>
                  </w:r>
                </w:p>
              </w:tc>
              <w:tc>
                <w:tcPr/>
                <w:p>
                  <w:pPr>
                    <w:pStyle w:val="Compact"/>
                    <w:jc w:val="right"/>
                    <w:jc w:val="center"/>
                  </w:pPr>
                  <w:r>
                    <w:t xml:space="preserve">-0.41</w:t>
                  </w:r>
                </w:p>
              </w:tc>
              <w:tc>
                <w:tcPr/>
                <w:p>
                  <w:pPr>
                    <w:pStyle w:val="Compact"/>
                    <w:jc w:val="right"/>
                    <w:jc w:val="center"/>
                  </w:pPr>
                  <w:r>
                    <w:t xml:space="preserve">0.68500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0.01170</w:t>
                  </w:r>
                </w:p>
              </w:tc>
              <w:tc>
                <w:tcPr/>
                <w:p>
                  <w:pPr>
                    <w:pStyle w:val="Compact"/>
                    <w:jc w:val="right"/>
                    <w:jc w:val="center"/>
                  </w:pPr>
                  <w:r>
                    <w:t xml:space="preserve">0.00993</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0.00945</w:t>
                  </w:r>
                </w:p>
              </w:tc>
              <w:tc>
                <w:tcPr/>
                <w:p>
                  <w:pPr>
                    <w:pStyle w:val="Compact"/>
                    <w:jc w:val="right"/>
                    <w:jc w:val="center"/>
                  </w:pPr>
                  <w:r>
                    <w:t xml:space="preserve">0.01010</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0.01120</w:t>
                  </w:r>
                </w:p>
              </w:tc>
              <w:tc>
                <w:tcPr/>
                <w:p>
                  <w:pPr>
                    <w:pStyle w:val="Compact"/>
                    <w:jc w:val="right"/>
                    <w:jc w:val="center"/>
                  </w:pPr>
                  <w:r>
                    <w:t xml:space="preserve">0.00696</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-0.00390</w:t>
                  </w:r>
                </w:p>
              </w:tc>
              <w:tc>
                <w:tcPr/>
                <w:p>
                  <w:pPr>
                    <w:pStyle w:val="Compact"/>
                    <w:jc w:val="right"/>
                    <w:jc w:val="center"/>
                  </w:pPr>
                  <w:r>
                    <w:t xml:space="preserve">0.00331</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47</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-0.00315</w:t>
                  </w:r>
                </w:p>
              </w:tc>
              <w:tc>
                <w:tcPr/>
                <w:p>
                  <w:pPr>
                    <w:pStyle w:val="Compact"/>
                    <w:jc w:val="right"/>
                    <w:jc w:val="center"/>
                  </w:pPr>
                  <w:r>
                    <w:t xml:space="preserve">0.00335</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-0.00372</w:t>
                  </w:r>
                </w:p>
              </w:tc>
              <w:tc>
                <w:tcPr/>
                <w:p>
                  <w:pPr>
                    <w:pStyle w:val="Compact"/>
                    <w:jc w:val="right"/>
                    <w:jc w:val="center"/>
                  </w:pPr>
                  <w:r>
                    <w:t xml:space="preserve">0.00232</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bl>
          <w:bookmarkEnd w:id="28"/>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bookmarkEnd w:id="29"/>
    <w:bookmarkEnd w:id="30"/>
    <w:bookmarkStart w:id="3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31" w:name="tbl-s-wing"/>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REML phylogenetic mixed models of wing length (glmmTMB, pooled across 50 trees; Wald 95% CI), evaluating temporal trajectories across sequential control tiers. M1a is shown to separate the contributor term from the municipality term, which M1 adds together.</w:t>
            </w:r>
          </w:p>
          <w:tbl>
            <w:tblPr>
              <w:tblStyle w:val="Table"/>
              <w:tblW w:type="pct" w:w="5000"/>
              <w:tblLayout w:type="fixed"/>
              <w:tblLook w:firstRow="1" w:lastRow="0" w:firstColumn="0" w:lastColumn="0" w:noHBand="0" w:noVBand="0" w:val="0020"/>
            </w:tblPr>
            <w:tblGrid>
              <w:gridCol w:w="4495"/>
              <w:gridCol w:w="927"/>
              <w:gridCol w:w="1070"/>
              <w:gridCol w:w="998"/>
              <w:gridCol w:w="428"/>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M1a: + Contributor intercept only</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M1: + Contributor and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M1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(M2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M3_noanom: Full controls without the anomalous sampling blocks</w:t>
                  </w:r>
                </w:p>
              </w:tc>
              <w:tc>
                <w:tcPr/>
                <w:p>
                  <w:pPr>
                    <w:pStyle w:val="Compact"/>
                    <w:jc w:val="left"/>
                    <w:jc w:val="center"/>
                  </w:pPr>
                  <w:r>
                    <w:t xml:space="preserve">−0.43</w:t>
                  </w:r>
                </w:p>
              </w:tc>
              <w:tc>
                <w:tcPr/>
                <w:p>
                  <w:pPr>
                    <w:pStyle w:val="Compact"/>
                    <w:jc w:val="left"/>
                    <w:jc w:val="center"/>
                  </w:pPr>
                  <w:r>
                    <w:t xml:space="preserve">[−0.82, −0.05]</w:t>
                  </w:r>
                </w:p>
              </w:tc>
              <w:tc>
                <w:tcPr/>
                <w:p>
                  <w:pPr>
                    <w:pStyle w:val="Compact"/>
                    <w:jc w:val="left"/>
                    <w:jc w:val="center"/>
                  </w:pPr>
                  <w:r>
                    <w:t xml:space="preserve">−0.9</w:t>
                  </w:r>
                </w:p>
              </w:tc>
              <w:tc>
                <w:tcPr/>
                <w:p>
                  <w:pPr>
                    <w:pStyle w:val="Compact"/>
                    <w:jc w:val="left"/>
                    <w:jc w:val="center"/>
                  </w:pPr>
                  <w:r>
                    <w:t xml:space="preserve">8,285</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M5: Within-municipality temporal slope (Mundlak REWB)</w:t>
                  </w:r>
                </w:p>
              </w:tc>
              <w:tc>
                <w:tcPr/>
                <w:p>
                  <w:pPr>
                    <w:pStyle w:val="Compact"/>
                    <w:jc w:val="left"/>
                    <w:jc w:val="center"/>
                  </w:pPr>
                  <w:r>
                    <w:t xml:space="preserve">−0.74</w:t>
                  </w:r>
                </w:p>
              </w:tc>
              <w:tc>
                <w:tcPr/>
                <w:p>
                  <w:pPr>
                    <w:pStyle w:val="Compact"/>
                    <w:jc w:val="left"/>
                    <w:jc w:val="center"/>
                  </w:pPr>
                  <w:r>
                    <w:t xml:space="preserve">[−1.68, 0.21]</w:t>
                  </w:r>
                </w:p>
              </w:tc>
              <w:tc>
                <w:tcPr/>
                <w:p>
                  <w:pPr>
                    <w:pStyle w:val="Compact"/>
                    <w:jc w:val="left"/>
                    <w:jc w:val="center"/>
                  </w:pPr>
                  <w:r>
                    <w:t xml:space="preserve">−1.5</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s-mass"/>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Body mass temporal models across control tiers (REML check on the Bayesian estimates, glmmTMB pooled across 50 phylogenetic trees). Moult is not included because it is not recorded for enough of the body-mass records; M3 and the within-contributor model use the complete-case sample.</w:t>
            </w:r>
          </w:p>
          <w:tbl>
            <w:tblPr>
              <w:tblStyle w:val="Table"/>
              <w:tblW w:type="pct" w:w="5000"/>
              <w:tblLayout w:type="fixed"/>
              <w:tblLook w:firstRow="1" w:lastRow="0" w:firstColumn="0" w:lastColumn="0" w:noHBand="0" w:noVBand="0" w:val="0020"/>
            </w:tblPr>
            <w:tblGrid>
              <w:gridCol w:w="4727"/>
              <w:gridCol w:w="859"/>
              <w:gridCol w:w="1105"/>
              <w:gridCol w:w="798"/>
              <w:gridCol w:w="429"/>
            </w:tblGrid>
            <w:tr>
              <w:trPr>
                <w:tblHeader w:val="on"/>
              </w:trPr>
              <w:tc>
                <w:tcPr/>
                <w:p>
                  <w:pPr>
                    <w:pStyle w:val="Compact"/>
                    <w:jc w:val="left"/>
                    <w:jc w:val="center"/>
                  </w:pPr>
                  <w:r>
                    <w:t xml:space="preserve">Model specification</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Body mass M1 (+ Contributor and municipality intercepts)</w:t>
                  </w:r>
                </w:p>
              </w:tc>
              <w:tc>
                <w:tcPr/>
                <w:p>
                  <w:pPr>
                    <w:pStyle w:val="Compact"/>
                    <w:jc w:val="left"/>
                    <w:jc w:val="center"/>
                  </w:pPr>
                  <w:r>
                    <w:t xml:space="preserve">−0.0056</w:t>
                  </w:r>
                </w:p>
              </w:tc>
              <w:tc>
                <w:tcPr/>
                <w:p>
                  <w:pPr>
                    <w:pStyle w:val="Compact"/>
                    <w:jc w:val="left"/>
                    <w:jc w:val="center"/>
                  </w:pPr>
                  <w:r>
                    <w:t xml:space="preserve">[−0.0164, 0.0051]</w:t>
                  </w:r>
                </w:p>
              </w:tc>
              <w:tc>
                <w:tcPr/>
                <w:p>
                  <w:pPr>
                    <w:pStyle w:val="Compact"/>
                    <w:jc w:val="left"/>
                    <w:jc w:val="center"/>
                  </w:pPr>
                  <w:r>
                    <w:t xml:space="preserve">−1.1%</w:t>
                  </w:r>
                </w:p>
              </w:tc>
              <w:tc>
                <w:tcPr/>
                <w:p>
                  <w:pPr>
                    <w:pStyle w:val="Compact"/>
                    <w:jc w:val="left"/>
                    <w:jc w:val="center"/>
                  </w:pPr>
                  <w:r>
                    <w:t xml:space="preserve">11,256</w:t>
                  </w:r>
                </w:p>
              </w:tc>
            </w:tr>
            <w:tr>
              <w:tc>
                <w:tcPr/>
                <w:p>
                  <w:pPr>
                    <w:pStyle w:val="Compact"/>
                    <w:jc w:val="left"/>
                    <w:jc w:val="center"/>
                  </w:pPr>
                  <w:r>
                    <w:t xml:space="preserve">Body mass M3 Full controls (M1 + Longitude + Altitude + Season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bl>
          <w:bookmarkEnd w:id="32"/>
          <w:p/>
        </w:tc>
      </w:tr>
    </w:tbl>
    <w:bookmarkEnd w:id="33"/>
    <w:bookmarkStart w:id="49" w:name="references"/>
    <w:p>
      <w:pPr>
        <w:pStyle w:val="Heading1"/>
      </w:pPr>
      <w:r>
        <w:t xml:space="preserve">References</w:t>
      </w:r>
    </w:p>
    <w:bookmarkStart w:id="48" w:name="refs"/>
    <w:bookmarkStart w:id="3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34">
        <w:r>
          <w:rPr>
            <w:rStyle w:val="Hyperlink"/>
          </w:rPr>
          <w:t xml:space="preserve">https://doi.org/10.1007/s11135-018-0802-x</w:t>
        </w:r>
      </w:hyperlink>
      <w:r>
        <w:t xml:space="preserve">.</w:t>
      </w:r>
    </w:p>
    <w:bookmarkEnd w:id="35"/>
    <w:bookmarkStart w:id="3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36">
        <w:r>
          <w:rPr>
            <w:rStyle w:val="Hyperlink"/>
          </w:rPr>
          <w:t xml:space="preserve">https://doi.org/10.1038/s41597-020-0453-3</w:t>
        </w:r>
      </w:hyperlink>
      <w:r>
        <w:t xml:space="preserve">.</w:t>
      </w:r>
    </w:p>
    <w:bookmarkEnd w:id="37"/>
    <w:bookmarkStart w:id="3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38">
        <w:r>
          <w:rPr>
            <w:rStyle w:val="Hyperlink"/>
          </w:rPr>
          <w:t xml:space="preserve">https://doi.org/10.2307/1913646</w:t>
        </w:r>
      </w:hyperlink>
      <w:r>
        <w:t xml:space="preserve">.</w:t>
      </w:r>
    </w:p>
    <w:bookmarkEnd w:id="39"/>
    <w:bookmarkStart w:id="4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40">
        <w:r>
          <w:rPr>
            <w:rStyle w:val="Hyperlink"/>
          </w:rPr>
          <w:t xml:space="preserve">https://doi.org/10.1111/2041-210X.12309</w:t>
        </w:r>
      </w:hyperlink>
      <w:r>
        <w:t xml:space="preserve">.</w:t>
      </w:r>
    </w:p>
    <w:bookmarkEnd w:id="41"/>
    <w:bookmarkStart w:id="43"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42">
        <w:r>
          <w:rPr>
            <w:rStyle w:val="Hyperlink"/>
          </w:rPr>
          <w:t xml:space="preserve">https://doi.org/10.1002/ecy.2647</w:t>
        </w:r>
      </w:hyperlink>
      <w:r>
        <w:t xml:space="preserve">.</w:t>
      </w:r>
    </w:p>
    <w:bookmarkEnd w:id="43"/>
    <w:bookmarkStart w:id="4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44">
        <w:r>
          <w:rPr>
            <w:rStyle w:val="Hyperlink"/>
          </w:rPr>
          <w:t xml:space="preserve">https://doi.org/10.18637/jss.v036.i03</w:t>
        </w:r>
      </w:hyperlink>
      <w:r>
        <w:t xml:space="preserve">.</w:t>
      </w:r>
    </w:p>
    <w:bookmarkEnd w:id="45"/>
    <w:bookmarkStart w:id="4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46">
        <w:r>
          <w:rPr>
            <w:rStyle w:val="Hyperlink"/>
          </w:rPr>
          <w:t xml:space="preserve">https://doi.org/10.1111/ele.13434</w:t>
        </w:r>
      </w:hyperlink>
      <w:r>
        <w:t xml:space="preserve">.</w:t>
      </w:r>
    </w:p>
    <w:bookmarkEnd w:id="47"/>
    <w:bookmarkEnd w:id="48"/>
    <w:bookmarkEnd w:id="4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2026-09-30T15:17:51Z</dcterms:created>
  <dcterms:modified xsi:type="dcterms:W3CDTF">2026-09-30T15:17:51Z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