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1.png" ContentType="image/png"/>
  <Override PartName="/word/media/rId10.png" ContentType="image/png"/>
  <Override PartName="/word/media/rId25.png" ContentType="image/png"/>
  <Override PartName="/word/media/rId15.png" ContentType="image/png"/>
  <Override PartName="/word/media/rId3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refuting generalized thermoregulatory appendage expansion under Allen’s rule. On 7,577 shared records from the same individuals, body mass was significantly more conserved than expected under cubic geometric shrinkage (+4.85%/decade contrast, 95% CI: +0.81 to +8.89%, rejecting isometry toward slight stoutening), flatly refuting Amazonian slenderization.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7"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5" w:name="Xe386fa2e79ea564ffc4e1aa08f79406f162231b"/>
    <w:p>
      <w:pPr>
        <w:pStyle w:val="Heading2"/>
      </w:pPr>
      <w:r>
        <w:t xml:space="preserve">2.3 Body mass stability and wing–mass allometry on shared individuals</w:t>
      </w:r>
    </w:p>
    <w:p>
      <w:pPr>
        <w:pStyle w:val="FirstParagraph"/>
      </w:pPr>
      <w:r>
        <w:t xml:space="preserve">In striking contrast to the pervasive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and municipality (M1) reduced this slope to</w:t>
      </w:r>
      <w:r>
        <w:t xml:space="preserve"> </w:t>
      </w:r>
      <m:oMath>
        <m:r>
          <m:t>β</m:t>
        </m:r>
        <m:r>
          <m:rPr>
            <m:sty m:val="p"/>
          </m:rPr>
          <m:t>=</m:t>
        </m:r>
        <m:r>
          <m:rPr>
            <m:sty m:val="p"/>
          </m:rPr>
          <m:t>−</m:t>
        </m:r>
        <m:r>
          <m:t>0.0056</m:t>
        </m:r>
      </m:oMath>
      <w:r>
        <w:t xml:space="preserve"> </w:t>
      </w:r>
      <w:r>
        <w:t xml:space="preserve">per SD-year (95% CI: −0.0164 to 0.0051, −1.1%/decade;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 Municipality)</w:t>
                  </w:r>
                </w:p>
              </w:tc>
              <w:tc>
                <w:tcPr/>
                <w:p>
                  <w:pPr>
                    <w:pStyle w:val="Compact"/>
                    <w:jc w:val="left"/>
                    <w:jc w:val="center"/>
                  </w:pPr>
                  <w:r>
                    <w:t xml:space="preserve">−0.0056</w:t>
                  </w:r>
                </w:p>
              </w:tc>
              <w:tc>
                <w:tcPr/>
                <w:p>
                  <w:pPr>
                    <w:pStyle w:val="Compact"/>
                    <w:jc w:val="left"/>
                    <w:jc w:val="center"/>
                  </w:pPr>
                  <w:r>
                    <w:t xml:space="preserve">[−0.0164, 0.0051]</w:t>
                  </w:r>
                </w:p>
              </w:tc>
              <w:tc>
                <w:tcPr/>
                <w:p>
                  <w:pPr>
                    <w:pStyle w:val="Compact"/>
                    <w:jc w:val="left"/>
                    <w:jc w:val="center"/>
                  </w:pPr>
                  <w:r>
                    <w:t xml:space="preserve">−1.1%</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(M1a Observer only)</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(M1a Observer only)</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(M1a Observer only)</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r>
              <w:tc>
                <w:tcPr/>
                <w:p>
                  <w:pPr>
                    <w:pStyle w:val="Compact"/>
                    <w:jc w:val="left"/>
                    <w:jc w:val="center"/>
                  </w:pPr>
                  <w:r>
                    <w:t xml:space="preserve">Shared records (N = 7,577): Geometric isometry contrast (M1 Observer + Municipality)</w:t>
                  </w:r>
                </w:p>
              </w:tc>
              <w:tc>
                <w:tcPr/>
                <w:p>
                  <w:pPr>
                    <w:pStyle w:val="Compact"/>
                    <w:jc w:val="left"/>
                    <w:jc w:val="center"/>
                  </w:pPr>
                  <w:r>
                    <w:t xml:space="preserve">—</w:t>
                  </w:r>
                </w:p>
              </w:tc>
              <w:tc>
                <w:tcPr/>
                <w:p>
                  <w:pPr>
                    <w:pStyle w:val="Compact"/>
                    <w:jc w:val="left"/>
                    <w:jc w:val="center"/>
                  </w:pPr>
                  <w:r>
                    <w:t xml:space="preserve">[−0.1, 8.1]</w:t>
                  </w:r>
                </w:p>
              </w:tc>
              <w:tc>
                <w:tcPr/>
                <w:p>
                  <w:pPr>
                    <w:pStyle w:val="Compact"/>
                    <w:jc w:val="left"/>
                    <w:jc w:val="center"/>
                  </w:pPr>
                  <w:r>
                    <w:t xml:space="preserve">+4.0%</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In large-scale compilations, administrative municipalities are heavily nested within research groups: in our shared analytical sample, 110 of 128 municipalities (85.9%) were sampled by only a single researcher. Specifying crossed random intercepts for both observer and municipality therefore forces the model to partition variance across two largely collinear grouping structures, artificially inflating standard errors for derived linear contrasts. In our primary, parsimonious observer model (M1a), which directly controls for observer measurement idiosyncrasies while avoiding redundant spatial overcontrolling,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the parsimonious observer model (M1a),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strictly excludes zero, the shared-individual data formally reject strict geometric isometry in favor of mass conservation: passerine body mass declined significantly less than predicted by cubic geometric shrinkage of the wing, leaning toward slight stoutening.</w:t>
      </w:r>
    </w:p>
    <w:p>
      <w:pPr>
        <w:pStyle w:val="BodyText"/>
      </w:pPr>
      <w:r>
        <w:t xml:space="preserve">Under the crossed observer-plus-municipality specification (M1), variance competition between the collinear grouping factors widened the standard error (SE = 2.09% vs. 2.06%), yielding a contrast of +4.0%/decade (95% CI: −0.1 to 8.1%,</w:t>
      </w:r>
      <w:r>
        <w:t xml:space="preserve"> </w:t>
      </w:r>
      <m:oMath>
        <m:r>
          <m:t>z</m:t>
        </m:r>
        <m:r>
          <m:rPr>
            <m:sty m:val="p"/>
          </m:rPr>
          <m:t>=</m:t>
        </m:r>
        <m:r>
          <m:t>1.93</m:t>
        </m:r>
      </m:oMath>
      <w:r>
        <w:t xml:space="preserve">,</w:t>
      </w:r>
      <w:r>
        <w:t xml:space="preserve"> </w:t>
      </w:r>
      <m:oMath>
        <m:r>
          <m:t>p</m:t>
        </m:r>
        <m:r>
          <m:rPr>
            <m:sty m:val="p"/>
          </m:rPr>
          <m:t>=</m:t>
        </m:r>
        <m:r>
          <m:t>0.054</m:t>
        </m:r>
      </m:oMath>
      <w:r>
        <w:t xml:space="preserve">). Crucially, under both specifications, the contrast is strongly positive (+4.0% to +4.9%), never negative. 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and remains completely isolated from the morphological decoupling quadrant documented in the central Amazon (</w:t>
      </w:r>
      <w:r>
        <w:t xml:space="preserve">Jirinec et al. (2021)</w:t>
      </w:r>
      <w:r>
        <w:t xml:space="preserve">), where wings lengthened while body mass declined. Atlantic Forest passerines maintain stable body mass and resist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and crossed observer plus municipality control (M1; purple diamond;</w:t>
            </w:r>
            <w:r>
              <w:t xml:space="preserve"> </w:t>
            </w:r>
            <m:oMath>
              <m:r>
                <m:t>z</m:t>
              </m:r>
              <m:r>
                <m:rPr>
                  <m:sty m:val="p"/>
                </m:rPr>
                <m:t>=</m:t>
              </m:r>
              <m:r>
                <m:t>1.93</m:t>
              </m:r>
              <m:r>
                <m:rPr>
                  <m:sty m:val="p"/>
                </m:rPr>
                <m:t>,</m:t>
              </m:r>
              <m:r>
                <m:t>p</m:t>
              </m:r>
              <m:r>
                <m:rPr>
                  <m:sty m:val="p"/>
                </m:rPr>
                <m:t>=</m:t>
              </m:r>
              <m:r>
                <m:t>0.054</m:t>
              </m:r>
            </m:oMath>
            <w:r>
              <w:t xml:space="preserve">).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Green and purple ellipses denote 95% confidence ellipses for M1a and M1, respectively, which encompass mass stasis and exclude Amazonian slenderization. Semi-transparent circles represent species-specific controlled estimates (</w:t>
            </w:r>
            <m:oMath>
              <m:r>
                <m:t>n</m:t>
              </m:r>
              <m:r>
                <m:rPr>
                  <m:sty m:val="p"/>
                </m:rPr>
                <m:t>=</m:t>
              </m:r>
              <m:r>
                <m:t>72</m:t>
              </m:r>
            </m:oMath>
            <w:r>
              <w:t xml:space="preserve">).</w:t>
            </w:r>
          </w:p>
          <w:bookmarkEnd w:id="34"/>
        </w:tc>
      </w:tr>
    </w:tbl>
    <w:bookmarkEnd w:id="35"/>
    <w:bookmarkStart w:id="36"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and municipality were accounted for (M1), this apparent positive trajectory collapsed completely to zero (</w:t>
      </w:r>
      <m:oMath>
        <m:r>
          <m:t>β</m:t>
        </m:r>
        <m:r>
          <m:rPr>
            <m:sty m:val="p"/>
          </m:rPr>
          <m:t>=</m:t>
        </m:r>
        <m:r>
          <m:rPr>
            <m:sty m:val="p"/>
          </m:rPr>
          <m:t>−</m:t>
        </m:r>
        <m:r>
          <m:t>0.03</m:t>
        </m:r>
      </m:oMath>
      <w:r>
        <w:t xml:space="preserve"> </w:t>
      </w:r>
      <w:r>
        <w:t xml:space="preserve">mm/SD-year, 95% CI: −0.18 to 0.12,</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36"/>
    <w:bookmarkStart w:id="41"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6</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6</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6</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6</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0" w:name="fig-variability"/>
          <w:p>
            <w:pPr>
              <w:pStyle w:val="Compact"/>
              <w:jc w:val="center"/>
            </w:pPr>
            <w:r>
              <w:drawing>
                <wp:inline>
                  <wp:extent cx="5334000" cy="3270823"/>
                  <wp:effectExtent b="0" l="0" r="0" t="0"/>
                  <wp:docPr descr="" title="" id="38" name="Picture"/>
                  <a:graphic>
                    <a:graphicData uri="http://schemas.openxmlformats.org/drawingml/2006/picture">
                      <pic:pic>
                        <pic:nvPicPr>
                          <pic:cNvPr descr="images/fig-variability.png" id="39" name="Picture"/>
                          <pic:cNvPicPr>
                            <a:picLocks noChangeArrowheads="1" noChangeAspect="1"/>
                          </pic:cNvPicPr>
                        </pic:nvPicPr>
                        <pic:blipFill>
                          <a:blip r:embed="rId37"/>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0"/>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and site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41"/>
    <w:bookmarkStart w:id="46"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7</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and municipality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7</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5" w:name="fig-dietinteraction"/>
          <w:p>
            <w:pPr>
              <w:pStyle w:val="Compact"/>
              <w:jc w:val="center"/>
            </w:pPr>
            <w:r>
              <w:drawing>
                <wp:inline>
                  <wp:extent cx="5334000" cy="6858000"/>
                  <wp:effectExtent b="0" l="0" r="0" t="0"/>
                  <wp:docPr descr="" title="" id="43" name="Picture"/>
                  <a:graphic>
                    <a:graphicData uri="http://schemas.openxmlformats.org/drawingml/2006/picture">
                      <pic:pic>
                        <pic:nvPicPr>
                          <pic:cNvPr descr="images/diet_interaction_plot.png" id="44" name="Picture"/>
                          <pic:cNvPicPr>
                            <a:picLocks noChangeArrowheads="1" noChangeAspect="1"/>
                          </pic:cNvPicPr>
                        </pic:nvPicPr>
                        <pic:blipFill>
                          <a:blip r:embed="rId42"/>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and municipality), the interaction attenuates and obligate insectivores exhibit slopes overlapping zero.</w:t>
            </w:r>
          </w:p>
          <w:bookmarkEnd w:id="45"/>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46"/>
    <w:bookmarkEnd w:id="47"/>
    <w:bookmarkStart w:id="53"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refutes Allen’s rule</w:t>
      </w:r>
      <w:r>
        <w:t xml:space="preserve">: Bill width shows no temporal expansion under controls (−0.03 mm/decade), refuting the hypothesis of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flatly refuting Amazonian slenderization.</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8"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48"/>
    <w:bookmarkStart w:id="49"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9"/>
    <w:bookmarkStart w:id="50"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w:t>
      </w:r>
      <m:oMath>
        <m:sSub>
          <m:e>
            <m:r>
              <m:rPr>
                <m:sty m:val="p"/>
              </m:rPr>
              <m:t>Δ</m:t>
            </m:r>
          </m:e>
          <m:sub>
            <m:r>
              <m:rPr>
                <m:nor/>
                <m:sty m:val="p"/>
              </m:rPr>
              <m:t>iso</m:t>
            </m:r>
          </m:sub>
        </m:sSub>
        <m:r>
          <m:rPr>
            <m:sty m:val="p"/>
          </m:rPr>
          <m:t>=</m:t>
        </m:r>
        <m:r>
          <m:rPr>
            <m:sty m:val="p"/>
          </m:rPr>
          <m:t>+</m:t>
        </m:r>
        <m:r>
          <m:t>4.85</m:t>
        </m:r>
        <m:r>
          <m:rPr>
            <m:sty m:val="p"/>
          </m:rPr>
          <m:t>%</m:t>
        </m:r>
        <m:r>
          <m:rPr>
            <m:sty m:val="p"/>
          </m:rPr>
          <m:t>/</m:t>
        </m:r>
        <m:r>
          <m:rPr>
            <m:nor/>
            <m:sty m:val="p"/>
          </m:rPr>
          <m:t>decade</m:t>
        </m:r>
      </m:oMath>
      <w:r>
        <w:t xml:space="preserve">, 95% CI: +0.81 to +8.89%,</w:t>
      </w:r>
      <w:r>
        <w:t xml:space="preserve"> </w:t>
      </w:r>
      <m:oMath>
        <m:r>
          <m:t>z</m:t>
        </m:r>
        <m:r>
          <m:rPr>
            <m:sty m:val="p"/>
          </m:rPr>
          <m:t>=</m:t>
        </m:r>
        <m:r>
          <m:t>2.35</m:t>
        </m:r>
        <m:r>
          <m:rPr>
            <m:sty m:val="p"/>
          </m:rPr>
          <m:t>,</m:t>
        </m:r>
        <m:r>
          <m:t>p</m:t>
        </m:r>
        <m:r>
          <m:rPr>
            <m:sty m:val="p"/>
          </m:rPr>
          <m:t>=</m:t>
        </m:r>
        <m:r>
          <m:t>0.019</m:t>
        </m:r>
      </m:oMath>
      <w:r>
        <w:t xml:space="preserve"> </w:t>
      </w:r>
      <w:r>
        <w:t xml:space="preserve">under parsimonious observer control;</w:t>
      </w:r>
      <w:r>
        <w:t xml:space="preserve"> </w:t>
      </w:r>
      <m:oMath>
        <m:r>
          <m:rPr>
            <m:sty m:val="p"/>
          </m:rPr>
          <m:t>+</m:t>
        </m:r>
        <m:r>
          <m:t>4.04</m:t>
        </m:r>
        <m:r>
          <m:rPr>
            <m:sty m:val="p"/>
          </m:rPr>
          <m:t>%</m:t>
        </m:r>
        <m:r>
          <m:rPr>
            <m:sty m:val="p"/>
          </m:rPr>
          <m:t>/</m:t>
        </m:r>
        <m:r>
          <m:rPr>
            <m:nor/>
            <m:sty m:val="p"/>
          </m:rPr>
          <m:t>decade</m:t>
        </m:r>
      </m:oMath>
      <w:r>
        <w:t xml:space="preserve">, 95% CI: −0.06 to +8.15% under crossed observer and site controls;</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50"/>
    <w:bookmarkStart w:id="51"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51"/>
    <w:bookmarkStart w:id="52"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52"/>
    <w:bookmarkEnd w:id="53"/>
    <w:bookmarkStart w:id="119" w:name="sec-methods"/>
    <w:p>
      <w:pPr>
        <w:pStyle w:val="Heading1"/>
      </w:pPr>
      <w:r>
        <w:t xml:space="preserve">4. Methods</w:t>
      </w:r>
    </w:p>
    <w:bookmarkStart w:id="54"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54"/>
    <w:bookmarkStart w:id="58"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55"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55"/>
    <w:bookmarkStart w:id="56" w:name="X7ec42846ed14f019991479d92721b67651b6e82"/>
    <w:p>
      <w:pPr>
        <w:pStyle w:val="Heading3"/>
      </w:pPr>
      <w:r>
        <w:t xml:space="preserve">4.2.2 Spatial turnover and municipal random effects (</w:t>
      </w:r>
      <w:r>
        <w:rPr>
          <w:rStyle w:val="VerbatimChar"/>
        </w:rPr>
        <w:t xml:space="preserve">Municipality</w:t>
      </w:r>
      <w:r>
        <w:t xml:space="preserve">)</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spatial clustering and local population differentiation, we evaluated spatial grouping variables. While the database contains a specific field station/farm name column (</w:t>
      </w:r>
      <w:r>
        <w:rPr>
          <w:rStyle w:val="VerbatimChar"/>
        </w:rPr>
        <w:t xml:space="preserve">Locality</w:t>
      </w:r>
      <w:r>
        <w:t xml:space="preserve">), this column contains 193 levels and 11% missing values (NA). Using</w:t>
      </w:r>
      <w:r>
        <w:t xml:space="preserve"> </w:t>
      </w:r>
      <w:r>
        <w:rPr>
          <w:rStyle w:val="VerbatimChar"/>
        </w:rPr>
        <w:t xml:space="preserve">Locality</w:t>
      </w:r>
      <w:r>
        <w:t xml:space="preserve"> </w:t>
      </w:r>
      <w:r>
        <w:t xml:space="preserve">as a random effect would therefore discard over 1,000 biological records due to missing locality names. In contrast, municipality (</w:t>
      </w:r>
      <w:r>
        <w:rPr>
          <w:rStyle w:val="VerbatimChar"/>
        </w:rPr>
        <w:t xml:space="preserve">Municipality</w:t>
      </w:r>
      <w:r>
        <w:t xml:space="preserve">, 130 levels) is 100% complete across all 12,571 analytical records.</w:t>
      </w:r>
      <w:r>
        <w:t xml:space="preserve"> </w:t>
      </w:r>
      <w:r>
        <w:rPr>
          <w:rStyle w:val="VerbatimChar"/>
        </w:rPr>
        <w:t xml:space="preserve">Municipality</w:t>
      </w:r>
      <w:r>
        <w:t xml:space="preserve"> </w:t>
      </w:r>
      <w:r>
        <w:t xml:space="preserve">represents an administrative spatial unit that groups contiguous field stations and forest fragments within local landscapes without any data loss. We therefore incorporated</w:t>
      </w:r>
      <w:r>
        <w:t xml:space="preserve"> </w:t>
      </w:r>
      <w:r>
        <w:rPr>
          <w:rStyle w:val="VerbatimChar"/>
        </w:rPr>
        <w:t xml:space="preserve">(1 | Municipality)</w:t>
      </w:r>
      <w:r>
        <w:t xml:space="preserve"> </w:t>
      </w:r>
      <w:r>
        <w:t xml:space="preserve">as a spatial random intercept. To capture continuous spatial and elevational variation, subsequent model tiers also included standardized latitude (</w:t>
      </w:r>
      <w:r>
        <w:rPr>
          <w:rStyle w:val="VerbatimChar"/>
        </w:rPr>
        <w:t xml:space="preserve">scaled_lat</w:t>
      </w:r>
      <w:r>
        <w:t xml:space="preserve">), standardized longitude (</w:t>
      </w:r>
      <w:r>
        <w:rPr>
          <w:rStyle w:val="VerbatimChar"/>
        </w:rPr>
        <w:t xml:space="preserve">scaled_long</w:t>
      </w:r>
      <w:r>
        <w:t xml:space="preserve">), and elevation (</w:t>
      </w:r>
      <w:r>
        <w:rPr>
          <w:rStyle w:val="VerbatimChar"/>
        </w:rPr>
        <w:t xml:space="preserve">scaled_elev</w:t>
      </w:r>
      <w:r>
        <w:t xml:space="preserve">).</w:t>
      </w:r>
    </w:p>
    <w:bookmarkEnd w:id="56"/>
    <w:bookmarkStart w:id="57" w:name="Xa30f2827d24a6efc15db52e8aa988b36f28fc91"/>
    <w:p>
      <w:pPr>
        <w:pStyle w:val="Heading3"/>
      </w:pPr>
      <w:r>
        <w:t xml:space="preserve">4.2.3 Sampling hierarchy, collinearity, and random-effect specifications</w:t>
      </w:r>
    </w:p>
    <w:p>
      <w:pPr>
        <w:pStyle w:val="FirstParagraph"/>
      </w:pPr>
      <w:r>
        <w:t xml:space="preserve">A critical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In our primary single-trait model ladders (M1, M2, M3 for wing length, body mass, and bill width across 11,000–12,500 records), we deliberately retained both</w:t>
      </w:r>
      <w:r>
        <w:t xml:space="preserve"> </w:t>
      </w:r>
      <w:r>
        <w:rPr>
          <w:rStyle w:val="VerbatimChar"/>
        </w:rPr>
        <w:t xml:space="preserve">(1 | Main_researcher)</w:t>
      </w:r>
      <w:r>
        <w:t xml:space="preserve"> </w:t>
      </w:r>
      <w:r>
        <w:t xml:space="preserve">and</w:t>
      </w:r>
      <w:r>
        <w:t xml:space="preserve"> </w:t>
      </w:r>
      <w:r>
        <w:rPr>
          <w:rStyle w:val="VerbatimChar"/>
        </w:rPr>
        <w:t xml:space="preserve">(1 | Municipality)</w:t>
      </w:r>
      <w:r>
        <w:t xml:space="preserve"> </w:t>
      </w:r>
      <w:r>
        <w:t xml:space="preserve">as crossed random intercepts. In these macroecological control tiers, retaining both components provides a conservative dual safeguard:</w:t>
      </w:r>
      <w:r>
        <w:t xml:space="preserve"> </w:t>
      </w:r>
      <w:r>
        <w:rPr>
          <w:rStyle w:val="VerbatimChar"/>
        </w:rPr>
        <w:t xml:space="preserve">(1 | Main_researcher)</w:t>
      </w:r>
      <w:r>
        <w:t xml:space="preserve"> </w:t>
      </w:r>
      <w:r>
        <w:t xml:space="preserve">absorbs idiosyncratic measurement biases among field teams (the dominant proximate driver of caliper tension and wing flattening differences), while</w:t>
      </w:r>
      <w:r>
        <w:t xml:space="preserve"> </w:t>
      </w:r>
      <w:r>
        <w:rPr>
          <w:rStyle w:val="VerbatimChar"/>
        </w:rPr>
        <w:t xml:space="preserve">(1 | Municipality)</w:t>
      </w:r>
      <w:r>
        <w:t xml:space="preserve"> </w:t>
      </w:r>
      <w:r>
        <w:t xml:space="preserve">absorbs fine-scale geographic clustering and local population structure across the biome. As documented in our model comparison ladder (</w:t>
      </w:r>
      <w:hyperlink w:anchor="tbl-controlled-wing">
        <w:r>
          <w:rPr>
            <w:rStyle w:val="Hyperlink"/>
          </w:rPr>
          <w:t xml:space="preserve">Table 1</w:t>
        </w:r>
      </w:hyperlink>
      <w:r>
        <w:t xml:space="preserve">), both components contribute independently to attenuating naive baseline trends without compromising model convergence.</w:t>
      </w:r>
    </w:p>
    <w:p>
      <w:pPr>
        <w:pStyle w:val="BodyText"/>
      </w:pPr>
      <w:r>
        <w:t xml:space="preserve">However, for linear combinations of coefficients across traits—such as the geometric isometry contrast on shared individuals—variance competition between two 86% collinear grouping factors inflates the standard error of the contrast. Because observer technique directly governs morphometric measurement error, we adopted the parsimonious observer model (</w:t>
      </w:r>
      <w:r>
        <w:rPr>
          <w:b/>
          <w:bCs/>
        </w:rPr>
        <w:t xml:space="preserve">M1a</w:t>
      </w:r>
      <w:r>
        <w:t xml:space="preserve">) as the primary specification for the bivariate isometry test, reporting the crossed model (</w:t>
      </w:r>
      <w:r>
        <w:rPr>
          <w:b/>
          <w:bCs/>
        </w:rPr>
        <w:t xml:space="preserve">M1</w:t>
      </w:r>
      <w:r>
        <w:t xml:space="preserve">) alongside it for full sensitivity and transparency.</w:t>
      </w:r>
    </w:p>
    <w:bookmarkEnd w:id="57"/>
    <w:bookmarkEnd w:id="58"/>
    <w:bookmarkStart w:id="59"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random intercepts for researcher identity</w:t>
      </w:r>
      <w:r>
        <w:t xml:space="preserve"> </w:t>
      </w:r>
      <w:r>
        <w:rPr>
          <w:rStyle w:val="VerbatimChar"/>
        </w:rPr>
        <w:t xml:space="preserve">(1 | Main_researcher)</w:t>
      </w:r>
      <w:r>
        <w:t xml:space="preserve"> </w:t>
      </w:r>
      <w:r>
        <w:t xml:space="preserve">and spatial municipality</w:t>
      </w:r>
      <w:r>
        <w:t xml:space="preserve"> </w:t>
      </w:r>
      <w:r>
        <w:rPr>
          <w:rStyle w:val="VerbatimChar"/>
        </w:rPr>
        <w:t xml:space="preserve">(1 | Municipality)</w:t>
      </w:r>
      <w:r>
        <w:t xml:space="preserve">.</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59"/>
    <w:bookmarkStart w:id="60"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0"/>
    <w:bookmarkStart w:id="61"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species-specific random slopes and intercepts across 50 phylogenetic trees, researcher identity, municipality,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1"/>
    <w:bookmarkStart w:id="62"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our primary model specification was the parsimonious observer model (</w:t>
      </w:r>
      <w:r>
        <w:rPr>
          <w:b/>
          <w:bCs/>
        </w:rPr>
        <w:t xml:space="preserve">M1a</w:t>
      </w:r>
      <w:r>
        <w:t xml:space="preserve">), which incorporates</w:t>
      </w:r>
      <w:r>
        <w:t xml:space="preserve"> </w:t>
      </w:r>
      <w:r>
        <w:rPr>
          <w:rStyle w:val="VerbatimChar"/>
        </w:rPr>
        <w:t xml:space="preserve">(1 | Main_researcher)</w:t>
      </w:r>
      <w:r>
        <w:t xml:space="preserve">, sex, latitude, species-specific random slopes and intercepts across 50 phylogenetic trees. For sensitivity comparison, we also fitted the crossed model (</w:t>
      </w:r>
      <w:r>
        <w:rPr>
          <w:b/>
          <w:bCs/>
        </w:rPr>
        <w:t xml:space="preserve">M1</w:t>
      </w:r>
      <w:r>
        <w:t xml:space="preserve">) incorporating both</w:t>
      </w:r>
      <w:r>
        <w:t xml:space="preserve"> </w:t>
      </w:r>
      <w:r>
        <w:rPr>
          <w:rStyle w:val="VerbatimChar"/>
        </w:rPr>
        <w:t xml:space="preserve">(1 | Main_researcher)</w:t>
      </w:r>
      <w:r>
        <w:t xml:space="preserve"> </w:t>
      </w:r>
      <w:r>
        <w:t xml:space="preserve">and</w:t>
      </w:r>
      <w:r>
        <w:t xml:space="preserve"> </w:t>
      </w:r>
      <w:r>
        <w:rPr>
          <w:rStyle w:val="VerbatimChar"/>
        </w:rPr>
        <w:t xml:space="preserve">(1 | Municipality)</w:t>
      </w:r>
      <w:r>
        <w:t xml:space="preserve">.</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2"/>
    <w:bookmarkStart w:id="63" w:name="X6ff614c3587b78c67248aba5d88ecab96336cc0"/>
    <w:p>
      <w:pPr>
        <w:pStyle w:val="Heading2"/>
      </w:pPr>
      <w:r>
        <w:t xml:space="preserve">4.7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r>
            <m:rPr>
              <m:sty m:val="p"/>
            </m:rPr>
            <m:t>+</m:t>
          </m:r>
          <m:sSub>
            <m:e>
              <m:r>
                <m:t>u</m:t>
              </m:r>
            </m:e>
            <m:sub>
              <m:r>
                <m:rPr>
                  <m:nor/>
                  <m:sty m:val="p"/>
                </m:rPr>
                <m:t>municipality</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63"/>
    <w:bookmarkStart w:id="64" w:name="Xfd84aa4262ebbdc8c9052e44d41fd99b9baf22f"/>
    <w:p>
      <w:pPr>
        <w:pStyle w:val="Heading2"/>
      </w:pPr>
      <w:r>
        <w:t xml:space="preserve">4.8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and municipality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64"/>
    <w:bookmarkStart w:id="65" w:name="reproducible-software-environment"/>
    <w:p>
      <w:pPr>
        <w:pStyle w:val="Heading2"/>
      </w:pPr>
      <w:r>
        <w:t xml:space="preserve">4.9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65"/>
    <w:bookmarkStart w:id="118" w:name="references"/>
    <w:p>
      <w:pPr>
        <w:pStyle w:val="Heading2"/>
      </w:pPr>
      <w:r>
        <w:t xml:space="preserve">References</w:t>
      </w:r>
    </w:p>
    <w:bookmarkStart w:id="117" w:name="refs"/>
    <w:bookmarkStart w:id="66"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66"/>
    <w:bookmarkStart w:id="68"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67">
        <w:r>
          <w:rPr>
            <w:rStyle w:val="Hyperlink"/>
          </w:rPr>
          <w:t xml:space="preserve">https://doi.org/10.1046/j.1466-822X.2002.00313.x</w:t>
        </w:r>
      </w:hyperlink>
      <w:r>
        <w:t xml:space="preserve">.</w:t>
      </w:r>
    </w:p>
    <w:bookmarkEnd w:id="68"/>
    <w:bookmarkStart w:id="70"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9">
        <w:r>
          <w:rPr>
            <w:rStyle w:val="Hyperlink"/>
          </w:rPr>
          <w:t xml:space="preserve">https://doi.org/10.1007/s11135-018-0802-x</w:t>
        </w:r>
      </w:hyperlink>
      <w:r>
        <w:t xml:space="preserve">.</w:t>
      </w:r>
    </w:p>
    <w:bookmarkEnd w:id="70"/>
    <w:bookmarkStart w:id="72"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71">
        <w:r>
          <w:rPr>
            <w:rStyle w:val="Hyperlink"/>
          </w:rPr>
          <w:t xml:space="preserve">https://www.digitale-sammlungen.de/en/view/bsb10306637?page=1</w:t>
        </w:r>
      </w:hyperlink>
      <w:r>
        <w:t xml:space="preserve">.</w:t>
      </w:r>
    </w:p>
    <w:bookmarkEnd w:id="72"/>
    <w:bookmarkStart w:id="74"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73">
        <w:r>
          <w:rPr>
            <w:rStyle w:val="Hyperlink"/>
          </w:rPr>
          <w:t xml:space="preserve">https://doi.org/10.1016/j.tree.2011.03.005</w:t>
        </w:r>
      </w:hyperlink>
      <w:r>
        <w:t xml:space="preserve">.</w:t>
      </w:r>
    </w:p>
    <w:bookmarkEnd w:id="74"/>
    <w:bookmarkStart w:id="7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5"/>
    <w:bookmarkStart w:id="77"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76">
        <w:r>
          <w:rPr>
            <w:rStyle w:val="Hyperlink"/>
          </w:rPr>
          <w:t xml:space="preserve">https://doi.org/10.1126/sciadv.abk1743</w:t>
        </w:r>
      </w:hyperlink>
      <w:r>
        <w:t xml:space="preserve">.</w:t>
      </w:r>
    </w:p>
    <w:bookmarkEnd w:id="77"/>
    <w:bookmarkStart w:id="79"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8">
        <w:r>
          <w:rPr>
            <w:rStyle w:val="Hyperlink"/>
          </w:rPr>
          <w:t xml:space="preserve">https://doi.org/10.1098/rsbl.2022.0219</w:t>
        </w:r>
      </w:hyperlink>
      <w:r>
        <w:t xml:space="preserve">.</w:t>
      </w:r>
    </w:p>
    <w:bookmarkEnd w:id="79"/>
    <w:bookmarkStart w:id="81"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80">
        <w:r>
          <w:rPr>
            <w:rStyle w:val="Hyperlink"/>
          </w:rPr>
          <w:t xml:space="preserve">https://doi.org/10.2307/2406103</w:t>
        </w:r>
      </w:hyperlink>
      <w:r>
        <w:t xml:space="preserve">.</w:t>
      </w:r>
    </w:p>
    <w:bookmarkEnd w:id="81"/>
    <w:bookmarkStart w:id="83"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82">
        <w:r>
          <w:rPr>
            <w:rStyle w:val="Hyperlink"/>
          </w:rPr>
          <w:t xml:space="preserve">https://doi.org/10.1073/pnas.2409658122</w:t>
        </w:r>
      </w:hyperlink>
      <w:r>
        <w:t xml:space="preserve">.</w:t>
      </w:r>
    </w:p>
    <w:bookmarkEnd w:id="83"/>
    <w:bookmarkStart w:id="85"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84">
        <w:r>
          <w:rPr>
            <w:rStyle w:val="Hyperlink"/>
          </w:rPr>
          <w:t xml:space="preserve">https://doi.org/10.2307/1913646</w:t>
        </w:r>
      </w:hyperlink>
      <w:r>
        <w:t xml:space="preserve">.</w:t>
      </w:r>
    </w:p>
    <w:bookmarkEnd w:id="85"/>
    <w:bookmarkStart w:id="8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86">
        <w:r>
          <w:rPr>
            <w:rStyle w:val="Hyperlink"/>
          </w:rPr>
          <w:t xml:space="preserve">https://github.com/itchyshin/prepR4pcm</w:t>
        </w:r>
      </w:hyperlink>
      <w:r>
        <w:t xml:space="preserve">.</w:t>
      </w:r>
    </w:p>
    <w:bookmarkEnd w:id="87"/>
    <w:bookmarkStart w:id="89"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8">
        <w:r>
          <w:rPr>
            <w:rStyle w:val="Hyperlink"/>
          </w:rPr>
          <w:t xml:space="preserve">https://doi.org/10.1111/2041-210X.12309</w:t>
        </w:r>
      </w:hyperlink>
      <w:r>
        <w:t xml:space="preserve">.</w:t>
      </w:r>
    </w:p>
    <w:bookmarkEnd w:id="89"/>
    <w:bookmarkStart w:id="91"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90">
        <w:r>
          <w:rPr>
            <w:rStyle w:val="Hyperlink"/>
          </w:rPr>
          <w:t xml:space="preserve">https://doi.org/10.1093/sysbio/syy089</w:t>
        </w:r>
      </w:hyperlink>
      <w:r>
        <w:t xml:space="preserve">.</w:t>
      </w:r>
    </w:p>
    <w:bookmarkEnd w:id="91"/>
    <w:bookmarkStart w:id="93"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92">
        <w:r>
          <w:rPr>
            <w:rStyle w:val="Hyperlink"/>
          </w:rPr>
          <w:t xml:space="preserve">https://doi.org/10.1038/nature01286</w:t>
        </w:r>
      </w:hyperlink>
      <w:r>
        <w:t xml:space="preserve">.</w:t>
      </w:r>
    </w:p>
    <w:bookmarkEnd w:id="93"/>
    <w:bookmarkStart w:id="95"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94">
        <w:r>
          <w:rPr>
            <w:rStyle w:val="Hyperlink"/>
          </w:rPr>
          <w:t xml:space="preserve">https://doi.org/10.1016/j.biocon.2009.02.021</w:t>
        </w:r>
      </w:hyperlink>
      <w:r>
        <w:t xml:space="preserve">.</w:t>
      </w:r>
    </w:p>
    <w:bookmarkEnd w:id="95"/>
    <w:bookmarkStart w:id="97"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96">
        <w:r>
          <w:rPr>
            <w:rStyle w:val="Hyperlink"/>
          </w:rPr>
          <w:t xml:space="preserve">https://doi.org/10.1002/ecy.2647</w:t>
        </w:r>
      </w:hyperlink>
      <w:r>
        <w:t xml:space="preserve">.</w:t>
      </w:r>
    </w:p>
    <w:bookmarkEnd w:id="97"/>
    <w:bookmarkStart w:id="99"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98">
        <w:r>
          <w:rPr>
            <w:rStyle w:val="Hyperlink"/>
          </w:rPr>
          <w:t xml:space="preserve">https://doi.org/10.1016/j.tree.2021.07.006</w:t>
        </w:r>
      </w:hyperlink>
      <w:r>
        <w:t xml:space="preserve">.</w:t>
      </w:r>
    </w:p>
    <w:bookmarkEnd w:id="99"/>
    <w:bookmarkStart w:id="101"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00">
        <w:r>
          <w:rPr>
            <w:rStyle w:val="Hyperlink"/>
          </w:rPr>
          <w:t xml:space="preserve">https://doi.org/10/gf389w</w:t>
        </w:r>
      </w:hyperlink>
      <w:r>
        <w:t xml:space="preserve">.</w:t>
      </w:r>
    </w:p>
    <w:bookmarkEnd w:id="101"/>
    <w:bookmarkStart w:id="103"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02">
        <w:r>
          <w:rPr>
            <w:rStyle w:val="Hyperlink"/>
          </w:rPr>
          <w:t xml:space="preserve">https://doi.org/10.1038/nclimate1259</w:t>
        </w:r>
      </w:hyperlink>
      <w:r>
        <w:t xml:space="preserve">.</w:t>
      </w:r>
    </w:p>
    <w:bookmarkEnd w:id="103"/>
    <w:bookmarkStart w:id="105"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04">
        <w:r>
          <w:rPr>
            <w:rStyle w:val="Hyperlink"/>
          </w:rPr>
          <w:t xml:space="preserve">https://doi.org/10.1002/ecy.3580</w:t>
        </w:r>
      </w:hyperlink>
      <w:r>
        <w:t xml:space="preserve">.</w:t>
      </w:r>
    </w:p>
    <w:bookmarkEnd w:id="105"/>
    <w:bookmarkStart w:id="107"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06">
        <w:r>
          <w:rPr>
            <w:rStyle w:val="Hyperlink"/>
          </w:rPr>
          <w:t xml:space="preserve">https://doi.org/10.1111/eva.12129</w:t>
        </w:r>
      </w:hyperlink>
      <w:r>
        <w:t xml:space="preserve">.</w:t>
      </w:r>
    </w:p>
    <w:bookmarkEnd w:id="107"/>
    <w:bookmarkStart w:id="109"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08">
        <w:r>
          <w:rPr>
            <w:rStyle w:val="Hyperlink"/>
          </w:rPr>
          <w:t xml:space="preserve">https://doi.org/10.1073/pnas.0800999105</w:t>
        </w:r>
      </w:hyperlink>
      <w:r>
        <w:t xml:space="preserve">.</w:t>
      </w:r>
    </w:p>
    <w:bookmarkEnd w:id="109"/>
    <w:bookmarkStart w:id="111"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10">
        <w:r>
          <w:rPr>
            <w:rStyle w:val="Hyperlink"/>
          </w:rPr>
          <w:t xml:space="preserve">https://doi.org/10.18637/jss.v036.i03</w:t>
        </w:r>
      </w:hyperlink>
      <w:r>
        <w:t xml:space="preserve">.</w:t>
      </w:r>
    </w:p>
    <w:bookmarkEnd w:id="111"/>
    <w:bookmarkStart w:id="113"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12">
        <w:r>
          <w:rPr>
            <w:rStyle w:val="Hyperlink"/>
          </w:rPr>
          <w:t xml:space="preserve">https://doi.org/10.1111/ele.13434</w:t>
        </w:r>
      </w:hyperlink>
      <w:r>
        <w:t xml:space="preserve">.</w:t>
      </w:r>
    </w:p>
    <w:bookmarkEnd w:id="113"/>
    <w:bookmarkStart w:id="115"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14">
        <w:r>
          <w:rPr>
            <w:rStyle w:val="Hyperlink"/>
          </w:rPr>
          <w:t xml:space="preserve">https://doi.org/10.64898/2025.12.20.695312</w:t>
        </w:r>
      </w:hyperlink>
      <w:r>
        <w:t xml:space="preserve">.</w:t>
      </w:r>
    </w:p>
    <w:bookmarkEnd w:id="115"/>
    <w:bookmarkStart w:id="116"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16"/>
    <w:bookmarkEnd w:id="117"/>
    <w:bookmarkEnd w:id="118"/>
    <w:bookmarkEnd w:id="11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2026-09-10T20:46:06Z</dcterms:created>
  <dcterms:modified xsi:type="dcterms:W3CDTF">2026-09-10T20:46:06Z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