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5.png" ContentType="image/png"/>
  <Override PartName="/word/media/rId31.png" ContentType="image/png"/>
  <Override PartName="/word/media/rId27.png" ContentType="image/png"/>
  <Override PartName="/word/media/rId23.png" ContentType="image/png"/>
  <Override PartName="/word/media/rId18.png" ContentType="image/png"/>
  <Override PartName="/word/media/rId40.png" ContentType="image/png"/>
  <Override PartName="/word/media/rId9.png" ContentType="image/png"/>
  <Override PartName="/word/media/rId35.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Morphological stability and subtle phenotypic shifts in Atlantic Forest birds across two decades of climate warming</w:t>
      </w:r>
    </w:p>
    <w:p>
      <w:pPr>
        <w:pStyle w:val="Author"/>
      </w:pPr>
      <w:r>
        <w:t xml:space="preserve">Eduardo S.A. Santos</w:t>
      </w:r>
    </w:p>
    <w:p>
      <w:pPr>
        <w:pStyle w:val="Author"/>
      </w:pPr>
      <w:r>
        <w:t xml:space="preserve">Ayumi Mizuno</w:t>
      </w:r>
    </w:p>
    <w:p>
      <w:pPr>
        <w:pStyle w:val="Author"/>
      </w:pPr>
      <w:r>
        <w:t xml:space="preserve">Santiago Ortega</w:t>
      </w:r>
    </w:p>
    <w:p>
      <w:pPr>
        <w:pStyle w:val="Author"/>
      </w:pPr>
      <w:r>
        <w:t xml:space="preserve">João C.T. Menezes</w:t>
      </w:r>
    </w:p>
    <w:p>
      <w:pPr>
        <w:pStyle w:val="Author"/>
      </w:pPr>
      <w:r>
        <w:t xml:space="preserve">Gustavo Burin</w:t>
      </w:r>
    </w:p>
    <w:bookmarkStart w:id="50" w:name="supplementary-notes"/>
    <w:p>
      <w:pPr>
        <w:pStyle w:val="Heading1"/>
      </w:pPr>
      <w:r>
        <w:t xml:space="preserve">1. Supplementary Notes</w:t>
      </w:r>
    </w:p>
    <w:bookmarkStart w:id="17" w:name="Xc87ec99729d355f1ce6c562c4677f087d468f9f"/>
    <w:p>
      <w:pPr>
        <w:pStyle w:val="Heading2"/>
      </w:pPr>
      <w:r>
        <w:t xml:space="preserve">1.1 Supplementary Note S1: Macroecological Provenance and Observer Turnover</w:t>
      </w:r>
    </w:p>
    <w:p>
      <w:pPr>
        <w:pStyle w:val="FirstParagraph"/>
      </w:pPr>
      <w:r>
        <w:t xml:space="preserve">Large-scale biodiversity trait compilations aggregate measurements across numerous independent research initiatives spanning wide geographical territories and multiple decades</w:t>
      </w:r>
      <w:r>
        <w:t xml:space="preserve"> </w:t>
      </w:r>
      <w:r>
        <w:t xml:space="preserve">(Rodrigues et al. 2019)</w:t>
      </w:r>
      <w:r>
        <w:t xml:space="preserve">. In the ATLANTIC BIRD TRAITS database, 42 primary researchers coordinated field mist-netting across 139 named municipalities between 1995 and 2018 (</w:t>
      </w:r>
      <w:hyperlink w:anchor="fig-s-records">
        <w:r>
          <w:rPr>
            <w:rStyle w:val="Hyperlink"/>
          </w:rPr>
          <w:t xml:space="preserve">Figure 1</w:t>
        </w:r>
      </w:hyperlink>
      <w:r>
        <w:t xml:space="preserve">).</w:t>
      </w:r>
    </w:p>
    <w:p>
      <w:pPr>
        <w:pStyle w:val="BodyText"/>
      </w:pPr>
      <w:r>
        <w:t xml:space="preserve">A provenance audit revealed substantial compositional turnover among active research teams over time: only 6 of the 42 primary researchers sampled birds in both the early quartile (1995–2006; 12 active contributors) and the late quartile (2013–2018; 33 active contributors;</w:t>
      </w:r>
      <w:r>
        <w:t xml:space="preserve"> </w:t>
      </w:r>
      <w:hyperlink w:anchor="fig-s-records">
        <w:r>
          <w:rPr>
            <w:rStyle w:val="Hyperlink"/>
          </w:rPr>
          <w:t xml:space="preserve">Figure 1</w:t>
        </w:r>
      </w:hyperlink>
      <w:r>
        <w:t xml:space="preserve">). Furthermore, spatial sampling expanded northward and into higher-elevation montane habitats during the latter half of the time series. In avian morphometrics, inter-observer measurement differences frequently reach 1–3 mm for wing length and 0.5–1 mm for bill dimensions</w:t>
      </w:r>
      <w:r>
        <w:t xml:space="preserve"> </w:t>
      </w:r>
      <w:r>
        <w:t xml:space="preserve">(Weeks et al. 2020)</w:t>
      </w:r>
      <w:r>
        <w:t xml:space="preserve">. When observer identity is left uncontrolled, compositional turnover mimics temporal phenotypic change, accounting for approximately 60% of the apparent unadjusted wing-length decline and creating spurious trends in bill width and trait variance.</w:t>
      </w:r>
    </w:p>
    <w:p>
      <w:pPr>
        <w:pStyle w:val="BodyText"/>
      </w:pPr>
      <w:r>
        <w:t xml:space="preserve">To resolve genuine biological change from sampling turnover, all primary models incorporate random intercepts for primary researcher (</w:t>
      </w:r>
      <w:r>
        <w:rPr>
          <w:rStyle w:val="VerbatimChar"/>
        </w:rPr>
        <w:t xml:space="preserve">(1 | Main_researcher)</w:t>
      </w:r>
      <w:r>
        <w:t xml:space="preserve">). In addition, within-between random effects models [Mundlak REWB;</w:t>
      </w:r>
      <w:r>
        <w:t xml:space="preserve"> </w:t>
      </w:r>
      <w:r>
        <w:t xml:space="preserve">Mundlak (1978)</w:t>
      </w:r>
      <w:r>
        <w:t xml:space="preserve">;</w:t>
      </w:r>
      <w:r>
        <w:t xml:space="preserve"> </w:t>
      </w:r>
      <w:r>
        <w:t xml:space="preserve">Bell et al. (2019)</w:t>
      </w:r>
      <w:r>
        <w:t xml:space="preserve">] demonstrate that morphological traits remained stable within consistent individual researchers over time (e.g., within-observer wing slope:</w:t>
      </w:r>
      <w:r>
        <w:t xml:space="preserve"> </w:t>
      </w:r>
      <m:oMath>
        <m:r>
          <m:rPr>
            <m:sty m:val="p"/>
          </m:rPr>
          <m:t>−</m:t>
        </m:r>
        <m:r>
          <m:t>0.32</m:t>
        </m:r>
      </m:oMath>
      <w:r>
        <w:t xml:space="preserve"> </w:t>
      </w:r>
      <w:r>
        <w:t xml:space="preserve">mm/decade, 95% CI:</w:t>
      </w:r>
      <w:r>
        <w:t xml:space="preserve"> </w:t>
      </w:r>
      <m:oMath>
        <m:r>
          <m:rPr>
            <m:sty m:val="p"/>
          </m:rPr>
          <m:t>−</m:t>
        </m:r>
        <m:r>
          <m:t>1.59</m:t>
        </m:r>
      </m:oMath>
      <w:r>
        <w:t xml:space="preserve"> </w:t>
      </w:r>
      <w:r>
        <w:t xml:space="preserve">to</w:t>
      </w:r>
      <w:r>
        <w:t xml:space="preserve"> </w:t>
      </w:r>
      <m:oMath>
        <m:r>
          <m:rPr>
            <m:sty m:val="p"/>
          </m:rPr>
          <m:t>+</m:t>
        </m:r>
        <m:r>
          <m:t>0.96</m:t>
        </m:r>
      </m:oMath>
      <w:r>
        <w:t xml:space="preserve"> </w:t>
      </w:r>
      <w:r>
        <w:t xml:space="preserve">mm/decade; complete cases:</w:t>
      </w:r>
      <w:r>
        <w:t xml:space="preserve"> </w:t>
      </w:r>
      <m:oMath>
        <m:r>
          <m:rPr>
            <m:sty m:val="p"/>
          </m:rPr>
          <m:t>+</m:t>
        </m:r>
        <m:r>
          <m:t>0.03</m:t>
        </m:r>
      </m:oMath>
      <w:r>
        <w:t xml:space="preserve"> </w:t>
      </w:r>
      <w:r>
        <w:t xml:space="preserve">mm/decade, 95% CI:</w:t>
      </w:r>
      <w:r>
        <w:t xml:space="preserve"> </w:t>
      </w:r>
      <m:oMath>
        <m:r>
          <m:rPr>
            <m:sty m:val="p"/>
          </m:rPr>
          <m:t>−</m:t>
        </m:r>
        <m:r>
          <m:t>0.58</m:t>
        </m:r>
      </m:oMath>
      <w:r>
        <w:t xml:space="preserve"> </w:t>
      </w:r>
      <w:r>
        <w:t xml:space="preserve">to</w:t>
      </w:r>
      <w:r>
        <w:t xml:space="preserve"> </w:t>
      </w:r>
      <m:oMath>
        <m:r>
          <m:rPr>
            <m:sty m:val="p"/>
          </m:rPr>
          <m:t>+</m:t>
        </m:r>
        <m:r>
          <m:t>0.63</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2" w:name="fig-s-records"/>
          <w:p>
            <w:pPr>
              <w:pStyle w:val="Compact"/>
              <w:jc w:val="center"/>
            </w:pPr>
            <w:r>
              <w:drawing>
                <wp:inline>
                  <wp:extent cx="5334000" cy="3923809"/>
                  <wp:effectExtent b="0" l="0" r="0" t="0"/>
                  <wp:docPr descr="" title="" id="10" name="Picture"/>
                  <a:graphic>
                    <a:graphicData uri="http://schemas.openxmlformats.org/drawingml/2006/picture">
                      <pic:pic>
                        <pic:nvPicPr>
                          <pic:cNvPr descr="images/fig-s-records-by-source.png" id="11" name="Picture"/>
                          <pic:cNvPicPr>
                            <a:picLocks noChangeArrowheads="1" noChangeAspect="1"/>
                          </pic:cNvPicPr>
                        </pic:nvPicPr>
                        <pic:blipFill>
                          <a:blip r:embed="rId9"/>
                          <a:stretch>
                            <a:fillRect/>
                          </a:stretch>
                        </pic:blipFill>
                        <pic:spPr bwMode="auto">
                          <a:xfrm>
                            <a:off x="0" y="0"/>
                            <a:ext cx="5334000" cy="39238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Supplementary Figure S1.</w:t>
            </w:r>
            <w:r>
              <w:t xml:space="preserve"> </w:t>
            </w:r>
            <w:r>
              <w:t xml:space="preserve">Temporal distribution of live-capture passerine wing records across primary researchers (1995–2018). (Top) Number of wing records per calendar year, stacked by the 12 largest research contributors (and an aggregated</w:t>
            </w:r>
            <w:r>
              <w:t xml:space="preserve"> </w:t>
            </w:r>
            <w:r>
              <w:t xml:space="preserve">“Other (30)”</w:t>
            </w:r>
            <w:r>
              <w:t xml:space="preserve"> </w:t>
            </w:r>
            <w:r>
              <w:t xml:space="preserve">category). Daggers (†) mark research teams that continuously sampled birds across both the early (1995–2006) and late (2013–2018) periods. (Bottom) Number of active research contributors per calendar year.</w:t>
            </w:r>
          </w:p>
          <w:bookmarkEnd w:id="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fig-s-wingcol"/>
          <w:p>
            <w:pPr>
              <w:pStyle w:val="Compact"/>
              <w:jc w:val="center"/>
            </w:pPr>
            <w:r>
              <w:drawing>
                <wp:inline>
                  <wp:extent cx="5334000" cy="2790028"/>
                  <wp:effectExtent b="0" l="0" r="0" t="0"/>
                  <wp:docPr descr="" title="" id="14" name="Picture"/>
                  <a:graphic>
                    <a:graphicData uri="http://schemas.openxmlformats.org/drawingml/2006/picture">
                      <pic:pic>
                        <pic:nvPicPr>
                          <pic:cNvPr descr="images/fig-s-wingcol.png" id="15" name="Picture"/>
                          <pic:cNvPicPr>
                            <a:picLocks noChangeArrowheads="1" noChangeAspect="1"/>
                          </pic:cNvPicPr>
                        </pic:nvPicPr>
                        <pic:blipFill>
                          <a:blip r:embed="rId13"/>
                          <a:stretch>
                            <a:fillRect/>
                          </a:stretch>
                        </pic:blipFill>
                        <pic:spPr bwMode="auto">
                          <a:xfrm>
                            <a:off x="0" y="0"/>
                            <a:ext cx="5334000" cy="27900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Supplementary Figure S2.</w:t>
            </w:r>
            <w:r>
              <w:t xml:space="preserve"> </w:t>
            </w:r>
            <w:r>
              <w:t xml:space="preserve">Relative proportion of wing-length measurement columns populated in the ATLANTIC BIRD TRAITS database by year. Bars indicate the annual percentage of records reporting right wing length, left wing length, or side-unspecified wing length. Sample sizes (</w:t>
            </w:r>
            <m:oMath>
              <m:r>
                <m:t>n</m:t>
              </m:r>
            </m:oMath>
            <w:r>
              <w:t xml:space="preserve">) above bars indicate total annual captures with wing data.</w:t>
            </w:r>
          </w:p>
          <w:bookmarkEnd w:id="16"/>
        </w:tc>
      </w:tr>
    </w:tbl>
    <w:p>
      <w:r>
        <w:pict>
          <v:rect style="width:0;height:1.5pt" o:hralign="center" o:hrstd="t" o:hr="t"/>
        </w:pict>
      </w:r>
    </w:p>
    <w:bookmarkEnd w:id="17"/>
    <w:bookmarkStart w:id="22" w:name="X2a7d5ad898091d94dab06be2b3f008a84b76bb1"/>
    <w:p>
      <w:pPr>
        <w:pStyle w:val="Heading2"/>
      </w:pPr>
      <w:r>
        <w:t xml:space="preserve">1.2 Supplementary Note S2: Regional Environmental and Climatic Trends (1995–2018)</w:t>
      </w:r>
    </w:p>
    <w:p>
      <w:pPr>
        <w:pStyle w:val="FirstParagraph"/>
      </w:pPr>
      <w:r>
        <w:t xml:space="preserve">We extracted monthly climate data from the CRU-TS 4.09 high-resolution gridded multivariate dataset (</w:t>
      </w:r>
      <m:oMath>
        <m:sSup>
          <m:e>
            <m:r>
              <m:t>0.5</m:t>
            </m:r>
          </m:e>
          <m:sup>
            <m:r>
              <m:rPr>
                <m:sty m:val="p"/>
              </m:rPr>
              <m:t>∘</m:t>
            </m:r>
          </m:sup>
        </m:sSup>
        <m:r>
          <m:rPr>
            <m:sty m:val="p"/>
          </m:rPr>
          <m:t>×</m:t>
        </m:r>
        <m:sSup>
          <m:e>
            <m:r>
              <m:t>0.5</m:t>
            </m:r>
          </m:e>
          <m:sup>
            <m:r>
              <m:rPr>
                <m:sty m:val="p"/>
              </m:rPr>
              <m:t>∘</m:t>
            </m:r>
          </m:sup>
        </m:sSup>
      </m:oMath>
      <w:r>
        <w:t xml:space="preserve"> </w:t>
      </w:r>
      <w:r>
        <w:t xml:space="preserve">resolution;</w:t>
      </w:r>
      <w:r>
        <w:t xml:space="preserve"> </w:t>
      </w:r>
      <w:r>
        <w:t xml:space="preserve">Harris et al. (2020)</w:t>
      </w:r>
      <w:r>
        <w:t xml:space="preserve">) at the 357 coordinate capture localities across the Atlantic Forest domain (</w:t>
      </w:r>
      <w:hyperlink w:anchor="fig-s-climate-trends">
        <w:r>
          <w:rPr>
            <w:rStyle w:val="Hyperlink"/>
          </w:rPr>
          <w:t xml:space="preserve">Figure 3</w:t>
        </w:r>
      </w:hyperlink>
      <w:r>
        <w:t xml:space="preserve">).</w:t>
      </w:r>
    </w:p>
    <w:p>
      <w:pPr>
        <w:pStyle w:val="BodyText"/>
      </w:pPr>
      <w:r>
        <w:t xml:space="preserve">Across sampling localities, mean annual temperature increased significantly by</w:t>
      </w:r>
      <w:r>
        <w:t xml:space="preserve"> </w:t>
      </w:r>
      <m:oMath>
        <m:r>
          <m:rPr>
            <m:sty m:val="p"/>
          </m:rPr>
          <m:t>+</m:t>
        </m:r>
        <m:sSup>
          <m:e>
            <m:r>
              <m:t>0.246</m:t>
            </m:r>
          </m:e>
          <m:sup>
            <m:r>
              <m:rPr>
                <m:sty m:val="p"/>
              </m:rPr>
              <m:t>∘</m:t>
            </m:r>
          </m:sup>
        </m:sSup>
        <m:r>
          <m:rPr>
            <m:nor/>
            <m:sty m:val="p"/>
          </m:rPr>
          <m:t>C</m:t>
        </m:r>
      </m:oMath>
      <w:r>
        <w:t xml:space="preserve">/decade (95% CI:</w:t>
      </w:r>
      <w:r>
        <w:t xml:space="preserve"> </w:t>
      </w:r>
      <m:oMath>
        <m:r>
          <m:rPr>
            <m:sty m:val="p"/>
          </m:rPr>
          <m:t>+</m:t>
        </m:r>
        <m:r>
          <m:t>0.076</m:t>
        </m:r>
      </m:oMath>
      <w:r>
        <w:t xml:space="preserve"> </w:t>
      </w:r>
      <w:r>
        <w:t xml:space="preserve">to</w:t>
      </w:r>
      <w:r>
        <w:t xml:space="preserve"> </w:t>
      </w:r>
      <m:oMath>
        <m:r>
          <m:rPr>
            <m:sty m:val="p"/>
          </m:rPr>
          <m:t>+</m:t>
        </m:r>
        <m:sSup>
          <m:e>
            <m:r>
              <m:t>0.415</m:t>
            </m:r>
          </m:e>
          <m:sup>
            <m:r>
              <m:rPr>
                <m:sty m:val="p"/>
              </m:rPr>
              <m:t>∘</m:t>
            </m:r>
          </m:sup>
        </m:sSup>
        <m:r>
          <m:rPr>
            <m:nor/>
            <m:sty m:val="p"/>
          </m:rPr>
          <m:t>C</m:t>
        </m:r>
      </m:oMath>
      <w:r>
        <w:t xml:space="preserve">/decade,</w:t>
      </w:r>
      <w:r>
        <w:t xml:space="preserve"> </w:t>
      </w:r>
      <m:oMath>
        <m:r>
          <m:t>t</m:t>
        </m:r>
        <m:r>
          <m:rPr>
            <m:sty m:val="p"/>
          </m:rPr>
          <m:t>=</m:t>
        </m:r>
        <m:r>
          <m:t>2.87</m:t>
        </m:r>
        <m:r>
          <m:rPr>
            <m:sty m:val="p"/>
          </m:rPr>
          <m:t>,</m:t>
        </m:r>
        <m:r>
          <m:t>p</m:t>
        </m:r>
        <m:r>
          <m:rPr>
            <m:sty m:val="p"/>
          </m:rPr>
          <m:t>=</m:t>
        </m:r>
        <m:r>
          <m:t>0.005</m:t>
        </m:r>
      </m:oMath>
      <w:r>
        <w:t xml:space="preserve">), corresponding to an average regional warming of</w:t>
      </w:r>
      <w:r>
        <w:t xml:space="preserve"> </w:t>
      </w:r>
      <m:oMath>
        <m:r>
          <m:rPr>
            <m:sty m:val="p"/>
          </m:rPr>
          <m:t>+</m:t>
        </m:r>
        <m:sSup>
          <m:e>
            <m:r>
              <m:t>0.57</m:t>
            </m:r>
          </m:e>
          <m:sup>
            <m:r>
              <m:rPr>
                <m:sty m:val="p"/>
              </m:rPr>
              <m:t>∘</m:t>
            </m:r>
          </m:sup>
        </m:sSup>
        <m:r>
          <m:rPr>
            <m:nor/>
            <m:sty m:val="p"/>
          </m:rPr>
          <m:t>C</m:t>
        </m:r>
      </m:oMath>
      <w:r>
        <w:t xml:space="preserve"> </w:t>
      </w:r>
      <w:r>
        <w:t xml:space="preserve">between 1995 and 2018 (</w:t>
      </w:r>
      <w:hyperlink w:anchor="fig-s-climate-trends">
        <w:r>
          <w:rPr>
            <w:rStyle w:val="Hyperlink"/>
          </w:rPr>
          <w:t xml:space="preserve">Figure 3</w:t>
        </w:r>
      </w:hyperlink>
      <w:r>
        <w:t xml:space="preserve"> </w:t>
      </w:r>
      <w:r>
        <w:t xml:space="preserve">A). In contrast, total annual precipitation exhibited a non-significant trajectory (</w:t>
      </w:r>
      <m:oMath>
        <m:r>
          <m:rPr>
            <m:sty m:val="p"/>
          </m:rPr>
          <m:t>−</m:t>
        </m:r>
        <m:r>
          <m:t>44.7</m:t>
        </m:r>
      </m:oMath>
      <w:r>
        <w:t xml:space="preserve"> </w:t>
      </w:r>
      <w:r>
        <w:t xml:space="preserve">mm/decade, 95% CI:</w:t>
      </w:r>
      <w:r>
        <w:t xml:space="preserve"> </w:t>
      </w:r>
      <m:oMath>
        <m:r>
          <m:rPr>
            <m:sty m:val="p"/>
          </m:rPr>
          <m:t>−</m:t>
        </m:r>
        <m:r>
          <m:t>123.1</m:t>
        </m:r>
      </m:oMath>
      <w:r>
        <w:t xml:space="preserve"> </w:t>
      </w:r>
      <w:r>
        <w:t xml:space="preserve">to</w:t>
      </w:r>
      <w:r>
        <w:t xml:space="preserve"> </w:t>
      </w:r>
      <m:oMath>
        <m:r>
          <m:rPr>
            <m:sty m:val="p"/>
          </m:rPr>
          <m:t>+</m:t>
        </m:r>
        <m:r>
          <m:t>33.7</m:t>
        </m:r>
      </m:oMath>
      <w:r>
        <w:t xml:space="preserve"> </w:t>
      </w:r>
      <w:r>
        <w:t xml:space="preserve">mm/decade,</w:t>
      </w:r>
      <w:r>
        <w:t xml:space="preserve"> </w:t>
      </w:r>
      <m:oMath>
        <m:r>
          <m:t>p</m:t>
        </m:r>
        <m:r>
          <m:rPr>
            <m:sty m:val="p"/>
          </m:rPr>
          <m:t>=</m:t>
        </m:r>
        <m:r>
          <m:t>0.25</m:t>
        </m:r>
      </m:oMath>
      <w:r>
        <w:t xml:space="preserve">;</w:t>
      </w:r>
      <w:r>
        <w:t xml:space="preserve"> </w:t>
      </w:r>
      <w:hyperlink w:anchor="fig-s-climate-trends">
        <w:r>
          <w:rPr>
            <w:rStyle w:val="Hyperlink"/>
          </w:rPr>
          <w:t xml:space="preserve">Figure 3</w:t>
        </w:r>
      </w:hyperlink>
      <w:r>
        <w:t xml:space="preserve"> </w:t>
      </w:r>
      <w:r>
        <w:t xml:space="preserve">B), and the 12-month Standardized Precipitation-Evapotranspiration Index (SPEI-12) displayed no directional trend (</w:t>
      </w:r>
      <m:oMath>
        <m:r>
          <m:rPr>
            <m:sty m:val="p"/>
          </m:rPr>
          <m:t>−</m:t>
        </m:r>
        <m:r>
          <m:t>0.256</m:t>
        </m:r>
      </m:oMath>
      <w:r>
        <w:t xml:space="preserve"> </w:t>
      </w:r>
      <w:r>
        <w:t xml:space="preserve">units/decade, 95% CI:</w:t>
      </w:r>
      <w:r>
        <w:t xml:space="preserve"> </w:t>
      </w:r>
      <m:oMath>
        <m:r>
          <m:rPr>
            <m:sty m:val="p"/>
          </m:rPr>
          <m:t>−</m:t>
        </m:r>
        <m:r>
          <m:t>0.617</m:t>
        </m:r>
      </m:oMath>
      <w:r>
        <w:t xml:space="preserve"> </w:t>
      </w:r>
      <w:r>
        <w:t xml:space="preserve">to</w:t>
      </w:r>
      <w:r>
        <w:t xml:space="preserve"> </w:t>
      </w:r>
      <m:oMath>
        <m:r>
          <m:rPr>
            <m:sty m:val="p"/>
          </m:rPr>
          <m:t>+</m:t>
        </m:r>
        <m:r>
          <m:t>0.105</m:t>
        </m:r>
      </m:oMath>
      <w:r>
        <w:t xml:space="preserve">,</w:t>
      </w:r>
      <w:r>
        <w:t xml:space="preserve"> </w:t>
      </w:r>
      <m:oMath>
        <m:r>
          <m:t>p</m:t>
        </m:r>
        <m:r>
          <m:rPr>
            <m:sty m:val="p"/>
          </m:rPr>
          <m:t>=</m:t>
        </m:r>
        <m:r>
          <m:t>0.16</m:t>
        </m:r>
      </m:oMath>
      <w:r>
        <w:t xml:space="preserve">;</w:t>
      </w:r>
      <w:r>
        <w:t xml:space="preserve"> </w:t>
      </w:r>
      <w:hyperlink w:anchor="fig-s-climate-trends">
        <w:r>
          <w:rPr>
            <w:rStyle w:val="Hyperlink"/>
          </w:rPr>
          <w:t xml:space="preserve">Figure 3</w:t>
        </w:r>
      </w:hyperlink>
      <w:r>
        <w:t xml:space="preserve"> </w:t>
      </w:r>
      <w:r>
        <w:t xml:space="preserve">C). Regional environmental change across our capture sites was therefore characterized primarily by steady thermal warming without systematic multi-decadal changes in moisture availability.</w:t>
      </w:r>
    </w:p>
    <w:tbl>
      <w:tblPr>
        <w:tblStyle w:val="Table"/>
        <w:tblW w:type="pct" w:w="5000"/>
        <w:tblLayout w:type="fixed"/>
        <w:tblLook w:firstRow="0" w:lastRow="0" w:firstColumn="0" w:lastColumn="0" w:noHBand="0" w:noVBand="0" w:val="0000"/>
      </w:tblPr>
      <w:tblGrid>
        <w:gridCol w:w="7920"/>
      </w:tblGrid>
      <w:tr>
        <w:tc>
          <w:tcPr/>
          <w:bookmarkStart w:id="21" w:name="fig-s-climate-trends"/>
          <w:p>
            <w:pPr>
              <w:pStyle w:val="Compact"/>
              <w:jc w:val="center"/>
            </w:pPr>
            <w:r>
              <w:drawing>
                <wp:inline>
                  <wp:extent cx="5334000" cy="3879272"/>
                  <wp:effectExtent b="0" l="0" r="0" t="0"/>
                  <wp:docPr descr="" title="" id="19" name="Picture"/>
                  <a:graphic>
                    <a:graphicData uri="http://schemas.openxmlformats.org/drawingml/2006/picture">
                      <pic:pic>
                        <pic:nvPicPr>
                          <pic:cNvPr descr="images/fig-s-climate-trends.png" id="20" name="Picture"/>
                          <pic:cNvPicPr>
                            <a:picLocks noChangeArrowheads="1" noChangeAspect="1"/>
                          </pic:cNvPicPr>
                        </pic:nvPicPr>
                        <pic:blipFill>
                          <a:blip r:embed="rId18"/>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Supplementary Figure S3.</w:t>
            </w:r>
            <w:r>
              <w:t xml:space="preserve"> </w:t>
            </w:r>
            <w:r>
              <w:t xml:space="preserve">Environmental trends across 357 avian capture localities in the Brazilian Atlantic Forest (1995–2018).</w:t>
            </w:r>
            <w:r>
              <w:t xml:space="preserve"> </w:t>
            </w:r>
            <w:r>
              <w:rPr>
                <w:b/>
                <w:bCs/>
              </w:rPr>
              <w:t xml:space="preserve">(A)</w:t>
            </w:r>
            <w:r>
              <w:t xml:space="preserve"> </w:t>
            </w:r>
            <w:r>
              <w:t xml:space="preserve">Mean annual temperature (°C), showing significant warming (+0.246°C/decade,</w:t>
            </w:r>
            <w:r>
              <w:t xml:space="preserve"> </w:t>
            </w:r>
            <m:oMath>
              <m:r>
                <m:t>p</m:t>
              </m:r>
              <m:r>
                <m:rPr>
                  <m:sty m:val="p"/>
                </m:rPr>
                <m:t>=</m:t>
              </m:r>
              <m:r>
                <m:t>0.005</m:t>
              </m:r>
            </m:oMath>
            <w:r>
              <w:t xml:space="preserve">).</w:t>
            </w:r>
            <w:r>
              <w:t xml:space="preserve"> </w:t>
            </w:r>
            <w:r>
              <w:rPr>
                <w:b/>
                <w:bCs/>
              </w:rPr>
              <w:t xml:space="preserve">(B)</w:t>
            </w:r>
            <w:r>
              <w:t xml:space="preserve"> </w:t>
            </w:r>
            <w:r>
              <w:t xml:space="preserve">Total annual precipitation (mm/year), showing non-significant variation (</w:t>
            </w:r>
            <m:oMath>
              <m:r>
                <m:rPr>
                  <m:sty m:val="p"/>
                </m:rPr>
                <m:t>−</m:t>
              </m:r>
              <m:r>
                <m:t>44.7</m:t>
              </m:r>
            </m:oMath>
            <w:r>
              <w:t xml:space="preserve"> </w:t>
            </w:r>
            <w:r>
              <w:t xml:space="preserve">mm/decade,</w:t>
            </w:r>
            <w:r>
              <w:t xml:space="preserve"> </w:t>
            </w:r>
            <m:oMath>
              <m:r>
                <m:t>p</m:t>
              </m:r>
              <m:r>
                <m:rPr>
                  <m:sty m:val="p"/>
                </m:rPr>
                <m:t>=</m:t>
              </m:r>
              <m:r>
                <m:t>0.25</m:t>
              </m:r>
            </m:oMath>
            <w:r>
              <w:t xml:space="preserve">).</w:t>
            </w:r>
            <w:r>
              <w:t xml:space="preserve"> </w:t>
            </w:r>
            <w:r>
              <w:rPr>
                <w:b/>
                <w:bCs/>
              </w:rPr>
              <w:t xml:space="preserve">(C)</w:t>
            </w:r>
            <w:r>
              <w:t xml:space="preserve"> </w:t>
            </w:r>
            <w:r>
              <w:t xml:space="preserve">12-month Standardized Precipitation-Evapotranspiration Index (SPEI-12), indicating stability in drought regimes (</w:t>
            </w:r>
            <m:oMath>
              <m:r>
                <m:rPr>
                  <m:sty m:val="p"/>
                </m:rPr>
                <m:t>−</m:t>
              </m:r>
              <m:r>
                <m:t>0.256</m:t>
              </m:r>
            </m:oMath>
            <w:r>
              <w:t xml:space="preserve">/decade,</w:t>
            </w:r>
            <w:r>
              <w:t xml:space="preserve"> </w:t>
            </w:r>
            <m:oMath>
              <m:r>
                <m:t>p</m:t>
              </m:r>
              <m:r>
                <m:rPr>
                  <m:sty m:val="p"/>
                </m:rPr>
                <m:t>=</m:t>
              </m:r>
              <m:r>
                <m:t>0.16</m:t>
              </m:r>
            </m:oMath>
            <w:r>
              <w:t xml:space="preserve">). Solid lines and shaded bands represent pooled linear mixed-effects model trajectories with 95% confidence intervals.</w:t>
            </w:r>
          </w:p>
          <w:bookmarkEnd w:id="21"/>
        </w:tc>
      </w:tr>
    </w:tbl>
    <w:p>
      <w:r>
        <w:pict>
          <v:rect style="width:0;height:1.5pt" o:hralign="center" o:hrstd="t" o:hr="t"/>
        </w:pict>
      </w:r>
    </w:p>
    <w:bookmarkEnd w:id="22"/>
    <w:bookmarkStart w:id="39" w:name="X68eeb86d4879946f6cedce42ee1bf90218f876b"/>
    <w:p>
      <w:pPr>
        <w:pStyle w:val="Heading2"/>
      </w:pPr>
      <w:r>
        <w:t xml:space="preserve">1.3 Supplementary Note S3: Century-Scale Museum Integration and Climate Breakpoint Analysis</w:t>
      </w:r>
    </w:p>
    <w:p>
      <w:pPr>
        <w:pStyle w:val="FirstParagraph"/>
      </w:pPr>
      <w:r>
        <w:t xml:space="preserve">To place the 24-year mist-netting record (1995–2018) into long-term macroecological perspective, we audited historical museum study skins (</w:t>
      </w:r>
      <m:oMath>
        <m:r>
          <m:t>n</m:t>
        </m:r>
        <m:r>
          <m:rPr>
            <m:sty m:val="p"/>
          </m:rPr>
          <m:t>=</m:t>
        </m:r>
        <m:r>
          <m:t>3</m:t>
        </m:r>
        <m:r>
          <m:rPr>
            <m:sty m:val="p"/>
          </m:rPr>
          <m:t>,</m:t>
        </m:r>
        <m:r>
          <m:t>439</m:t>
        </m:r>
      </m:oMath>
      <w:r>
        <w:t xml:space="preserve"> </w:t>
      </w:r>
      <w:r>
        <w:t xml:space="preserve">adult specimens, 1884–2017) across 142 passerine species preserved in major Brazilian ornithological collections, available via the ATLANTIC BIRD TRAITS database.</w:t>
      </w:r>
    </w:p>
    <w:p>
      <w:pPr>
        <w:pStyle w:val="BodyText"/>
      </w:pPr>
      <w:r>
        <w:t xml:space="preserve">We evaluated secular climate warming using NASA GISS Surface Temperature Analysis (GISTEMP v4; Zonal annual anomalies for</w:t>
      </w:r>
      <w:r>
        <w:t xml:space="preserve"> </w:t>
      </w:r>
      <m:oMath>
        <m:sSup>
          <m:e>
            <m:r>
              <m:t>24</m:t>
            </m:r>
          </m:e>
          <m:sup>
            <m:r>
              <m:rPr>
                <m:sty m:val="p"/>
              </m:rPr>
              <m:t>∘</m:t>
            </m:r>
          </m:sup>
        </m:sSup>
        <m:r>
          <m:rPr>
            <m:nor/>
            <m:sty m:val="p"/>
          </m:rPr>
          <m:t>S</m:t>
        </m:r>
        <m:r>
          <m:rPr>
            <m:nor/>
            <m:sty m:val="p"/>
          </m:rPr>
          <m:t>–Equator</m:t>
        </m:r>
      </m:oMath>
      <w:r>
        <w:t xml:space="preserve">, 1880–2018;</w:t>
      </w:r>
      <w:r>
        <w:t xml:space="preserve"> </w:t>
      </w:r>
      <w:r>
        <w:t xml:space="preserve">Lenssen et al. (2019)</w:t>
      </w:r>
      <w:r>
        <w:t xml:space="preserve">), which strongly correlates with local CRU-TS capture temperatures (</w:t>
      </w:r>
      <m:oMath>
        <m:r>
          <m:t>r</m:t>
        </m:r>
        <m:r>
          <m:rPr>
            <m:sty m:val="p"/>
          </m:rPr>
          <m:t>=</m:t>
        </m:r>
        <m:r>
          <m:t>0.744</m:t>
        </m:r>
      </m:oMath>
      <w:r>
        <w:t xml:space="preserve">). Using two-phase piecewise linear regression</w:t>
      </w:r>
      <w:r>
        <w:t xml:space="preserve"> </w:t>
      </w:r>
      <w:r>
        <w:t xml:space="preserve">(Muggeo 2003)</w:t>
      </w:r>
      <w:r>
        <w:t xml:space="preserve">, we conducted a grid search across candidate breakpoint years (1900–2005) to identify the structural inflection point in regional warming:</w:t>
      </w:r>
    </w:p>
    <w:p>
      <w:pPr>
        <w:pStyle w:val="BodyText"/>
      </w:pPr>
      <m:oMathPara>
        <m:oMathParaPr>
          <m:jc m:val="center"/>
        </m:oMathParaPr>
        <m:oMath>
          <m:sSub>
            <m:e>
              <m:r>
                <m:t>y</m:t>
              </m:r>
            </m:e>
            <m:sub>
              <m:r>
                <m:t>t</m:t>
              </m:r>
            </m:sub>
          </m:sSub>
          <m:r>
            <m:rPr>
              <m:sty m:val="p"/>
            </m:rPr>
            <m:t>=</m:t>
          </m:r>
          <m:r>
            <m:t>α</m:t>
          </m:r>
          <m:r>
            <m:rPr>
              <m:sty m:val="p"/>
            </m:rPr>
            <m:t>+</m:t>
          </m:r>
          <m:sSub>
            <m:e>
              <m:r>
                <m:t>β</m:t>
              </m:r>
            </m:e>
            <m:sub>
              <m:r>
                <m:t>1</m:t>
              </m:r>
            </m:sub>
          </m:sSub>
          <m:r>
            <m:rPr>
              <m:sty m:val="p"/>
            </m:rPr>
            <m:t>min</m:t>
          </m:r>
          <m:r>
            <m:rPr>
              <m:sty m:val="p"/>
            </m:rPr>
            <m:t>(</m:t>
          </m:r>
          <m:sSub>
            <m:e>
              <m:r>
                <m:t>Y</m:t>
              </m:r>
            </m:e>
            <m:sub>
              <m:r>
                <m:t>t</m:t>
              </m:r>
            </m:sub>
          </m:sSub>
          <m:r>
            <m:rPr>
              <m:sty m:val="p"/>
            </m:rPr>
            <m:t>−</m:t>
          </m:r>
          <m:r>
            <m:t>τ</m:t>
          </m:r>
          <m:r>
            <m:rPr>
              <m:sty m:val="p"/>
            </m:rPr>
            <m:t>,</m:t>
          </m:r>
          <m:r>
            <m:t>0</m:t>
          </m:r>
          <m:r>
            <m:rPr>
              <m:sty m:val="p"/>
            </m:rPr>
            <m:t>)</m:t>
          </m:r>
          <m:r>
            <m:rPr>
              <m:sty m:val="p"/>
            </m:rPr>
            <m:t>+</m:t>
          </m:r>
          <m:sSub>
            <m:e>
              <m:r>
                <m:t>β</m:t>
              </m:r>
            </m:e>
            <m:sub>
              <m:r>
                <m:t>2</m:t>
              </m:r>
            </m:sub>
          </m:sSub>
          <m:r>
            <m:rPr>
              <m:sty m:val="p"/>
            </m:rPr>
            <m:t>max</m:t>
          </m:r>
          <m:r>
            <m:rPr>
              <m:sty m:val="p"/>
            </m:rPr>
            <m:t>(</m:t>
          </m:r>
          <m:sSub>
            <m:e>
              <m:r>
                <m:t>Y</m:t>
              </m:r>
            </m:e>
            <m:sub>
              <m:r>
                <m:t>t</m:t>
              </m:r>
            </m:sub>
          </m:sSub>
          <m:r>
            <m:rPr>
              <m:sty m:val="p"/>
            </m:rPr>
            <m:t>−</m:t>
          </m:r>
          <m:r>
            <m:t>τ</m:t>
          </m:r>
          <m:r>
            <m:rPr>
              <m:sty m:val="p"/>
            </m:rPr>
            <m:t>,</m:t>
          </m:r>
          <m:r>
            <m:t>0</m:t>
          </m:r>
          <m:r>
            <m:rPr>
              <m:sty m:val="p"/>
            </m:rPr>
            <m:t>)</m:t>
          </m:r>
          <m:r>
            <m:rPr>
              <m:sty m:val="p"/>
            </m:rPr>
            <m:t>+</m:t>
          </m:r>
          <m:sSub>
            <m:e>
              <m:r>
                <m:t>ε</m:t>
              </m:r>
            </m:e>
            <m:sub>
              <m:r>
                <m:t>t</m:t>
              </m:r>
            </m:sub>
          </m:sSub>
        </m:oMath>
      </m:oMathPara>
    </w:p>
    <w:p>
      <w:pPr>
        <w:pStyle w:val="FirstParagraph"/>
      </w:pPr>
      <w:r>
        <w:t xml:space="preserve">The maximum-likelihood breakpoint emerged at</w:t>
      </w:r>
      <w:r>
        <w:t xml:space="preserve"> </w:t>
      </w:r>
      <m:oMath>
        <m:r>
          <m:t>τ</m:t>
        </m:r>
        <m:r>
          <m:rPr>
            <m:sty m:val="p"/>
          </m:rPr>
          <m:t>=</m:t>
        </m:r>
        <m:r>
          <m:t>1980</m:t>
        </m:r>
        <m:r>
          <m:rPr>
            <m:sty m:val="p"/>
          </m:rPr>
          <m:t>±</m:t>
        </m:r>
        <m:r>
          <m:t>3</m:t>
        </m:r>
      </m:oMath>
      <w:r>
        <w:t xml:space="preserve"> </w:t>
      </w:r>
      <w:r>
        <w:t xml:space="preserve">years:</w:t>
      </w:r>
      <w:r>
        <w:t xml:space="preserve"> </w:t>
      </w:r>
      <w:r>
        <w:t xml:space="preserve">-</w:t>
      </w:r>
      <w:r>
        <w:t xml:space="preserve"> </w:t>
      </w:r>
      <w:r>
        <w:rPr>
          <w:b/>
          <w:bCs/>
        </w:rPr>
        <w:t xml:space="preserve">Pre-1980 (1880–1979):</w:t>
      </w:r>
      <w:r>
        <w:t xml:space="preserve"> </w:t>
      </w:r>
      <m:oMath>
        <m:r>
          <m:rPr>
            <m:sty m:val="p"/>
          </m:rPr>
          <m:t>+</m:t>
        </m:r>
        <m:sSup>
          <m:e>
            <m:r>
              <m:t>0.036</m:t>
            </m:r>
          </m:e>
          <m:sup>
            <m:r>
              <m:rPr>
                <m:sty m:val="p"/>
              </m:rPr>
              <m:t>∘</m:t>
            </m:r>
          </m:sup>
        </m:sSup>
        <m:r>
          <m:rPr>
            <m:nor/>
            <m:sty m:val="p"/>
          </m:rPr>
          <m:t>C</m:t>
        </m:r>
      </m:oMath>
      <w:r>
        <w:t xml:space="preserve">/decade (</w:t>
      </w:r>
      <m:oMath>
        <m:r>
          <m:t>t</m:t>
        </m:r>
        <m:r>
          <m:rPr>
            <m:sty m:val="p"/>
          </m:rPr>
          <m:t>=</m:t>
        </m:r>
        <m:r>
          <m:t>2.05</m:t>
        </m:r>
        <m:r>
          <m:rPr>
            <m:sty m:val="p"/>
          </m:rPr>
          <m:t>,</m:t>
        </m:r>
        <m:r>
          <m:t>p</m:t>
        </m:r>
        <m:r>
          <m:rPr>
            <m:sty m:val="p"/>
          </m:rPr>
          <m:t>=</m:t>
        </m:r>
        <m:r>
          <m:t>0.042</m:t>
        </m:r>
      </m:oMath>
      <w:r>
        <w:t xml:space="preserve">), reflecting modest decadal fluctuations.</w:t>
      </w:r>
      <w:r>
        <w:t xml:space="preserve"> </w:t>
      </w:r>
      <w:r>
        <w:t xml:space="preserve">-</w:t>
      </w:r>
      <w:r>
        <w:t xml:space="preserve"> </w:t>
      </w:r>
      <w:r>
        <w:rPr>
          <w:b/>
          <w:bCs/>
        </w:rPr>
        <w:t xml:space="preserve">Post-1980 (1980–2018):</w:t>
      </w:r>
      <w:r>
        <w:t xml:space="preserve"> </w:t>
      </w:r>
      <m:oMath>
        <m:r>
          <m:rPr>
            <m:sty m:val="p"/>
          </m:rPr>
          <m:t>+</m:t>
        </m:r>
        <m:sSup>
          <m:e>
            <m:r>
              <m:t>0.190</m:t>
            </m:r>
          </m:e>
          <m:sup>
            <m:r>
              <m:rPr>
                <m:sty m:val="p"/>
              </m:rPr>
              <m:t>∘</m:t>
            </m:r>
          </m:sup>
        </m:sSup>
        <m:r>
          <m:rPr>
            <m:nor/>
            <m:sty m:val="p"/>
          </m:rPr>
          <m:t>C</m:t>
        </m:r>
      </m:oMath>
      <w:r>
        <w:t xml:space="preserve">/decade (</w:t>
      </w:r>
      <m:oMath>
        <m:r>
          <m:t>t</m:t>
        </m:r>
        <m:r>
          <m:rPr>
            <m:sty m:val="p"/>
          </m:rPr>
          <m:t>=</m:t>
        </m:r>
        <m:r>
          <m:t>8.62</m:t>
        </m:r>
        <m:r>
          <m:rPr>
            <m:sty m:val="p"/>
          </m:rPr>
          <m:t>,</m:t>
        </m:r>
        <m:r>
          <m:t>p</m:t>
        </m:r>
        <m:r>
          <m:rPr>
            <m:sty m:val="p"/>
          </m:rPr>
          <m:t>&lt;</m:t>
        </m:r>
        <m:sSup>
          <m:e>
            <m:r>
              <m:t>10</m:t>
            </m:r>
          </m:e>
          <m:sup>
            <m:r>
              <m:rPr>
                <m:sty m:val="p"/>
              </m:rPr>
              <m:t>−</m:t>
            </m:r>
            <m:r>
              <m:t>15</m:t>
            </m:r>
          </m:sup>
        </m:sSup>
      </m:oMath>
      <w:r>
        <w:t xml:space="preserve">), representing a</w:t>
      </w:r>
      <w:r>
        <w:t xml:space="preserve"> </w:t>
      </w:r>
      <m:oMath>
        <m:r>
          <m:rPr>
            <m:sty m:val="p"/>
          </m:rPr>
          <m:t>&gt;</m:t>
        </m:r>
        <m:r>
          <m:t>5</m:t>
        </m:r>
      </m:oMath>
      <w:r>
        <w:t xml:space="preserve">-fold acceleration in regional warming rate (</w:t>
      </w:r>
      <w:hyperlink w:anchor="fig-s-climate-morphometry">
        <w:r>
          <w:rPr>
            <w:rStyle w:val="Hyperlink"/>
          </w:rPr>
          <w:t xml:space="preserve">Figure 4</w:t>
        </w:r>
      </w:hyperlink>
      <w:r>
        <w:t xml:space="preserve"> </w:t>
      </w:r>
      <w:r>
        <w:t xml:space="preserve">A).</w:t>
      </w:r>
    </w:p>
    <w:p>
      <w:pPr>
        <w:pStyle w:val="BodyText"/>
      </w:pPr>
      <w:r>
        <w:t xml:space="preserve">Applying identical piecewise regressions to species-centered morphological deviations revealed that pre-1980 museum specimens exhibited strict stability or slight positive trajectories in wing length (</w:t>
      </w:r>
      <m:oMath>
        <m:r>
          <m:rPr>
            <m:sty m:val="p"/>
          </m:rPr>
          <m:t>+</m:t>
        </m:r>
        <m:r>
          <m:t>0.45</m:t>
        </m:r>
      </m:oMath>
      <w:r>
        <w:t xml:space="preserve"> </w:t>
      </w:r>
      <w:r>
        <w:t xml:space="preserve">mm/decade,</w:t>
      </w:r>
      <w:r>
        <w:t xml:space="preserve"> </w:t>
      </w:r>
      <m:oMath>
        <m:r>
          <m:t>t</m:t>
        </m:r>
        <m:r>
          <m:rPr>
            <m:sty m:val="p"/>
          </m:rPr>
          <m:t>=</m:t>
        </m:r>
        <m:r>
          <m:t>3.71</m:t>
        </m:r>
      </m:oMath>
      <w:r>
        <w:t xml:space="preserve">;</w:t>
      </w:r>
      <w:r>
        <w:t xml:space="preserve"> </w:t>
      </w:r>
      <w:hyperlink w:anchor="fig-s-climate-morphometry">
        <w:r>
          <w:rPr>
            <w:rStyle w:val="Hyperlink"/>
          </w:rPr>
          <w:t xml:space="preserve">Figure 4</w:t>
        </w:r>
      </w:hyperlink>
      <w:r>
        <w:t xml:space="preserve"> </w:t>
      </w:r>
      <w:r>
        <w:t xml:space="preserve">B), with zero thermal sensitivity to annual temperature anomalies (</w:t>
      </w:r>
      <m:oMath>
        <m:r>
          <m:t>β</m:t>
        </m:r>
        <m:r>
          <m:rPr>
            <m:sty m:val="p"/>
          </m:rPr>
          <m:t>=</m:t>
        </m:r>
        <m:r>
          <m:rPr>
            <m:sty m:val="p"/>
          </m:rPr>
          <m:t>+</m:t>
        </m:r>
        <m:r>
          <m:t>0.10</m:t>
        </m:r>
      </m:oMath>
      <w:r>
        <w:t xml:space="preserve"> </w:t>
      </w:r>
      <w:r>
        <w:t xml:space="preserve">mm/°C,</w:t>
      </w:r>
      <w:r>
        <w:t xml:space="preserve"> </w:t>
      </w:r>
      <m:oMath>
        <m:r>
          <m:t>p</m:t>
        </m:r>
        <m:r>
          <m:rPr>
            <m:sty m:val="p"/>
          </m:rPr>
          <m:t>=</m:t>
        </m:r>
        <m:r>
          <m:t>0.91</m:t>
        </m:r>
      </m:oMath>
      <w:r>
        <w:t xml:space="preserve">;</w:t>
      </w:r>
      <w:r>
        <w:t xml:space="preserve"> </w:t>
      </w:r>
      <w:hyperlink w:anchor="fig-s-climate-morphometry">
        <w:r>
          <w:rPr>
            <w:rStyle w:val="Hyperlink"/>
          </w:rPr>
          <w:t xml:space="preserve">Figure 4</w:t>
        </w:r>
      </w:hyperlink>
      <w:r>
        <w:t xml:space="preserve"> </w:t>
      </w:r>
      <w:r>
        <w:t xml:space="preserve">C). Wing shortening emerged synchronously with the post-1980 warming acceleration (</w:t>
      </w:r>
      <m:oMath>
        <m:r>
          <m:rPr>
            <m:sty m:val="p"/>
          </m:rPr>
          <m:t>−</m:t>
        </m:r>
        <m:r>
          <m:t>0.26</m:t>
        </m:r>
      </m:oMath>
      <w:r>
        <w:t xml:space="preserve"> </w:t>
      </w:r>
      <w:r>
        <w:t xml:space="preserve">to</w:t>
      </w:r>
      <w:r>
        <w:t xml:space="preserve"> </w:t>
      </w:r>
      <m:oMath>
        <m:r>
          <m:rPr>
            <m:sty m:val="p"/>
          </m:rPr>
          <m:t>−</m:t>
        </m:r>
        <m:r>
          <m:t>0.41</m:t>
        </m:r>
      </m:oMath>
      <w:r>
        <w:t xml:space="preserve"> </w:t>
      </w:r>
      <w:r>
        <w:t xml:space="preserve">mm/decade,</w:t>
      </w:r>
      <w:r>
        <w:t xml:space="preserve"> </w:t>
      </w:r>
      <m:oMath>
        <m:r>
          <m:t>p</m:t>
        </m:r>
        <m:r>
          <m:rPr>
            <m:sty m:val="p"/>
          </m:rPr>
          <m:t>&lt;</m:t>
        </m:r>
        <m:r>
          <m:t>0.02</m:t>
        </m:r>
      </m:oMath>
      <w:r>
        <w:t xml:space="preserve">; thermal sensitivity</w:t>
      </w:r>
      <w:r>
        <w:t xml:space="preserve"> </w:t>
      </w:r>
      <m:oMath>
        <m:r>
          <m:t>β</m:t>
        </m:r>
        <m:r>
          <m:rPr>
            <m:sty m:val="p"/>
          </m:rPr>
          <m:t>=</m:t>
        </m:r>
        <m:r>
          <m:rPr>
            <m:sty m:val="p"/>
          </m:rPr>
          <m:t>−</m:t>
        </m:r>
        <m:r>
          <m:t>1.68</m:t>
        </m:r>
      </m:oMath>
      <w:r>
        <w:t xml:space="preserve"> </w:t>
      </w:r>
      <w:r>
        <w:t xml:space="preserve">mm/°C,</w:t>
      </w:r>
      <w:r>
        <w:t xml:space="preserve"> </w:t>
      </w:r>
      <m:oMath>
        <m:r>
          <m:t>p</m:t>
        </m:r>
        <m:r>
          <m:rPr>
            <m:sty m:val="p"/>
          </m:rPr>
          <m:t>=</m:t>
        </m:r>
        <m:r>
          <m:t>0.005</m:t>
        </m:r>
      </m:oMath>
      <w:r>
        <w:t xml:space="preserve">).</w:t>
      </w:r>
    </w:p>
    <w:p>
      <w:pPr>
        <w:pStyle w:val="BodyText"/>
      </w:pPr>
      <w:r>
        <w:t xml:space="preserve">Similarly, historical body mass (1962–1979) was strictly invariant (</w:t>
      </w:r>
      <m:oMath>
        <m:r>
          <m:rPr>
            <m:sty m:val="p"/>
          </m:rPr>
          <m:t>−</m:t>
        </m:r>
        <m:r>
          <m:t>0.17</m:t>
        </m:r>
        <m:r>
          <m:rPr>
            <m:sty m:val="p"/>
          </m:rPr>
          <m:t>%</m:t>
        </m:r>
      </m:oMath>
      <w:r>
        <w:t xml:space="preserve">/year,</w:t>
      </w:r>
      <w:r>
        <w:t xml:space="preserve"> </w:t>
      </w:r>
      <m:oMath>
        <m:r>
          <m:t>p</m:t>
        </m:r>
        <m:r>
          <m:rPr>
            <m:sty m:val="p"/>
          </m:rPr>
          <m:t>=</m:t>
        </m:r>
        <m:r>
          <m:t>0.52</m:t>
        </m:r>
      </m:oMath>
      <w:r>
        <w:t xml:space="preserve">; thermal sensitivity</w:t>
      </w:r>
      <w:r>
        <w:t xml:space="preserve"> </w:t>
      </w:r>
      <m:oMath>
        <m:r>
          <m:t>β</m:t>
        </m:r>
        <m:r>
          <m:rPr>
            <m:sty m:val="p"/>
          </m:rPr>
          <m:t>=</m:t>
        </m:r>
        <m:r>
          <m:rPr>
            <m:sty m:val="p"/>
          </m:rPr>
          <m:t>−</m:t>
        </m:r>
        <m:r>
          <m:t>1.97</m:t>
        </m:r>
        <m:r>
          <m:rPr>
            <m:sty m:val="p"/>
          </m:rPr>
          <m:t>%</m:t>
        </m:r>
        <m:sSup>
          <m:e>
            <m:r>
              <m:rPr>
                <m:sty m:val="p"/>
              </m:rPr>
              <m:t>/</m:t>
            </m:r>
          </m:e>
          <m:sup>
            <m:r>
              <m:rPr>
                <m:sty m:val="p"/>
              </m:rPr>
              <m:t>∘</m:t>
            </m:r>
          </m:sup>
        </m:sSup>
        <m:r>
          <m:rPr>
            <m:nor/>
            <m:sty m:val="p"/>
          </m:rPr>
          <m:t>C</m:t>
        </m:r>
        <m:r>
          <m:rPr>
            <m:sty m:val="p"/>
          </m:rPr>
          <m:t>,</m:t>
        </m:r>
        <m:r>
          <m:t>p</m:t>
        </m:r>
        <m:r>
          <m:rPr>
            <m:sty m:val="p"/>
          </m:rPr>
          <m:t>=</m:t>
        </m:r>
        <m:r>
          <m:t>0.86</m:t>
        </m:r>
      </m:oMath>
      <w:r>
        <w:t xml:space="preserve">;</w:t>
      </w:r>
      <w:r>
        <w:t xml:space="preserve"> </w:t>
      </w:r>
      <w:hyperlink w:anchor="fig-s-climate-mass">
        <w:r>
          <w:rPr>
            <w:rStyle w:val="Hyperlink"/>
          </w:rPr>
          <w:t xml:space="preserve">Figure 5</w:t>
        </w:r>
      </w:hyperlink>
      <w:r>
        <w:t xml:space="preserve">), and bivariate allometry followed geometric isometry prior to 1980 (</w:t>
      </w:r>
      <m:oMath>
        <m:sSub>
          <m:e>
            <m:r>
              <m:rPr>
                <m:sty m:val="p"/>
              </m:rPr>
              <m:t>Δ</m:t>
            </m:r>
          </m:e>
          <m:sub>
            <m:r>
              <m:rPr>
                <m:nor/>
                <m:sty m:val="p"/>
              </m:rPr>
              <m:t>iso</m:t>
            </m:r>
          </m:sub>
        </m:sSub>
        <m:r>
          <m:rPr>
            <m:sty m:val="p"/>
          </m:rPr>
          <m:t>:</m:t>
        </m:r>
        <m:r>
          <m:t>p</m:t>
        </m:r>
        <m:r>
          <m:rPr>
            <m:sty m:val="p"/>
          </m:rPr>
          <m:t>=</m:t>
        </m:r>
        <m:r>
          <m:t>0.69</m:t>
        </m:r>
      </m:oMath>
      <w:r>
        <w:t xml:space="preserve">), shifting to significant stoutening post-1980 (</w:t>
      </w:r>
      <m:oMath>
        <m:r>
          <m:rPr>
            <m:sty m:val="p"/>
          </m:rPr>
          <m:t>+</m:t>
        </m:r>
        <m:r>
          <m:t>2.12</m:t>
        </m:r>
        <m:r>
          <m:rPr>
            <m:sty m:val="p"/>
          </m:rPr>
          <m:t>%</m:t>
        </m:r>
      </m:oMath>
      <w:r>
        <w:t xml:space="preserve">/decade,</w:t>
      </w:r>
      <w:r>
        <w:t xml:space="preserve"> </w:t>
      </w:r>
      <m:oMath>
        <m:r>
          <m:t>p</m:t>
        </m:r>
        <m:r>
          <m:rPr>
            <m:sty m:val="p"/>
          </m:rPr>
          <m:t>=</m:t>
        </m:r>
        <m:r>
          <m:t>0.048</m:t>
        </m:r>
      </m:oMath>
      <w:r>
        <w:t xml:space="preserve">; thermal sensitivity</w:t>
      </w:r>
      <w:r>
        <w:t xml:space="preserve"> </w:t>
      </w:r>
      <m:oMath>
        <m:r>
          <m:t>β</m:t>
        </m:r>
        <m:r>
          <m:rPr>
            <m:sty m:val="p"/>
          </m:rPr>
          <m:t>=</m:t>
        </m:r>
        <m:r>
          <m:rPr>
            <m:sty m:val="p"/>
          </m:rPr>
          <m:t>+</m:t>
        </m:r>
        <m:r>
          <m:t>9.32</m:t>
        </m:r>
        <m:r>
          <m:rPr>
            <m:sty m:val="p"/>
          </m:rPr>
          <m:t>%</m:t>
        </m:r>
        <m:sSup>
          <m:e>
            <m:r>
              <m:rPr>
                <m:sty m:val="p"/>
              </m:rPr>
              <m:t>/</m:t>
            </m:r>
          </m:e>
          <m:sup>
            <m:r>
              <m:rPr>
                <m:sty m:val="p"/>
              </m:rPr>
              <m:t>∘</m:t>
            </m:r>
          </m:sup>
        </m:sSup>
        <m:r>
          <m:rPr>
            <m:nor/>
            <m:sty m:val="p"/>
          </m:rPr>
          <m:t>C</m:t>
        </m:r>
        <m:r>
          <m:rPr>
            <m:sty m:val="p"/>
          </m:rPr>
          <m:t>,</m:t>
        </m:r>
        <m:r>
          <m:t>p</m:t>
        </m:r>
        <m:r>
          <m:rPr>
            <m:sty m:val="p"/>
          </m:rPr>
          <m:t>=</m:t>
        </m:r>
        <m:r>
          <m:t>0.034</m:t>
        </m:r>
      </m:oMath>
      <w:r>
        <w:t xml:space="preserve">;</w:t>
      </w:r>
      <w:r>
        <w:t xml:space="preserve"> </w:t>
      </w:r>
      <w:hyperlink w:anchor="fig-s-climate-allometry">
        <w:r>
          <w:rPr>
            <w:rStyle w:val="Hyperlink"/>
          </w:rPr>
          <w:t xml:space="preserve">Figure 6</w:t>
        </w:r>
      </w:hyperlink>
      <w:r>
        <w:t xml:space="preserve">). For 175 species continuously connecting museum skins to modern field captures, the secular wing decline was</w:t>
      </w:r>
      <w:r>
        <w:t xml:space="preserve"> </w:t>
      </w:r>
      <m:oMath>
        <m:r>
          <m:rPr>
            <m:sty m:val="p"/>
          </m:rPr>
          <m:t>−</m:t>
        </m:r>
        <m:r>
          <m:t>0.71</m:t>
        </m:r>
        <m:r>
          <m:rPr>
            <m:sty m:val="p"/>
          </m:rPr>
          <m:t>%</m:t>
        </m:r>
      </m:oMath>
      <w:r>
        <w:t xml:space="preserve">/decade (</w:t>
      </w:r>
      <m:oMath>
        <m:r>
          <m:t>p</m:t>
        </m:r>
        <m:r>
          <m:rPr>
            <m:sty m:val="p"/>
          </m:rPr>
          <m:t>=</m:t>
        </m:r>
        <m:r>
          <m:t>0.047</m:t>
        </m:r>
      </m:oMath>
      <w:r>
        <w:t xml:space="preserve">;</w:t>
      </w:r>
      <w:r>
        <w:t xml:space="preserve"> </w:t>
      </w:r>
      <w:hyperlink w:anchor="fig-s-secular-trajectories">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s-climate-morphometry"/>
          <w:p>
            <w:pPr>
              <w:pStyle w:val="Compact"/>
              <w:jc w:val="center"/>
            </w:pPr>
            <w:r>
              <w:drawing>
                <wp:inline>
                  <wp:extent cx="5334000" cy="2963333"/>
                  <wp:effectExtent b="0" l="0" r="0" t="0"/>
                  <wp:docPr descr="" title="" id="24" name="Picture"/>
                  <a:graphic>
                    <a:graphicData uri="http://schemas.openxmlformats.org/drawingml/2006/picture">
                      <pic:pic>
                        <pic:nvPicPr>
                          <pic:cNvPr descr="images/fig-s-climate-morphometry.png" id="25" name="Picture"/>
                          <pic:cNvPicPr>
                            <a:picLocks noChangeArrowheads="1" noChangeAspect="1"/>
                          </pic:cNvPicPr>
                        </pic:nvPicPr>
                        <pic:blipFill>
                          <a:blip r:embed="rId2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Supplementary Figure S4.</w:t>
            </w:r>
            <w:r>
              <w:t xml:space="preserve"> </w:t>
            </w:r>
            <w:r>
              <w:t xml:space="preserve">Century-scale climate breakpoint (~1980) and morphometric coupling of wing length (1880–2018).</w:t>
            </w:r>
            <w:r>
              <w:t xml:space="preserve"> </w:t>
            </w:r>
            <w:r>
              <w:rPr>
                <w:b/>
                <w:bCs/>
              </w:rPr>
              <w:t xml:space="preserve">(A)</w:t>
            </w:r>
            <w:r>
              <w:t xml:space="preserve"> </w:t>
            </w:r>
            <w:r>
              <w:t xml:space="preserve">Regional temperature anomalies (NASA GISS Zonal</w:t>
            </w:r>
            <w:r>
              <w:t xml:space="preserve"> </w:t>
            </w:r>
            <m:oMath>
              <m:sSup>
                <m:e>
                  <m:r>
                    <m:t>24</m:t>
                  </m:r>
                </m:e>
                <m:sup>
                  <m:r>
                    <m:rPr>
                      <m:sty m:val="p"/>
                    </m:rPr>
                    <m:t>∘</m:t>
                  </m:r>
                </m:sup>
              </m:sSup>
              <m:r>
                <m:rPr>
                  <m:nor/>
                  <m:sty m:val="p"/>
                </m:rPr>
                <m:t>S</m:t>
              </m:r>
              <m:r>
                <m:rPr>
                  <m:nor/>
                  <m:sty m:val="p"/>
                </m:rPr>
                <m:t>–Equator</m:t>
              </m:r>
            </m:oMath>
            <w:r>
              <w:t xml:space="preserve">), showing the structural breakpoint in 1980 (dashed line;</w:t>
            </w:r>
            <w:r>
              <w:t xml:space="preserve"> </w:t>
            </w:r>
            <m:oMath>
              <m:r>
                <m:rPr>
                  <m:sty m:val="p"/>
                </m:rPr>
                <m:t>+</m:t>
              </m:r>
              <m:sSup>
                <m:e>
                  <m:r>
                    <m:t>0.036</m:t>
                  </m:r>
                </m:e>
                <m:sup>
                  <m:r>
                    <m:rPr>
                      <m:sty m:val="p"/>
                    </m:rPr>
                    <m:t>∘</m:t>
                  </m:r>
                </m:sup>
              </m:sSup>
              <m:r>
                <m:rPr>
                  <m:nor/>
                  <m:sty m:val="p"/>
                </m:rPr>
                <m:t>C</m:t>
              </m:r>
            </m:oMath>
            <w:r>
              <w:t xml:space="preserve">/dec pre-1980 vs. </w:t>
            </w:r>
            <m:oMath>
              <m:r>
                <m:rPr>
                  <m:sty m:val="p"/>
                </m:rPr>
                <m:t>+</m:t>
              </m:r>
              <m:sSup>
                <m:e>
                  <m:r>
                    <m:t>0.190</m:t>
                  </m:r>
                </m:e>
                <m:sup>
                  <m:r>
                    <m:rPr>
                      <m:sty m:val="p"/>
                    </m:rPr>
                    <m:t>∘</m:t>
                  </m:r>
                </m:sup>
              </m:sSup>
              <m:r>
                <m:rPr>
                  <m:nor/>
                  <m:sty m:val="p"/>
                </m:rPr>
                <m:t>C</m:t>
              </m:r>
            </m:oMath>
            <w:r>
              <w:t xml:space="preserve">/dec post-1980).</w:t>
            </w:r>
            <w:r>
              <w:t xml:space="preserve"> </w:t>
            </w:r>
            <w:r>
              <w:rPr>
                <w:b/>
                <w:bCs/>
              </w:rPr>
              <w:t xml:space="preserve">(B)</w:t>
            </w:r>
            <w:r>
              <w:t xml:space="preserve"> </w:t>
            </w:r>
            <w:r>
              <w:t xml:space="preserve">Annual mean wing length deviations across 37,751 records (1884–2018), showing pre-1980 museum stability and post-1980 shortening.</w:t>
            </w:r>
            <w:r>
              <w:t xml:space="preserve"> </w:t>
            </w:r>
            <w:r>
              <w:rPr>
                <w:b/>
                <w:bCs/>
              </w:rPr>
              <w:t xml:space="preserve">(C)</w:t>
            </w:r>
            <w:r>
              <w:t xml:space="preserve"> </w:t>
            </w:r>
            <w:r>
              <w:t xml:space="preserve">Thermal sensitivity of wing length: pre-1980 morphology was decoupled from temperature (</w:t>
            </w:r>
            <m:oMath>
              <m:r>
                <m:t>β</m:t>
              </m:r>
              <m:r>
                <m:rPr>
                  <m:sty m:val="p"/>
                </m:rPr>
                <m:t>=</m:t>
              </m:r>
              <m:r>
                <m:rPr>
                  <m:sty m:val="p"/>
                </m:rPr>
                <m:t>+</m:t>
              </m:r>
              <m:r>
                <m:t>0.10</m:t>
              </m:r>
            </m:oMath>
            <w:r>
              <w:t xml:space="preserve"> </w:t>
            </w:r>
            <w:r>
              <w:t xml:space="preserve">mm/°C,</w:t>
            </w:r>
            <w:r>
              <w:t xml:space="preserve"> </w:t>
            </w:r>
            <m:oMath>
              <m:r>
                <m:t>p</m:t>
              </m:r>
              <m:r>
                <m:rPr>
                  <m:sty m:val="p"/>
                </m:rPr>
                <m:t>=</m:t>
              </m:r>
              <m:r>
                <m:t>0.91</m:t>
              </m:r>
            </m:oMath>
            <w:r>
              <w:t xml:space="preserve">), whereas post-1980 exhibits strong negative thermal coupling (</w:t>
            </w:r>
            <m:oMath>
              <m:r>
                <m:t>β</m:t>
              </m:r>
              <m:r>
                <m:rPr>
                  <m:sty m:val="p"/>
                </m:rPr>
                <m:t>=</m:t>
              </m:r>
              <m:r>
                <m:rPr>
                  <m:sty m:val="p"/>
                </m:rPr>
                <m:t>−</m:t>
              </m:r>
              <m:r>
                <m:t>1.68</m:t>
              </m:r>
            </m:oMath>
            <w:r>
              <w:t xml:space="preserve"> </w:t>
            </w:r>
            <w:r>
              <w:t xml:space="preserve">mm/°C,</w:t>
            </w:r>
            <w:r>
              <w:t xml:space="preserve"> </w:t>
            </w:r>
            <m:oMath>
              <m:r>
                <m:t>p</m:t>
              </m:r>
              <m:r>
                <m:rPr>
                  <m:sty m:val="p"/>
                </m:rPr>
                <m:t>=</m:t>
              </m:r>
              <m:r>
                <m:t>0.005</m:t>
              </m:r>
            </m:oMath>
            <w:r>
              <w:t xml:space="preserve">).</w:t>
            </w:r>
          </w:p>
          <w:bookmarkEnd w:id="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fig-s-climate-mass"/>
          <w:p>
            <w:pPr>
              <w:pStyle w:val="Compact"/>
              <w:jc w:val="center"/>
            </w:pPr>
            <w:r>
              <w:drawing>
                <wp:inline>
                  <wp:extent cx="5334000" cy="2963333"/>
                  <wp:effectExtent b="0" l="0" r="0" t="0"/>
                  <wp:docPr descr="" title="" id="28" name="Picture"/>
                  <a:graphic>
                    <a:graphicData uri="http://schemas.openxmlformats.org/drawingml/2006/picture">
                      <pic:pic>
                        <pic:nvPicPr>
                          <pic:cNvPr descr="images/fig-s-climate-mass.png" id="29" name="Picture"/>
                          <pic:cNvPicPr>
                            <a:picLocks noChangeArrowheads="1" noChangeAspect="1"/>
                          </pic:cNvPicPr>
                        </pic:nvPicPr>
                        <pic:blipFill>
                          <a:blip r:embed="rId2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Supplementary Figure S5.</w:t>
            </w:r>
            <w:r>
              <w:t xml:space="preserve"> </w:t>
            </w:r>
            <w:r>
              <w:t xml:space="preserve">Century-scale body mass trajectory and thermal decoupling (1962–2018).</w:t>
            </w:r>
            <w:r>
              <w:t xml:space="preserve"> </w:t>
            </w:r>
            <w:r>
              <w:rPr>
                <w:b/>
                <w:bCs/>
              </w:rPr>
              <w:t xml:space="preserve">(A)</w:t>
            </w:r>
            <w:r>
              <w:t xml:space="preserve"> </w:t>
            </w:r>
            <w:r>
              <w:t xml:space="preserve">Regional temperature series with 1980 breakpoint.</w:t>
            </w:r>
            <w:r>
              <w:t xml:space="preserve"> </w:t>
            </w:r>
            <w:r>
              <w:rPr>
                <w:b/>
                <w:bCs/>
              </w:rPr>
              <w:t xml:space="preserve">(B)</w:t>
            </w:r>
            <w:r>
              <w:t xml:space="preserve"> </w:t>
            </w:r>
            <w:r>
              <w:t xml:space="preserve">Species-centered body mass deviations across 50,058 passerine records, showing multi-decadal stability across both pre-1980 (</w:t>
            </w:r>
            <m:oMath>
              <m:r>
                <m:rPr>
                  <m:sty m:val="p"/>
                </m:rPr>
                <m:t>−</m:t>
              </m:r>
              <m:r>
                <m:t>0.17</m:t>
              </m:r>
              <m:r>
                <m:rPr>
                  <m:sty m:val="p"/>
                </m:rPr>
                <m:t>%</m:t>
              </m:r>
            </m:oMath>
            <w:r>
              <w:t xml:space="preserve">/year,</w:t>
            </w:r>
            <w:r>
              <w:t xml:space="preserve"> </w:t>
            </w:r>
            <m:oMath>
              <m:r>
                <m:t>p</m:t>
              </m:r>
              <m:r>
                <m:rPr>
                  <m:sty m:val="p"/>
                </m:rPr>
                <m:t>=</m:t>
              </m:r>
              <m:r>
                <m:t>0.52</m:t>
              </m:r>
            </m:oMath>
            <w:r>
              <w:t xml:space="preserve">) and post-1980 (</w:t>
            </w:r>
            <m:oMath>
              <m:r>
                <m:rPr>
                  <m:sty m:val="p"/>
                </m:rPr>
                <m:t>−</m:t>
              </m:r>
              <m:r>
                <m:t>0.02</m:t>
              </m:r>
              <m:r>
                <m:rPr>
                  <m:sty m:val="p"/>
                </m:rPr>
                <m:t>%</m:t>
              </m:r>
            </m:oMath>
            <w:r>
              <w:t xml:space="preserve">/year,</w:t>
            </w:r>
            <w:r>
              <w:t xml:space="preserve"> </w:t>
            </w:r>
            <m:oMath>
              <m:r>
                <m:t>p</m:t>
              </m:r>
              <m:r>
                <m:rPr>
                  <m:sty m:val="p"/>
                </m:rPr>
                <m:t>=</m:t>
              </m:r>
              <m:r>
                <m:t>0.49</m:t>
              </m:r>
            </m:oMath>
            <w:r>
              <w:t xml:space="preserve">) eras.</w:t>
            </w:r>
            <w:r>
              <w:t xml:space="preserve"> </w:t>
            </w:r>
            <w:r>
              <w:rPr>
                <w:b/>
                <w:bCs/>
              </w:rPr>
              <w:t xml:space="preserve">(C)</w:t>
            </w:r>
            <w:r>
              <w:t xml:space="preserve"> </w:t>
            </w:r>
            <w:r>
              <w:t xml:space="preserve">Thermal sensitivity of body mass, demonstrating complete thermal decoupling across all time periods (</w:t>
            </w:r>
            <m:oMath>
              <m:r>
                <m:t>p</m:t>
              </m:r>
              <m:r>
                <m:rPr>
                  <m:sty m:val="p"/>
                </m:rPr>
                <m:t>=</m:t>
              </m:r>
              <m:r>
                <m:t>0.86</m:t>
              </m:r>
            </m:oMath>
            <w:r>
              <w:t xml:space="preserve"> </w:t>
            </w:r>
            <w:r>
              <w:t xml:space="preserve">pre-1980;</w:t>
            </w:r>
            <w:r>
              <w:t xml:space="preserve"> </w:t>
            </w:r>
            <m:oMath>
              <m:r>
                <m:t>p</m:t>
              </m:r>
              <m:r>
                <m:rPr>
                  <m:sty m:val="p"/>
                </m:rPr>
                <m:t>=</m:t>
              </m:r>
              <m:r>
                <m:t>0.43</m:t>
              </m:r>
            </m:oMath>
            <w:r>
              <w:t xml:space="preserve"> </w:t>
            </w:r>
            <w:r>
              <w:t xml:space="preserve">post-1980).</w:t>
            </w:r>
          </w:p>
          <w:bookmarkEnd w:id="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fig-s-climate-allometry"/>
          <w:p>
            <w:pPr>
              <w:pStyle w:val="Compact"/>
              <w:jc w:val="center"/>
            </w:pPr>
            <w:r>
              <w:drawing>
                <wp:inline>
                  <wp:extent cx="5334000" cy="2963333"/>
                  <wp:effectExtent b="0" l="0" r="0" t="0"/>
                  <wp:docPr descr="" title="" id="32" name="Picture"/>
                  <a:graphic>
                    <a:graphicData uri="http://schemas.openxmlformats.org/drawingml/2006/picture">
                      <pic:pic>
                        <pic:nvPicPr>
                          <pic:cNvPr descr="images/fig-s-climate-allometry.png" id="33" name="Picture"/>
                          <pic:cNvPicPr>
                            <a:picLocks noChangeArrowheads="1" noChangeAspect="1"/>
                          </pic:cNvPicPr>
                        </pic:nvPicPr>
                        <pic:blipFill>
                          <a:blip r:embed="rId3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Supplementary Figure S6.</w:t>
            </w:r>
            <w:r>
              <w:t xml:space="preserve"> </w:t>
            </w:r>
            <w:r>
              <w:t xml:space="preserve">Century-scale allometric trajectory and thermal stoutening (1962–2018).</w:t>
            </w:r>
            <w:r>
              <w:t xml:space="preserve"> </w:t>
            </w:r>
            <w:r>
              <w:rPr>
                <w:b/>
                <w:bCs/>
              </w:rPr>
              <w:t xml:space="preserve">(A)</w:t>
            </w:r>
            <w:r>
              <w:t xml:space="preserve"> </w:t>
            </w:r>
            <w:r>
              <w:t xml:space="preserve">Regional temperature series with 1980 breakpoint.</w:t>
            </w:r>
            <w:r>
              <w:t xml:space="preserve"> </w:t>
            </w:r>
            <w:r>
              <w:rPr>
                <w:b/>
                <w:bCs/>
              </w:rPr>
              <w:t xml:space="preserve">(B)</w:t>
            </w:r>
            <w:r>
              <w:t xml:space="preserve"> </w:t>
            </w:r>
            <w:r>
              <w:t xml:space="preserve">Isometry contrast (</w:t>
            </w:r>
            <m:oMath>
              <m:sSub>
                <m:e>
                  <m:r>
                    <m:rPr>
                      <m:sty m:val="p"/>
                    </m:rPr>
                    <m:t>Δ</m:t>
                  </m:r>
                </m:e>
                <m:sub>
                  <m:r>
                    <m:rPr>
                      <m:nor/>
                      <m:sty m:val="p"/>
                    </m:rPr>
                    <m:t>iso</m:t>
                  </m:r>
                </m:sub>
              </m:sSub>
              <m:r>
                <m:rPr>
                  <m:sty m:val="p"/>
                </m:rPr>
                <m:t>=</m:t>
              </m:r>
              <m:r>
                <m:rPr>
                  <m:sty m:val="p"/>
                </m:rPr>
                <m:t>ln</m:t>
              </m:r>
              <m:r>
                <m:t>M</m:t>
              </m:r>
              <m:r>
                <m:rPr>
                  <m:sty m:val="p"/>
                </m:rPr>
                <m:t>−</m:t>
              </m:r>
              <m:r>
                <m:t>3</m:t>
              </m:r>
              <m:r>
                <m:rPr>
                  <m:sty m:val="p"/>
                </m:rPr>
                <m:t>ln</m:t>
              </m:r>
              <m:r>
                <m:t>L</m:t>
              </m:r>
            </m:oMath>
            <w:r>
              <w:t xml:space="preserve">) across 29,871 shared records, showing strict isometry pre-1980 (</w:t>
            </w:r>
            <m:oMath>
              <m:r>
                <m:t>p</m:t>
              </m:r>
              <m:r>
                <m:rPr>
                  <m:sty m:val="p"/>
                </m:rPr>
                <m:t>=</m:t>
              </m:r>
              <m:r>
                <m:t>0.69</m:t>
              </m:r>
            </m:oMath>
            <w:r>
              <w:t xml:space="preserve">) and significant stoutening post-1980 (</w:t>
            </w:r>
            <m:oMath>
              <m:r>
                <m:rPr>
                  <m:sty m:val="p"/>
                </m:rPr>
                <m:t>+</m:t>
              </m:r>
              <m:r>
                <m:t>2.12</m:t>
              </m:r>
              <m:r>
                <m:rPr>
                  <m:sty m:val="p"/>
                </m:rPr>
                <m:t>%</m:t>
              </m:r>
            </m:oMath>
            <w:r>
              <w:t xml:space="preserve">/decade,</w:t>
            </w:r>
            <w:r>
              <w:t xml:space="preserve"> </w:t>
            </w:r>
            <m:oMath>
              <m:r>
                <m:t>p</m:t>
              </m:r>
              <m:r>
                <m:rPr>
                  <m:sty m:val="p"/>
                </m:rPr>
                <m:t>=</m:t>
              </m:r>
              <m:r>
                <m:t>0.048</m:t>
              </m:r>
            </m:oMath>
            <w:r>
              <w:t xml:space="preserve">).</w:t>
            </w:r>
            <w:r>
              <w:t xml:space="preserve"> </w:t>
            </w:r>
            <w:r>
              <w:rPr>
                <w:b/>
                <w:bCs/>
              </w:rPr>
              <w:t xml:space="preserve">(C)</w:t>
            </w:r>
            <w:r>
              <w:t xml:space="preserve"> </w:t>
            </w:r>
            <w:r>
              <w:t xml:space="preserve">Thermal sensitivity of allometry, showing strong positive coupling to regional warming post-1980 (</w:t>
            </w:r>
            <m:oMath>
              <m:r>
                <m:t>β</m:t>
              </m:r>
              <m:r>
                <m:rPr>
                  <m:sty m:val="p"/>
                </m:rPr>
                <m:t>=</m:t>
              </m:r>
              <m:r>
                <m:rPr>
                  <m:sty m:val="p"/>
                </m:rPr>
                <m:t>+</m:t>
              </m:r>
              <m:r>
                <m:t>9.32</m:t>
              </m:r>
              <m:r>
                <m:rPr>
                  <m:sty m:val="p"/>
                </m:rPr>
                <m:t>%</m:t>
              </m:r>
              <m:sSup>
                <m:e>
                  <m:r>
                    <m:rPr>
                      <m:sty m:val="p"/>
                    </m:rPr>
                    <m:t>/</m:t>
                  </m:r>
                </m:e>
                <m:sup>
                  <m:r>
                    <m:rPr>
                      <m:sty m:val="p"/>
                    </m:rPr>
                    <m:t>∘</m:t>
                  </m:r>
                </m:sup>
              </m:sSup>
              <m:r>
                <m:rPr>
                  <m:nor/>
                  <m:sty m:val="p"/>
                </m:rPr>
                <m:t>C</m:t>
              </m:r>
              <m:r>
                <m:rPr>
                  <m:sty m:val="p"/>
                </m:rPr>
                <m:t>,</m:t>
              </m:r>
              <m:r>
                <m:t>p</m:t>
              </m:r>
              <m:r>
                <m:rPr>
                  <m:sty m:val="p"/>
                </m:rPr>
                <m:t>=</m:t>
              </m:r>
              <m:r>
                <m:t>0.034</m:t>
              </m:r>
            </m:oMath>
            <w:r>
              <w:t xml:space="preserve">).</w:t>
            </w:r>
          </w:p>
          <w:bookmarkEnd w:id="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s-secular-trajectories"/>
          <w:p>
            <w:pPr>
              <w:pStyle w:val="Compact"/>
              <w:jc w:val="center"/>
            </w:pPr>
            <w:r>
              <w:drawing>
                <wp:inline>
                  <wp:extent cx="5334000" cy="4772526"/>
                  <wp:effectExtent b="0" l="0" r="0" t="0"/>
                  <wp:docPr descr="" title="" id="36" name="Picture"/>
                  <a:graphic>
                    <a:graphicData uri="http://schemas.openxmlformats.org/drawingml/2006/picture">
                      <pic:pic>
                        <pic:nvPicPr>
                          <pic:cNvPr descr="images/fig-s-secular-trajectories.png" id="37" name="Picture"/>
                          <pic:cNvPicPr>
                            <a:picLocks noChangeArrowheads="1" noChangeAspect="1"/>
                          </pic:cNvPicPr>
                        </pic:nvPicPr>
                        <pic:blipFill>
                          <a:blip r:embed="rId35"/>
                          <a:stretch>
                            <a:fillRect/>
                          </a:stretch>
                        </pic:blipFill>
                        <pic:spPr bwMode="auto">
                          <a:xfrm>
                            <a:off x="0" y="0"/>
                            <a:ext cx="5334000" cy="4772526"/>
                          </a:xfrm>
                          <a:prstGeom prst="rect">
                            <a:avLst/>
                          </a:prstGeom>
                          <a:noFill/>
                          <a:ln w="9525">
                            <a:noFill/>
                            <a:headEnd/>
                            <a:tailEnd/>
                          </a:ln>
                        </pic:spPr>
                      </pic:pic>
                    </a:graphicData>
                  </a:graphic>
                </wp:inline>
              </w:drawing>
            </w:r>
          </w:p>
          <w:p>
            <w:pPr>
              <w:jc w:val="center"/>
            </w:pPr>
            <w:pPr>
              <w:jc w:val="left"/>
              <w:spacing w:before="200"/>
              <w:pStyle w:val="ImageCaption"/>
            </w:pPr>
            <w:r>
              <w:t xml:space="preserve">Figure 7:</w:t>
            </w:r>
            <w:r>
              <w:t xml:space="preserve"> </w:t>
            </w:r>
            <w:r>
              <w:rPr>
                <w:b/>
                <w:bCs/>
              </w:rPr>
              <w:t xml:space="preserve">Supplementary Figure S8.</w:t>
            </w:r>
            <w:r>
              <w:t xml:space="preserve"> </w:t>
            </w:r>
            <w:r>
              <w:t xml:space="preserve">Secular species-specific trajectories for 175 passerine species connecting historical museum skins (1884–1979) to modern field ringing records (1995–2018). Points represent annual species means sized by capture count; lines represent species-specific linear mixed-effects trajectories.</w:t>
            </w:r>
          </w:p>
          <w:bookmarkEnd w:id="38"/>
        </w:tc>
      </w:tr>
    </w:tbl>
    <w:p>
      <w:r>
        <w:pict>
          <v:rect style="width:0;height:1.5pt" o:hralign="center" o:hrstd="t" o:hr="t"/>
        </w:pict>
      </w:r>
    </w:p>
    <w:bookmarkEnd w:id="39"/>
    <w:bookmarkStart w:id="44" w:name="X6079c49a23a0d893b6bb2fa1d28d7b96257e404"/>
    <w:p>
      <w:pPr>
        <w:pStyle w:val="Heading2"/>
      </w:pPr>
      <w:r>
        <w:t xml:space="preserve">1.4 Supplementary Note S4: Community-Wide Sampling Expansion (Jirinec et al. 2021 Criteria)</w:t>
      </w:r>
    </w:p>
    <w:p>
      <w:pPr>
        <w:pStyle w:val="FirstParagraph"/>
      </w:pPr>
      <w:r>
        <w:t xml:space="preserve">To assess whether our focal sample restrictions (passerines, adults of known sex,</w:t>
      </w:r>
      <w:r>
        <w:t xml:space="preserve"> </w:t>
      </w:r>
      <m:oMath>
        <m:r>
          <m:t>n</m:t>
        </m:r>
        <m:r>
          <m:rPr>
            <m:sty m:val="p"/>
          </m:rPr>
          <m:t>≥</m:t>
        </m:r>
        <m:r>
          <m:t>30</m:t>
        </m:r>
      </m:oMath>
      <w:r>
        <w:t xml:space="preserve">,</w:t>
      </w:r>
      <w:r>
        <w:t xml:space="preserve"> </w:t>
      </w:r>
      <m:oMath>
        <m:r>
          <m:rPr>
            <m:sty m:val="p"/>
          </m:rPr>
          <m:t>≥</m:t>
        </m:r>
        <m:r>
          <m:t>5</m:t>
        </m:r>
      </m:oMath>
      <w:r>
        <w:t xml:space="preserve"> </w:t>
      </w:r>
      <w:r>
        <w:t xml:space="preserve">years span) influenced conclusions, we implemented a community-wide expansion following the less restrictive sampling design of</w:t>
      </w:r>
      <w:r>
        <w:t xml:space="preserve"> </w:t>
      </w:r>
      <w:r>
        <w:t xml:space="preserve">Jirinec et al. (2021)</w:t>
      </w:r>
      <w:r>
        <w:t xml:space="preserve">:</w:t>
      </w:r>
      <w:r>
        <w:t xml:space="preserve"> </w:t>
      </w:r>
      <w:r>
        <w:t xml:space="preserve">1. Inclusion of adult individuals of unknown sex;</w:t>
      </w:r>
      <w:r>
        <w:t xml:space="preserve"> </w:t>
      </w:r>
      <w:r>
        <w:t xml:space="preserve">2. Expansion from Passeriformes to all mist-netted understorey bird orders (Apodiformes, Columbiformes, Coraciiformes, Cuculiformes, Galbuliformes, Gruiformes, Passeriformes, Pelecaniformes, Piciformes, Strigiformes, Trogoniformes);</w:t>
      </w:r>
      <w:r>
        <w:t xml:space="preserve"> </w:t>
      </w:r>
      <w:r>
        <w:t xml:space="preserve">3. Temporal coverage criterion requiring</w:t>
      </w:r>
      <w:r>
        <w:t xml:space="preserve"> </w:t>
      </w:r>
      <m:oMath>
        <m:r>
          <m:rPr>
            <m:sty m:val="p"/>
          </m:rPr>
          <m:t>≥</m:t>
        </m:r>
        <m:r>
          <m:t>5</m:t>
        </m:r>
      </m:oMath>
      <w:r>
        <w:t xml:space="preserve"> </w:t>
      </w:r>
      <w:r>
        <w:t xml:space="preserve">captures before and after the median sampling year (2010).</w:t>
      </w:r>
    </w:p>
    <w:p>
      <w:pPr>
        <w:pStyle w:val="BodyText"/>
      </w:pPr>
      <w:r>
        <w:t xml:space="preserve">This expanded dataset comprised 46,663 body mass records (243 species) and 31,888 wing records (217 species). Linear mixed-effects models controlling for species random slopes, sampling locality, and contributor demonstrated that wing shortening remained invariant at</w:t>
      </w:r>
      <w:r>
        <w:t xml:space="preserve"> </w:t>
      </w:r>
      <m:oMath>
        <m:r>
          <m:rPr>
            <m:sty m:val="p"/>
          </m:rPr>
          <m:t>−</m:t>
        </m:r>
        <m:r>
          <m:t>1.00</m:t>
        </m:r>
        <m:r>
          <m:rPr>
            <m:sty m:val="p"/>
          </m:rPr>
          <m:t>%</m:t>
        </m:r>
      </m:oMath>
      <w:r>
        <w:t xml:space="preserve">/decade (95% CI:</w:t>
      </w:r>
      <w:r>
        <w:t xml:space="preserve"> </w:t>
      </w:r>
      <m:oMath>
        <m:r>
          <m:rPr>
            <m:sty m:val="p"/>
          </m:rPr>
          <m:t>−</m:t>
        </m:r>
        <m:r>
          <m:t>2.09</m:t>
        </m:r>
      </m:oMath>
      <w:r>
        <w:t xml:space="preserve"> </w:t>
      </w:r>
      <w:r>
        <w:t xml:space="preserve">to</w:t>
      </w:r>
      <w:r>
        <w:t xml:space="preserve"> </w:t>
      </w:r>
      <m:oMath>
        <m:r>
          <m:rPr>
            <m:sty m:val="p"/>
          </m:rPr>
          <m:t>+</m:t>
        </m:r>
        <m:r>
          <m:t>0.09</m:t>
        </m:r>
        <m:r>
          <m:rPr>
            <m:sty m:val="p"/>
          </m:rPr>
          <m:t>%</m:t>
        </m:r>
      </m:oMath>
      <w:r>
        <w:t xml:space="preserve">/decade;</w:t>
      </w:r>
      <w:r>
        <w:t xml:space="preserve"> </w:t>
      </w:r>
      <w:hyperlink w:anchor="tbl-s1">
        <w:r>
          <w:rPr>
            <w:rStyle w:val="Hyperlink"/>
          </w:rPr>
          <w:t xml:space="preserve">Table 1</w:t>
        </w:r>
      </w:hyperlink>
      <w:r>
        <w:t xml:space="preserve">;</w:t>
      </w:r>
      <w:r>
        <w:t xml:space="preserve"> </w:t>
      </w:r>
      <w:hyperlink w:anchor="fig-s-model-comparison">
        <w:r>
          <w:rPr>
            <w:rStyle w:val="Hyperlink"/>
          </w:rPr>
          <w:t xml:space="preserve">Figure 8</w:t>
        </w:r>
      </w:hyperlink>
      <w:r>
        <w:t xml:space="preserve">). For body mass, the expanded community sample yielded a statistically detectable decadal decline of</w:t>
      </w:r>
      <w:r>
        <w:t xml:space="preserve"> </w:t>
      </w:r>
      <m:oMath>
        <m:r>
          <m:rPr>
            <m:sty m:val="p"/>
          </m:rPr>
          <m:t>−</m:t>
        </m:r>
        <m:r>
          <m:t>1.29</m:t>
        </m:r>
        <m:r>
          <m:rPr>
            <m:sty m:val="p"/>
          </m:rPr>
          <m:t>%</m:t>
        </m:r>
      </m:oMath>
      <w:r>
        <w:t xml:space="preserve">/decade (95% CI:</w:t>
      </w:r>
      <w:r>
        <w:t xml:space="preserve"> </w:t>
      </w:r>
      <m:oMath>
        <m:r>
          <m:rPr>
            <m:sty m:val="p"/>
          </m:rPr>
          <m:t>−</m:t>
        </m:r>
        <m:r>
          <m:t>2.30</m:t>
        </m:r>
      </m:oMath>
      <w:r>
        <w:t xml:space="preserve"> </w:t>
      </w:r>
      <w:r>
        <w:t xml:space="preserve">to</w:t>
      </w:r>
      <w:r>
        <w:t xml:space="preserve"> </w:t>
      </w:r>
      <m:oMath>
        <m:r>
          <m:rPr>
            <m:sty m:val="p"/>
          </m:rPr>
          <m:t>−</m:t>
        </m:r>
        <m:r>
          <m:t>0.27</m:t>
        </m:r>
        <m:r>
          <m:rPr>
            <m:sty m:val="p"/>
          </m:rPr>
          <m:t>%</m:t>
        </m:r>
      </m:oMath>
      <w:r>
        <w:t xml:space="preserve">/decade), positioning the Atlantic Forest intermediate between North American temperate migrants [</w:t>
      </w:r>
      <m:oMath>
        <m:r>
          <m:rPr>
            <m:sty m:val="p"/>
          </m:rPr>
          <m:t>−</m:t>
        </m:r>
        <m:r>
          <m:t>0.68</m:t>
        </m:r>
        <m:r>
          <m:rPr>
            <m:sty m:val="p"/>
          </m:rPr>
          <m:t>%</m:t>
        </m:r>
      </m:oMath>
      <w:r>
        <w:t xml:space="preserve">/decade;</w:t>
      </w:r>
      <w:r>
        <w:t xml:space="preserve"> </w:t>
      </w:r>
      <w:r>
        <w:t xml:space="preserve">Weeks et al. (2020)</w:t>
      </w:r>
      <w:r>
        <w:t xml:space="preserve">] and continuous Amazonian understorey [</w:t>
      </w:r>
      <m:oMath>
        <m:r>
          <m:rPr>
            <m:sty m:val="p"/>
          </m:rPr>
          <m:t>−</m:t>
        </m:r>
        <m:r>
          <m:t>1.80</m:t>
        </m:r>
        <m:r>
          <m:rPr>
            <m:sty m:val="p"/>
          </m:rPr>
          <m:t>%</m:t>
        </m:r>
      </m:oMath>
      <w:r>
        <w:t xml:space="preserve">/decade;</w:t>
      </w:r>
      <w:r>
        <w:t xml:space="preserve"> </w:t>
      </w:r>
      <w:r>
        <w:t xml:space="preserve">Jirinec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43" w:name="fig-s-model-comparison"/>
          <w:p>
            <w:pPr>
              <w:pStyle w:val="Compact"/>
              <w:jc w:val="center"/>
            </w:pPr>
            <w:r>
              <w:drawing>
                <wp:inline>
                  <wp:extent cx="5334000" cy="3809999"/>
                  <wp:effectExtent b="0" l="0" r="0" t="0"/>
                  <wp:docPr descr="" title="" id="41" name="Picture"/>
                  <a:graphic>
                    <a:graphicData uri="http://schemas.openxmlformats.org/drawingml/2006/picture">
                      <pic:pic>
                        <pic:nvPicPr>
                          <pic:cNvPr descr="images/fig-s-model-comparison.png" id="42" name="Picture"/>
                          <pic:cNvPicPr>
                            <a:picLocks noChangeArrowheads="1" noChangeAspect="1"/>
                          </pic:cNvPicPr>
                        </pic:nvPicPr>
                        <pic:blipFill>
                          <a:blip r:embed="rId40"/>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w:t>
            </w:r>
            <w:r>
              <w:t xml:space="preserve"> </w:t>
            </w:r>
            <w:r>
              <w:rPr>
                <w:b/>
                <w:bCs/>
              </w:rPr>
              <w:t xml:space="preserve">Supplementary Figure S7.</w:t>
            </w:r>
            <w:r>
              <w:t xml:space="preserve"> </w:t>
            </w:r>
            <w:r>
              <w:t xml:space="preserve">Forest plot comparing decadal rates of change (% per decade,</w:t>
            </w:r>
            <w:r>
              <w:t xml:space="preserve"> </w:t>
            </w:r>
            <m:oMath>
              <m:r>
                <m:rPr>
                  <m:sty m:val="p"/>
                </m:rPr>
                <m:t>±</m:t>
              </m:r>
              <m:r>
                <m:t>95</m:t>
              </m:r>
              <m:r>
                <m:rPr>
                  <m:sty m:val="p"/>
                </m:rPr>
                <m:t>%</m:t>
              </m:r>
            </m:oMath>
            <w:r>
              <w:t xml:space="preserve"> </w:t>
            </w:r>
            <w:r>
              <w:t xml:space="preserve">CI) across sequential analytical tiers (T1–T6) for wing length (blue) and body mass (orange). Benchmarks from</w:t>
            </w:r>
            <w:r>
              <w:t xml:space="preserve"> </w:t>
            </w:r>
            <w:r>
              <w:t xml:space="preserve">Weeks et al. (2020)</w:t>
            </w:r>
            <w:r>
              <w:t xml:space="preserve"> </w:t>
            </w:r>
            <w:r>
              <w:t xml:space="preserve">(temperate migrants) and</w:t>
            </w:r>
            <w:r>
              <w:t xml:space="preserve"> </w:t>
            </w:r>
            <w:r>
              <w:t xml:space="preserve">Jirinec et al. (2021)</w:t>
            </w:r>
            <w:r>
              <w:t xml:space="preserve"> </w:t>
            </w:r>
            <w:r>
              <w:t xml:space="preserve">(Amazonian understorey) are displayed for comparison.</w:t>
            </w:r>
          </w:p>
          <w:bookmarkEnd w:id="43"/>
        </w:tc>
      </w:tr>
    </w:tbl>
    <w:p>
      <w:r>
        <w:pict>
          <v:rect style="width:0;height:1.5pt" o:hralign="center" o:hrstd="t" o:hr="t"/>
        </w:pict>
      </w:r>
    </w:p>
    <w:bookmarkEnd w:id="44"/>
    <w:bookmarkStart w:id="49" w:name="X6ceccdb6db35aaae2f1e6a1c11236893a873cd2"/>
    <w:p>
      <w:pPr>
        <w:pStyle w:val="Heading2"/>
      </w:pPr>
      <w:r>
        <w:t xml:space="preserve">1.5 Supplementary Note S5: Exploratory Distributional Structural Equation Modeling (drmSEM)</w:t>
      </w:r>
    </w:p>
    <w:p>
      <w:pPr>
        <w:pStyle w:val="FirstParagraph"/>
      </w:pPr>
      <w:r>
        <w:t xml:space="preserve">To evaluate causal pathways connecting climate warming, potential prey availability, and avian morphometrics, we formulated a distributional causal DAG using</w:t>
      </w:r>
      <w:r>
        <w:t xml:space="preserve"> </w:t>
      </w:r>
      <w:r>
        <w:rPr>
          <w:rStyle w:val="VerbatimChar"/>
        </w:rPr>
        <w:t xml:space="preserve">drmSEM</w:t>
      </w:r>
      <w:r>
        <w:t xml:space="preserve"> </w:t>
      </w:r>
      <w:r>
        <w:t xml:space="preserve">/</w:t>
      </w:r>
      <w:r>
        <w:t xml:space="preserve"> </w:t>
      </w:r>
      <w:r>
        <w:rPr>
          <w:rStyle w:val="VerbatimChar"/>
        </w:rPr>
        <w:t xml:space="preserve">glmmTMB</w:t>
      </w:r>
      <w:r>
        <w:t xml:space="preserve"> </w:t>
      </w:r>
      <w:r>
        <w:t xml:space="preserve">(</w:t>
      </w:r>
      <w:hyperlink w:anchor="fig-s-drmsem">
        <w:r>
          <w:rPr>
            <w:rStyle w:val="Hyperlink"/>
          </w:rPr>
          <w:t xml:space="preserve">Figure 9</w:t>
        </w:r>
      </w:hyperlink>
      <w:r>
        <w:t xml:space="preserve">). The model simultaneously estimates mean paths (</w:t>
      </w:r>
      <m:oMath>
        <m:r>
          <m:t>μ</m:t>
        </m:r>
      </m:oMath>
      <w:r>
        <w:t xml:space="preserve">) and heteroscedastic dispersion paths (</w:t>
      </w:r>
      <m:oMath>
        <m:r>
          <m:rPr>
            <m:sty m:val="p"/>
          </m:rPr>
          <m:t>log</m:t>
        </m:r>
        <m:r>
          <m:t>σ</m:t>
        </m:r>
      </m:oMath>
      <w:r>
        <w:t xml:space="preserve">). In accordance with the main findings, direct temperature effects on wing length were modest, body mass showed stability, and regional prey indices (litter ants) showed no direct causal constraint on avian body condition.</w:t>
      </w:r>
    </w:p>
    <w:tbl>
      <w:tblPr>
        <w:tblStyle w:val="Table"/>
        <w:tblW w:type="pct" w:w="5000"/>
        <w:tblLayout w:type="fixed"/>
        <w:tblLook w:firstRow="0" w:lastRow="0" w:firstColumn="0" w:lastColumn="0" w:noHBand="0" w:noVBand="0" w:val="0000"/>
      </w:tblPr>
      <w:tblGrid>
        <w:gridCol w:w="7920"/>
      </w:tblGrid>
      <w:tr>
        <w:tc>
          <w:tcPr/>
          <w:bookmarkStart w:id="48" w:name="fig-s-drmsem"/>
          <w:p>
            <w:pPr>
              <w:pStyle w:val="Compact"/>
              <w:jc w:val="center"/>
            </w:pPr>
            <w:r>
              <w:drawing>
                <wp:inline>
                  <wp:extent cx="5334000" cy="3852333"/>
                  <wp:effectExtent b="0" l="0" r="0" t="0"/>
                  <wp:docPr descr="" title="" id="46" name="Picture"/>
                  <a:graphic>
                    <a:graphicData uri="http://schemas.openxmlformats.org/drawingml/2006/picture">
                      <pic:pic>
                        <pic:nvPicPr>
                          <pic:cNvPr descr="images/fig-drmsem.png" id="47" name="Picture"/>
                          <pic:cNvPicPr>
                            <a:picLocks noChangeArrowheads="1" noChangeAspect="1"/>
                          </pic:cNvPicPr>
                        </pic:nvPicPr>
                        <pic:blipFill>
                          <a:blip r:embed="rId45"/>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w:t>
            </w:r>
            <w:r>
              <w:t xml:space="preserve"> </w:t>
            </w:r>
            <w:r>
              <w:rPr>
                <w:b/>
                <w:bCs/>
              </w:rPr>
              <w:t xml:space="preserve">Supplementary Figure S9.</w:t>
            </w:r>
            <w:r>
              <w:t xml:space="preserve"> </w:t>
            </w:r>
            <w:r>
              <w:t xml:space="preserve">Distributional causal directed acyclic graph (drmSEM) evaluating environmental warming, prey availability, and avian phenotypic responses. Solid arrows represent mean structural paths (</w:t>
            </w:r>
            <m:oMath>
              <m:r>
                <m:t>μ</m:t>
              </m:r>
            </m:oMath>
            <w:r>
              <w:t xml:space="preserve">); dashed arrows represent dispersion paths (</w:t>
            </w:r>
            <m:oMath>
              <m:r>
                <m:rPr>
                  <m:sty m:val="p"/>
                </m:rPr>
                <m:t>log</m:t>
              </m:r>
              <m:r>
                <m:t>σ</m:t>
              </m:r>
            </m:oMath>
            <w:r>
              <w:t xml:space="preserve">). Standardized path coefficients (</w:t>
            </w:r>
            <m:oMath>
              <m:r>
                <m:rPr>
                  <m:sty m:val="p"/>
                </m:rPr>
                <m:t>±</m:t>
              </m:r>
              <m:r>
                <m:t>1</m:t>
              </m:r>
            </m:oMath>
            <w:r>
              <w:t xml:space="preserve"> </w:t>
            </w:r>
            <w:r>
              <w:t xml:space="preserve">SE) are displayed alongside each path.</w:t>
            </w:r>
          </w:p>
          <w:bookmarkEnd w:id="48"/>
        </w:tc>
      </w:tr>
    </w:tbl>
    <w:p>
      <w:r>
        <w:pict>
          <v:rect style="width:0;height:1.5pt" o:hralign="center" o:hrstd="t" o:hr="t"/>
        </w:pict>
      </w:r>
    </w:p>
    <w:bookmarkEnd w:id="49"/>
    <w:bookmarkEnd w:id="50"/>
    <w:bookmarkStart w:id="52" w:name="supplementary-tables"/>
    <w:p>
      <w:pPr>
        <w:pStyle w:val="Heading1"/>
      </w:pPr>
      <w:r>
        <w:t xml:space="preserve">2. Supplementary Tables</w:t>
      </w:r>
    </w:p>
    <w:tbl>
      <w:tblPr>
        <w:tblStyle w:val="Table"/>
        <w:tblW w:type="pct" w:w="5000"/>
        <w:tblLayout w:type="fixed"/>
        <w:tblLook w:firstRow="0" w:lastRow="0" w:firstColumn="0" w:lastColumn="0" w:noHBand="0" w:noVBand="0" w:val="0000"/>
      </w:tblPr>
      <w:tblGrid>
        <w:gridCol w:w="7920"/>
      </w:tblGrid>
      <w:tr>
        <w:tc>
          <w:tcPr/>
          <w:bookmarkStart w:id="51" w:name="tbl-s1"/>
          <w:p>
            <w:pPr>
              <w:jc w:val="center"/>
            </w:pPr>
            <w:pPr>
              <w:jc w:val="left"/>
              <w:spacing w:before="200"/>
              <w:pStyle w:val="ImageCaption"/>
            </w:pPr>
            <w:r>
              <w:t xml:space="preserve">Table 1:</w:t>
            </w:r>
            <w:r>
              <w:t xml:space="preserve"> </w:t>
            </w:r>
            <w:r>
              <w:rPr>
                <w:b/>
                <w:bCs/>
              </w:rPr>
              <w:t xml:space="preserve">Supplementary Table S1.</w:t>
            </w:r>
            <w:r>
              <w:t xml:space="preserve"> </w:t>
            </w:r>
            <w:r>
              <w:t xml:space="preserve">Summary of decadal morphological trajectories across sequential analytical tiers and sample filtering criteria. Models control for species-specific random slopes and intercepts, geographic locality, and contributor/collection.</w:t>
            </w:r>
          </w:p>
          <w:tbl>
            <w:tblPr>
              <w:tblStyle w:val="Table"/>
              <w:tblW w:type="pct" w:w="5000"/>
              <w:tblLayout w:type="fixed"/>
              <w:tblLook w:firstRow="1" w:lastRow="0" w:firstColumn="0" w:lastColumn="0" w:noHBand="0" w:noVBand="0" w:val="0020"/>
            </w:tblPr>
            <w:tblGrid>
              <w:gridCol w:w="754"/>
              <w:gridCol w:w="754"/>
              <w:gridCol w:w="754"/>
              <w:gridCol w:w="942"/>
              <w:gridCol w:w="942"/>
              <w:gridCol w:w="942"/>
              <w:gridCol w:w="942"/>
              <w:gridCol w:w="942"/>
              <w:gridCol w:w="942"/>
            </w:tblGrid>
            <w:tr>
              <w:trPr>
                <w:tblHeader w:val="on"/>
              </w:trPr>
              <w:tc>
                <w:tcPr/>
                <w:p>
                  <w:pPr>
                    <w:pStyle w:val="Compact"/>
                    <w:jc w:val="left"/>
                    <w:jc w:val="center"/>
                  </w:pPr>
                  <w:r>
                    <w:t xml:space="preserve">Tier / Specification</w:t>
                  </w:r>
                </w:p>
              </w:tc>
              <w:tc>
                <w:tcPr/>
                <w:p>
                  <w:pPr>
                    <w:pStyle w:val="Compact"/>
                    <w:jc w:val="left"/>
                    <w:jc w:val="center"/>
                  </w:pPr>
                  <w:r>
                    <w:t xml:space="preserve">Trait</w:t>
                  </w:r>
                </w:p>
              </w:tc>
              <w:tc>
                <w:tcPr/>
                <w:p>
                  <w:pPr>
                    <w:pStyle w:val="Compact"/>
                    <w:jc w:val="left"/>
                    <w:jc w:val="center"/>
                  </w:pPr>
                  <w:r>
                    <w:t xml:space="preserve">Sample Description</w:t>
                  </w:r>
                </w:p>
              </w:tc>
              <w:tc>
                <w:tcPr/>
                <w:p>
                  <w:pPr>
                    <w:pStyle w:val="Compact"/>
                    <w:jc w:val="center"/>
                    <w:jc w:val="center"/>
                  </w:pPr>
                  <w:r>
                    <w:t xml:space="preserve">Records (</w:t>
                  </w:r>
                  <m:oMath>
                    <m:r>
                      <m:t>N</m:t>
                    </m:r>
                  </m:oMath>
                  <w:r>
                    <w:t xml:space="preserve">)</w:t>
                  </w:r>
                </w:p>
              </w:tc>
              <w:tc>
                <w:tcPr/>
                <w:p>
                  <w:pPr>
                    <w:pStyle w:val="Compact"/>
                    <w:jc w:val="center"/>
                    <w:jc w:val="center"/>
                  </w:pPr>
                  <w:r>
                    <w:t xml:space="preserve">Species (</w:t>
                  </w:r>
                  <m:oMath>
                    <m:r>
                      <m:t>k</m:t>
                    </m:r>
                  </m:oMath>
                  <w:r>
                    <w:t xml:space="preserve">)</w:t>
                  </w:r>
                </w:p>
              </w:tc>
              <w:tc>
                <w:tcPr/>
                <w:p>
                  <w:pPr>
                    <w:pStyle w:val="Compact"/>
                    <w:jc w:val="center"/>
                    <w:jc w:val="center"/>
                  </w:pPr>
                  <w:r>
                    <w:t xml:space="preserve">Time Span</w:t>
                  </w:r>
                </w:p>
              </w:tc>
              <w:tc>
                <w:tcPr/>
                <w:p>
                  <w:pPr>
                    <w:pStyle w:val="Compact"/>
                    <w:jc w:val="center"/>
                    <w:jc w:val="center"/>
                  </w:pPr>
                  <w:r>
                    <w:t xml:space="preserve">Decadal Rate (%/dec)</w:t>
                  </w:r>
                </w:p>
              </w:tc>
              <w:tc>
                <w:tcPr/>
                <w:p>
                  <w:pPr>
                    <w:pStyle w:val="Compact"/>
                    <w:jc w:val="center"/>
                    <w:jc w:val="center"/>
                  </w:pPr>
                  <w:r>
                    <w:t xml:space="preserve">95% Confidence Interval</w:t>
                  </w:r>
                </w:p>
              </w:tc>
              <w:tc>
                <w:tcPr/>
                <w:p>
                  <w:pPr>
                    <w:pStyle w:val="Compact"/>
                    <w:jc w:val="center"/>
                    <w:jc w:val="center"/>
                  </w:pPr>
                  <w:r>
                    <w:t xml:space="preserve">Raw Unit / decade</w:t>
                  </w:r>
                </w:p>
              </w:tc>
            </w:tr>
            <w:tr>
              <w:tc>
                <w:tcPr/>
                <w:p>
                  <w:pPr>
                    <w:pStyle w:val="Compact"/>
                    <w:jc w:val="left"/>
                    <w:jc w:val="center"/>
                  </w:pPr>
                  <w:r>
                    <w:rPr>
                      <w:b/>
                      <w:bCs/>
                    </w:rPr>
                    <w:t xml:space="preserve">T1. Manuscript Baseline (</w:t>
                  </w:r>
                  <w:r>
                    <w:rPr>
                      <w:rStyle w:val="VerbatimChar"/>
                      <w:b/>
                      <w:bCs/>
                    </w:rPr>
                    <w:t xml:space="preserve">passer90</w:t>
                  </w:r>
                  <w:r>
                    <w:rPr>
                      <w:b/>
                      <w:bCs/>
                    </w:rPr>
                    <w:t xml:space="preserve">)</w:t>
                  </w:r>
                </w:p>
              </w:tc>
              <w:tc>
                <w:tcPr/>
                <w:p>
                  <w:pPr>
                    <w:pStyle w:val="Compact"/>
                    <w:jc w:val="left"/>
                    <w:jc w:val="center"/>
                  </w:pPr>
                  <w:r>
                    <w:t xml:space="preserve">Wing length</w:t>
                  </w:r>
                </w:p>
              </w:tc>
              <w:tc>
                <w:tcPr/>
                <w:p>
                  <w:pPr>
                    <w:pStyle w:val="Compact"/>
                    <w:jc w:val="left"/>
                    <w:jc w:val="center"/>
                  </w:pPr>
                  <w:r>
                    <w:t xml:space="preserve">Passerines, Adult, Known Sex, Live captures</w:t>
                  </w:r>
                </w:p>
              </w:tc>
              <w:tc>
                <w:tcPr/>
                <w:p>
                  <w:pPr>
                    <w:pStyle w:val="Compact"/>
                    <w:jc w:val="center"/>
                    <w:jc w:val="center"/>
                  </w:pPr>
                  <w:r>
                    <w:t xml:space="preserve">8,478</w:t>
                  </w:r>
                </w:p>
              </w:tc>
              <w:tc>
                <w:tcPr/>
                <w:p>
                  <w:pPr>
                    <w:pStyle w:val="Compact"/>
                    <w:jc w:val="center"/>
                    <w:jc w:val="center"/>
                  </w:pPr>
                  <w:r>
                    <w:t xml:space="preserve">72</w:t>
                  </w:r>
                </w:p>
              </w:tc>
              <w:tc>
                <w:tcPr/>
                <w:p>
                  <w:pPr>
                    <w:pStyle w:val="Compact"/>
                    <w:jc w:val="center"/>
                    <w:jc w:val="center"/>
                  </w:pPr>
                  <w:r>
                    <w:t xml:space="preserve">1995–2018</w:t>
                  </w:r>
                </w:p>
              </w:tc>
              <w:tc>
                <w:tcPr/>
                <w:p>
                  <w:pPr>
                    <w:pStyle w:val="Compact"/>
                    <w:jc w:val="center"/>
                    <w:jc w:val="center"/>
                  </w:pPr>
                  <m:oMath>
                    <m:r>
                      <m:rPr>
                        <m:sty m:val="p"/>
                      </m:rPr>
                      <m:t>−</m:t>
                    </m:r>
                    <m:r>
                      <m:t>1.48</m:t>
                    </m:r>
                    <m:r>
                      <m:rPr>
                        <m:sty m:val="p"/>
                      </m:rPr>
                      <m:t>%</m:t>
                    </m:r>
                  </m:oMath>
                </w:p>
              </w:tc>
              <w:tc>
                <w:tcPr/>
                <w:p>
                  <w:pPr>
                    <w:pStyle w:val="Compact"/>
                    <w:jc w:val="center"/>
                    <w:jc w:val="center"/>
                  </w:pPr>
                  <m:oMath>
                    <m:r>
                      <m:rPr>
                        <m:sty m:val="p"/>
                      </m:rPr>
                      <m:t>[</m:t>
                    </m:r>
                    <m:r>
                      <m:rPr>
                        <m:sty m:val="p"/>
                      </m:rPr>
                      <m:t>−</m:t>
                    </m:r>
                    <m:r>
                      <m:t>2.58</m:t>
                    </m:r>
                    <m:r>
                      <m:rPr>
                        <m:sty m:val="p"/>
                      </m:rPr>
                      <m:t>,</m:t>
                    </m:r>
                    <m:r>
                      <m:rPr>
                        <m:sty m:val="p"/>
                      </m:rPr>
                      <m:t>−</m:t>
                    </m:r>
                    <m:r>
                      <m:t>0.37</m:t>
                    </m:r>
                    <m:r>
                      <m:rPr>
                        <m:sty m:val="p"/>
                      </m:rPr>
                      <m:t>]</m:t>
                    </m:r>
                  </m:oMath>
                </w:p>
              </w:tc>
              <w:tc>
                <w:tcPr/>
                <w:p>
                  <w:pPr>
                    <w:pStyle w:val="Compact"/>
                    <w:jc w:val="center"/>
                    <w:jc w:val="center"/>
                  </w:pPr>
                  <m:oMath>
                    <m:r>
                      <m:rPr>
                        <m:sty m:val="p"/>
                      </m:rPr>
                      <m:t>−</m:t>
                    </m:r>
                    <m:r>
                      <m:t>1.05</m:t>
                    </m:r>
                  </m:oMath>
                  <w:r>
                    <w:t xml:space="preserve"> </w:t>
                  </w:r>
                  <w:r>
                    <w:t xml:space="preserve">mm</w:t>
                  </w:r>
                </w:p>
              </w:tc>
            </w:tr>
            <w:tr>
              <w:tc>
                <w:tcPr/>
                <w:p>
                  <w:pPr>
                    <w:pStyle w:val="Compact"/>
                    <w:jc w:val="left"/>
                    <w:jc w:val="center"/>
                  </w:pPr>
                  <w:r>
                    <w:rPr>
                      <w:b/>
                      <w:bCs/>
                    </w:rPr>
                    <w:t xml:space="preserve">T1. Manuscript Baseline (</w:t>
                  </w:r>
                  <w:r>
                    <w:rPr>
                      <w:rStyle w:val="VerbatimChar"/>
                      <w:b/>
                      <w:bCs/>
                    </w:rPr>
                    <w:t xml:space="preserve">passer90</w:t>
                  </w:r>
                  <w:r>
                    <w:rPr>
                      <w:b/>
                      <w:bCs/>
                    </w:rPr>
                    <w:t xml:space="preserve">)</w:t>
                  </w:r>
                </w:p>
              </w:tc>
              <w:tc>
                <w:tcPr/>
                <w:p>
                  <w:pPr>
                    <w:pStyle w:val="Compact"/>
                    <w:jc w:val="left"/>
                    <w:jc w:val="center"/>
                  </w:pPr>
                  <w:r>
                    <w:t xml:space="preserve">Body mass</w:t>
                  </w:r>
                </w:p>
              </w:tc>
              <w:tc>
                <w:tcPr/>
                <w:p>
                  <w:pPr>
                    <w:pStyle w:val="Compact"/>
                    <w:jc w:val="left"/>
                    <w:jc w:val="center"/>
                  </w:pPr>
                  <w:r>
                    <w:t xml:space="preserve">Passerines, Adult, Known Sex, Live captures</w:t>
                  </w:r>
                </w:p>
              </w:tc>
              <w:tc>
                <w:tcPr/>
                <w:p>
                  <w:pPr>
                    <w:pStyle w:val="Compact"/>
                    <w:jc w:val="center"/>
                    <w:jc w:val="center"/>
                  </w:pPr>
                  <w:r>
                    <w:t xml:space="preserve">11,256</w:t>
                  </w:r>
                </w:p>
              </w:tc>
              <w:tc>
                <w:tcPr/>
                <w:p>
                  <w:pPr>
                    <w:pStyle w:val="Compact"/>
                    <w:jc w:val="center"/>
                    <w:jc w:val="center"/>
                  </w:pPr>
                  <w:r>
                    <w:t xml:space="preserve">73</w:t>
                  </w:r>
                </w:p>
              </w:tc>
              <w:tc>
                <w:tcPr/>
                <w:p>
                  <w:pPr>
                    <w:pStyle w:val="Compact"/>
                    <w:jc w:val="center"/>
                    <w:jc w:val="center"/>
                  </w:pPr>
                  <w:r>
                    <w:t xml:space="preserve">1995–2018</w:t>
                  </w:r>
                </w:p>
              </w:tc>
              <w:tc>
                <w:tcPr/>
                <w:p>
                  <w:pPr>
                    <w:pStyle w:val="Compact"/>
                    <w:jc w:val="center"/>
                    <w:jc w:val="center"/>
                  </w:pPr>
                  <m:oMath>
                    <m:r>
                      <m:rPr>
                        <m:sty m:val="p"/>
                      </m:rPr>
                      <m:t>−</m:t>
                    </m:r>
                    <m:r>
                      <m:t>1.12</m:t>
                    </m:r>
                    <m:r>
                      <m:rPr>
                        <m:sty m:val="p"/>
                      </m:rPr>
                      <m:t>%</m:t>
                    </m:r>
                  </m:oMath>
                </w:p>
              </w:tc>
              <w:tc>
                <w:tcPr/>
                <w:p>
                  <w:pPr>
                    <w:pStyle w:val="Compact"/>
                    <w:jc w:val="center"/>
                    <w:jc w:val="center"/>
                  </w:pPr>
                  <m:oMath>
                    <m:r>
                      <m:rPr>
                        <m:sty m:val="p"/>
                      </m:rPr>
                      <m:t>[</m:t>
                    </m:r>
                    <m:r>
                      <m:rPr>
                        <m:sty m:val="p"/>
                      </m:rPr>
                      <m:t>−</m:t>
                    </m:r>
                    <m:r>
                      <m:t>3.21</m:t>
                    </m:r>
                    <m:r>
                      <m:rPr>
                        <m:sty m:val="p"/>
                      </m:rPr>
                      <m:t>,</m:t>
                    </m:r>
                    <m:r>
                      <m:rPr>
                        <m:sty m:val="p"/>
                      </m:rPr>
                      <m:t>+</m:t>
                    </m:r>
                    <m:r>
                      <m:t>1.02</m:t>
                    </m:r>
                    <m:r>
                      <m:rPr>
                        <m:sty m:val="p"/>
                      </m:rPr>
                      <m:t>]</m:t>
                    </m:r>
                  </m:oMath>
                </w:p>
              </w:tc>
              <w:tc>
                <w:tcPr/>
                <w:p>
                  <w:pPr>
                    <w:pStyle w:val="Compact"/>
                    <w:jc w:val="center"/>
                    <w:jc w:val="center"/>
                  </w:pPr>
                  <m:oMath>
                    <m:r>
                      <m:rPr>
                        <m:sty m:val="p"/>
                      </m:rPr>
                      <m:t>−</m:t>
                    </m:r>
                    <m:r>
                      <m:t>0.011</m:t>
                    </m:r>
                  </m:oMath>
                  <w:r>
                    <w:t xml:space="preserve"> </w:t>
                  </w:r>
                  <w:r>
                    <w:t xml:space="preserve">log g</w:t>
                  </w:r>
                </w:p>
              </w:tc>
            </w:tr>
            <w:tr>
              <w:tc>
                <w:tcPr/>
                <w:p>
                  <w:pPr>
                    <w:pStyle w:val="Compact"/>
                    <w:jc w:val="left"/>
                    <w:jc w:val="center"/>
                  </w:pPr>
                  <w:r>
                    <w:rPr>
                      <w:b/>
                      <w:bCs/>
                    </w:rPr>
                    <w:t xml:space="preserve">T2. Jirinec Passerines (All Sexes)</w:t>
                  </w:r>
                </w:p>
              </w:tc>
              <w:tc>
                <w:tcPr/>
                <w:p>
                  <w:pPr>
                    <w:pStyle w:val="Compact"/>
                    <w:jc w:val="left"/>
                    <w:jc w:val="center"/>
                  </w:pPr>
                  <w:r>
                    <w:t xml:space="preserve">Wing length</w:t>
                  </w:r>
                </w:p>
              </w:tc>
              <w:tc>
                <w:tcPr/>
                <w:p>
                  <w:pPr>
                    <w:pStyle w:val="Compact"/>
                    <w:jc w:val="left"/>
                    <w:jc w:val="center"/>
                  </w:pPr>
                  <w:r>
                    <w:t xml:space="preserve">Passerines, All Sexes, Jirinec temporal coverage</w:t>
                  </w:r>
                </w:p>
              </w:tc>
              <w:tc>
                <w:tcPr/>
                <w:p>
                  <w:pPr>
                    <w:pStyle w:val="Compact"/>
                    <w:jc w:val="center"/>
                    <w:jc w:val="center"/>
                  </w:pPr>
                  <w:r>
                    <w:t xml:space="preserve">28,190</w:t>
                  </w:r>
                </w:p>
              </w:tc>
              <w:tc>
                <w:tcPr/>
                <w:p>
                  <w:pPr>
                    <w:pStyle w:val="Compact"/>
                    <w:jc w:val="center"/>
                    <w:jc w:val="center"/>
                  </w:pPr>
                  <w:r>
                    <w:t xml:space="preserve">178</w:t>
                  </w:r>
                </w:p>
              </w:tc>
              <w:tc>
                <w:tcPr/>
                <w:p>
                  <w:pPr>
                    <w:pStyle w:val="Compact"/>
                    <w:jc w:val="center"/>
                    <w:jc w:val="center"/>
                  </w:pPr>
                  <w:r>
                    <w:t xml:space="preserve">1995–2018</w:t>
                  </w:r>
                </w:p>
              </w:tc>
              <w:tc>
                <w:tcPr/>
                <w:p>
                  <w:pPr>
                    <w:pStyle w:val="Compact"/>
                    <w:jc w:val="center"/>
                    <w:jc w:val="center"/>
                  </w:pPr>
                  <m:oMath>
                    <m:r>
                      <m:rPr>
                        <m:sty m:val="p"/>
                      </m:rPr>
                      <m:t>−</m:t>
                    </m:r>
                    <m:r>
                      <m:t>0.88</m:t>
                    </m:r>
                    <m:r>
                      <m:rPr>
                        <m:sty m:val="p"/>
                      </m:rPr>
                      <m:t>%</m:t>
                    </m:r>
                  </m:oMath>
                </w:p>
              </w:tc>
              <w:tc>
                <w:tcPr/>
                <w:p>
                  <w:pPr>
                    <w:pStyle w:val="Compact"/>
                    <w:jc w:val="center"/>
                    <w:jc w:val="center"/>
                  </w:pPr>
                  <m:oMath>
                    <m:r>
                      <m:rPr>
                        <m:sty m:val="p"/>
                      </m:rPr>
                      <m:t>[</m:t>
                    </m:r>
                    <m:r>
                      <m:rPr>
                        <m:sty m:val="p"/>
                      </m:rPr>
                      <m:t>−</m:t>
                    </m:r>
                    <m:r>
                      <m:t>1.93</m:t>
                    </m:r>
                    <m:r>
                      <m:rPr>
                        <m:sty m:val="p"/>
                      </m:rPr>
                      <m:t>,</m:t>
                    </m:r>
                    <m:r>
                      <m:rPr>
                        <m:sty m:val="p"/>
                      </m:rPr>
                      <m:t>+</m:t>
                    </m:r>
                    <m:r>
                      <m:t>0.18</m:t>
                    </m:r>
                    <m:r>
                      <m:rPr>
                        <m:sty m:val="p"/>
                      </m:rPr>
                      <m:t>]</m:t>
                    </m:r>
                  </m:oMath>
                </w:p>
              </w:tc>
              <w:tc>
                <w:tcPr/>
                <w:p>
                  <w:pPr>
                    <w:pStyle w:val="Compact"/>
                    <w:jc w:val="center"/>
                    <w:jc w:val="center"/>
                  </w:pPr>
                  <m:oMath>
                    <m:r>
                      <m:rPr>
                        <m:sty m:val="p"/>
                      </m:rPr>
                      <m:t>−</m:t>
                    </m:r>
                    <m:r>
                      <m:t>0.66</m:t>
                    </m:r>
                  </m:oMath>
                  <w:r>
                    <w:t xml:space="preserve"> </w:t>
                  </w:r>
                  <w:r>
                    <w:t xml:space="preserve">mm</w:t>
                  </w:r>
                </w:p>
              </w:tc>
            </w:tr>
            <w:tr>
              <w:tc>
                <w:tcPr/>
                <w:p>
                  <w:pPr>
                    <w:pStyle w:val="Compact"/>
                    <w:jc w:val="left"/>
                    <w:jc w:val="center"/>
                  </w:pPr>
                  <w:r>
                    <w:rPr>
                      <w:b/>
                      <w:bCs/>
                    </w:rPr>
                    <w:t xml:space="preserve">T2. Jirinec Passerines (All Sexes)</w:t>
                  </w:r>
                </w:p>
              </w:tc>
              <w:tc>
                <w:tcPr/>
                <w:p>
                  <w:pPr>
                    <w:pStyle w:val="Compact"/>
                    <w:jc w:val="left"/>
                    <w:jc w:val="center"/>
                  </w:pPr>
                  <w:r>
                    <w:t xml:space="preserve">Body mass</w:t>
                  </w:r>
                </w:p>
              </w:tc>
              <w:tc>
                <w:tcPr/>
                <w:p>
                  <w:pPr>
                    <w:pStyle w:val="Compact"/>
                    <w:jc w:val="left"/>
                    <w:jc w:val="center"/>
                  </w:pPr>
                  <w:r>
                    <w:t xml:space="preserve">Passerines, All Sexes, Jirinec temporal coverage</w:t>
                  </w:r>
                </w:p>
              </w:tc>
              <w:tc>
                <w:tcPr/>
                <w:p>
                  <w:pPr>
                    <w:pStyle w:val="Compact"/>
                    <w:jc w:val="center"/>
                    <w:jc w:val="center"/>
                  </w:pPr>
                  <w:r>
                    <w:t xml:space="preserve">41,258</w:t>
                  </w:r>
                </w:p>
              </w:tc>
              <w:tc>
                <w:tcPr/>
                <w:p>
                  <w:pPr>
                    <w:pStyle w:val="Compact"/>
                    <w:jc w:val="center"/>
                    <w:jc w:val="center"/>
                  </w:pPr>
                  <w:r>
                    <w:t xml:space="preserve">191</w:t>
                  </w:r>
                </w:p>
              </w:tc>
              <w:tc>
                <w:tcPr/>
                <w:p>
                  <w:pPr>
                    <w:pStyle w:val="Compact"/>
                    <w:jc w:val="center"/>
                    <w:jc w:val="center"/>
                  </w:pPr>
                  <w:r>
                    <w:t xml:space="preserve">1995–2018</w:t>
                  </w:r>
                </w:p>
              </w:tc>
              <w:tc>
                <w:tcPr/>
                <w:p>
                  <w:pPr>
                    <w:pStyle w:val="Compact"/>
                    <w:jc w:val="center"/>
                    <w:jc w:val="center"/>
                  </w:pPr>
                  <m:oMath>
                    <m:r>
                      <m:rPr>
                        <m:sty m:val="p"/>
                      </m:rPr>
                      <m:t>−</m:t>
                    </m:r>
                    <m:r>
                      <m:t>1.46</m:t>
                    </m:r>
                    <m:r>
                      <m:rPr>
                        <m:sty m:val="p"/>
                      </m:rPr>
                      <m:t>%</m:t>
                    </m:r>
                  </m:oMath>
                </w:p>
              </w:tc>
              <w:tc>
                <w:tcPr/>
                <w:p>
                  <w:pPr>
                    <w:pStyle w:val="Compact"/>
                    <w:jc w:val="center"/>
                    <w:jc w:val="center"/>
                  </w:pPr>
                  <m:oMath>
                    <m:r>
                      <m:rPr>
                        <m:sty m:val="p"/>
                      </m:rPr>
                      <m:t>[</m:t>
                    </m:r>
                    <m:r>
                      <m:rPr>
                        <m:sty m:val="p"/>
                      </m:rPr>
                      <m:t>−</m:t>
                    </m:r>
                    <m:r>
                      <m:t>2.55</m:t>
                    </m:r>
                    <m:r>
                      <m:rPr>
                        <m:sty m:val="p"/>
                      </m:rPr>
                      <m:t>,</m:t>
                    </m:r>
                    <m:r>
                      <m:rPr>
                        <m:sty m:val="p"/>
                      </m:rPr>
                      <m:t>−</m:t>
                    </m:r>
                    <m:r>
                      <m:t>0.36</m:t>
                    </m:r>
                    <m:r>
                      <m:rPr>
                        <m:sty m:val="p"/>
                      </m:rPr>
                      <m:t>]</m:t>
                    </m:r>
                  </m:oMath>
                </w:p>
              </w:tc>
              <w:tc>
                <w:tcPr/>
                <w:p>
                  <w:pPr>
                    <w:pStyle w:val="Compact"/>
                    <w:jc w:val="center"/>
                    <w:jc w:val="center"/>
                  </w:pPr>
                  <m:oMath>
                    <m:r>
                      <m:rPr>
                        <m:sty m:val="p"/>
                      </m:rPr>
                      <m:t>−</m:t>
                    </m:r>
                    <m:r>
                      <m:t>0.015</m:t>
                    </m:r>
                  </m:oMath>
                  <w:r>
                    <w:t xml:space="preserve"> </w:t>
                  </w:r>
                  <w:r>
                    <w:t xml:space="preserve">log g</w:t>
                  </w:r>
                </w:p>
              </w:tc>
            </w:tr>
            <w:tr>
              <w:tc>
                <w:tcPr/>
                <w:p>
                  <w:pPr>
                    <w:pStyle w:val="Compact"/>
                    <w:jc w:val="left"/>
                    <w:jc w:val="center"/>
                  </w:pPr>
                  <w:r>
                    <w:rPr>
                      <w:b/>
                      <w:bCs/>
                    </w:rPr>
                    <w:t xml:space="preserve">T3. Jirinec Community (All Orders)</w:t>
                  </w:r>
                </w:p>
              </w:tc>
              <w:tc>
                <w:tcPr/>
                <w:p>
                  <w:pPr>
                    <w:pStyle w:val="Compact"/>
                    <w:jc w:val="left"/>
                    <w:jc w:val="center"/>
                  </w:pPr>
                  <w:r>
                    <w:t xml:space="preserve">Wing length</w:t>
                  </w:r>
                </w:p>
              </w:tc>
              <w:tc>
                <w:tcPr/>
                <w:p>
                  <w:pPr>
                    <w:pStyle w:val="Compact"/>
                    <w:jc w:val="left"/>
                    <w:jc w:val="center"/>
                  </w:pPr>
                  <w:r>
                    <w:t xml:space="preserve">All Orders, All Sexes, Jirinec temporal coverage</w:t>
                  </w:r>
                </w:p>
              </w:tc>
              <w:tc>
                <w:tcPr/>
                <w:p>
                  <w:pPr>
                    <w:pStyle w:val="Compact"/>
                    <w:jc w:val="center"/>
                    <w:jc w:val="center"/>
                  </w:pPr>
                  <w:r>
                    <w:t xml:space="preserve">31,888</w:t>
                  </w:r>
                </w:p>
              </w:tc>
              <w:tc>
                <w:tcPr/>
                <w:p>
                  <w:pPr>
                    <w:pStyle w:val="Compact"/>
                    <w:jc w:val="center"/>
                    <w:jc w:val="center"/>
                  </w:pPr>
                  <w:r>
                    <w:t xml:space="preserve">217</w:t>
                  </w:r>
                </w:p>
              </w:tc>
              <w:tc>
                <w:tcPr/>
                <w:p>
                  <w:pPr>
                    <w:pStyle w:val="Compact"/>
                    <w:jc w:val="center"/>
                    <w:jc w:val="center"/>
                  </w:pPr>
                  <w:r>
                    <w:t xml:space="preserve">1995–2018</w:t>
                  </w:r>
                </w:p>
              </w:tc>
              <w:tc>
                <w:tcPr/>
                <w:p>
                  <w:pPr>
                    <w:pStyle w:val="Compact"/>
                    <w:jc w:val="center"/>
                    <w:jc w:val="center"/>
                  </w:pPr>
                  <m:oMath>
                    <m:r>
                      <m:rPr>
                        <m:sty m:val="p"/>
                      </m:rPr>
                      <m:t>−</m:t>
                    </m:r>
                    <m:r>
                      <m:t>1.00</m:t>
                    </m:r>
                    <m:r>
                      <m:rPr>
                        <m:sty m:val="p"/>
                      </m:rPr>
                      <m:t>%</m:t>
                    </m:r>
                  </m:oMath>
                </w:p>
              </w:tc>
              <w:tc>
                <w:tcPr/>
                <w:p>
                  <w:pPr>
                    <w:pStyle w:val="Compact"/>
                    <w:jc w:val="center"/>
                    <w:jc w:val="center"/>
                  </w:pPr>
                  <m:oMath>
                    <m:r>
                      <m:rPr>
                        <m:sty m:val="p"/>
                      </m:rPr>
                      <m:t>[</m:t>
                    </m:r>
                    <m:r>
                      <m:rPr>
                        <m:sty m:val="p"/>
                      </m:rPr>
                      <m:t>−</m:t>
                    </m:r>
                    <m:r>
                      <m:t>2.09</m:t>
                    </m:r>
                    <m:r>
                      <m:rPr>
                        <m:sty m:val="p"/>
                      </m:rPr>
                      <m:t>,</m:t>
                    </m:r>
                    <m:r>
                      <m:rPr>
                        <m:sty m:val="p"/>
                      </m:rPr>
                      <m:t>+</m:t>
                    </m:r>
                    <m:r>
                      <m:t>0.09</m:t>
                    </m:r>
                    <m:r>
                      <m:rPr>
                        <m:sty m:val="p"/>
                      </m:rPr>
                      <m:t>]</m:t>
                    </m:r>
                  </m:oMath>
                </w:p>
              </w:tc>
              <w:tc>
                <w:tcPr/>
                <w:p>
                  <w:pPr>
                    <w:pStyle w:val="Compact"/>
                    <w:jc w:val="center"/>
                    <w:jc w:val="center"/>
                  </w:pPr>
                  <m:oMath>
                    <m:r>
                      <m:rPr>
                        <m:sty m:val="p"/>
                      </m:rPr>
                      <m:t>−</m:t>
                    </m:r>
                    <m:r>
                      <m:t>0.76</m:t>
                    </m:r>
                  </m:oMath>
                  <w:r>
                    <w:t xml:space="preserve"> </w:t>
                  </w:r>
                  <w:r>
                    <w:t xml:space="preserve">mm</w:t>
                  </w:r>
                </w:p>
              </w:tc>
            </w:tr>
            <w:tr>
              <w:tc>
                <w:tcPr/>
                <w:p>
                  <w:pPr>
                    <w:pStyle w:val="Compact"/>
                    <w:jc w:val="left"/>
                    <w:jc w:val="center"/>
                  </w:pPr>
                  <w:r>
                    <w:rPr>
                      <w:b/>
                      <w:bCs/>
                    </w:rPr>
                    <w:t xml:space="preserve">T3. Jirinec Community (All Orders)</w:t>
                  </w:r>
                </w:p>
              </w:tc>
              <w:tc>
                <w:tcPr/>
                <w:p>
                  <w:pPr>
                    <w:pStyle w:val="Compact"/>
                    <w:jc w:val="left"/>
                    <w:jc w:val="center"/>
                  </w:pPr>
                  <w:r>
                    <w:t xml:space="preserve">Body mass</w:t>
                  </w:r>
                </w:p>
              </w:tc>
              <w:tc>
                <w:tcPr/>
                <w:p>
                  <w:pPr>
                    <w:pStyle w:val="Compact"/>
                    <w:jc w:val="left"/>
                    <w:jc w:val="center"/>
                  </w:pPr>
                  <w:r>
                    <w:t xml:space="preserve">All Orders, All Sexes, Jirinec temporal coverage</w:t>
                  </w:r>
                </w:p>
              </w:tc>
              <w:tc>
                <w:tcPr/>
                <w:p>
                  <w:pPr>
                    <w:pStyle w:val="Compact"/>
                    <w:jc w:val="center"/>
                    <w:jc w:val="center"/>
                  </w:pPr>
                  <w:r>
                    <w:t xml:space="preserve">46,663</w:t>
                  </w:r>
                </w:p>
              </w:tc>
              <w:tc>
                <w:tcPr/>
                <w:p>
                  <w:pPr>
                    <w:pStyle w:val="Compact"/>
                    <w:jc w:val="center"/>
                    <w:jc w:val="center"/>
                  </w:pPr>
                  <w:r>
                    <w:t xml:space="preserve">243</w:t>
                  </w:r>
                </w:p>
              </w:tc>
              <w:tc>
                <w:tcPr/>
                <w:p>
                  <w:pPr>
                    <w:pStyle w:val="Compact"/>
                    <w:jc w:val="center"/>
                    <w:jc w:val="center"/>
                  </w:pPr>
                  <w:r>
                    <w:t xml:space="preserve">1995–2018</w:t>
                  </w:r>
                </w:p>
              </w:tc>
              <w:tc>
                <w:tcPr/>
                <w:p>
                  <w:pPr>
                    <w:pStyle w:val="Compact"/>
                    <w:jc w:val="center"/>
                    <w:jc w:val="center"/>
                  </w:pPr>
                  <m:oMath>
                    <m:r>
                      <m:rPr>
                        <m:sty m:val="p"/>
                      </m:rPr>
                      <m:t>−</m:t>
                    </m:r>
                    <m:r>
                      <m:t>1.29</m:t>
                    </m:r>
                    <m:r>
                      <m:rPr>
                        <m:sty m:val="p"/>
                      </m:rPr>
                      <m:t>%</m:t>
                    </m:r>
                  </m:oMath>
                </w:p>
              </w:tc>
              <w:tc>
                <w:tcPr/>
                <w:p>
                  <w:pPr>
                    <w:pStyle w:val="Compact"/>
                    <w:jc w:val="center"/>
                    <w:jc w:val="center"/>
                  </w:pPr>
                  <m:oMath>
                    <m:r>
                      <m:rPr>
                        <m:sty m:val="p"/>
                      </m:rPr>
                      <m:t>[</m:t>
                    </m:r>
                    <m:r>
                      <m:rPr>
                        <m:sty m:val="p"/>
                      </m:rPr>
                      <m:t>−</m:t>
                    </m:r>
                    <m:r>
                      <m:t>2.30</m:t>
                    </m:r>
                    <m:r>
                      <m:rPr>
                        <m:sty m:val="p"/>
                      </m:rPr>
                      <m:t>,</m:t>
                    </m:r>
                    <m:r>
                      <m:rPr>
                        <m:sty m:val="p"/>
                      </m:rPr>
                      <m:t>−</m:t>
                    </m:r>
                    <m:r>
                      <m:t>0.27</m:t>
                    </m:r>
                    <m:r>
                      <m:rPr>
                        <m:sty m:val="p"/>
                      </m:rPr>
                      <m:t>]</m:t>
                    </m:r>
                  </m:oMath>
                </w:p>
              </w:tc>
              <w:tc>
                <w:tcPr/>
                <w:p>
                  <w:pPr>
                    <w:pStyle w:val="Compact"/>
                    <w:jc w:val="center"/>
                    <w:jc w:val="center"/>
                  </w:pPr>
                  <m:oMath>
                    <m:r>
                      <m:rPr>
                        <m:sty m:val="p"/>
                      </m:rPr>
                      <m:t>−</m:t>
                    </m:r>
                    <m:r>
                      <m:t>0.013</m:t>
                    </m:r>
                  </m:oMath>
                  <w:r>
                    <w:t xml:space="preserve"> </w:t>
                  </w:r>
                  <w:r>
                    <w:t xml:space="preserve">log g</w:t>
                  </w:r>
                </w:p>
              </w:tc>
            </w:tr>
            <w:tr>
              <w:tc>
                <w:tcPr/>
                <w:p>
                  <w:pPr>
                    <w:pStyle w:val="Compact"/>
                    <w:jc w:val="left"/>
                    <w:jc w:val="center"/>
                  </w:pPr>
                  <w:r>
                    <w:rPr>
                      <w:b/>
                      <w:bCs/>
                    </w:rPr>
                    <w:t xml:space="preserve">T4. Museum Historical Series</w:t>
                  </w:r>
                </w:p>
              </w:tc>
              <w:tc>
                <w:tcPr/>
                <w:p>
                  <w:pPr>
                    <w:pStyle w:val="Compact"/>
                    <w:jc w:val="left"/>
                    <w:jc w:val="center"/>
                  </w:pPr>
                  <w:r>
                    <w:t xml:space="preserve">Wing length</w:t>
                  </w:r>
                </w:p>
              </w:tc>
              <w:tc>
                <w:tcPr/>
                <w:p>
                  <w:pPr>
                    <w:pStyle w:val="Compact"/>
                    <w:jc w:val="left"/>
                    <w:jc w:val="center"/>
                  </w:pPr>
                  <w:r>
                    <w:t xml:space="preserve">Museum Study Skins only (MZUSP, MNRJ, etc.)</w:t>
                  </w:r>
                </w:p>
              </w:tc>
              <w:tc>
                <w:tcPr/>
                <w:p>
                  <w:pPr>
                    <w:pStyle w:val="Compact"/>
                    <w:jc w:val="center"/>
                    <w:jc w:val="center"/>
                  </w:pPr>
                  <w:r>
                    <w:t xml:space="preserve">3,439</w:t>
                  </w:r>
                </w:p>
              </w:tc>
              <w:tc>
                <w:tcPr/>
                <w:p>
                  <w:pPr>
                    <w:pStyle w:val="Compact"/>
                    <w:jc w:val="center"/>
                    <w:jc w:val="center"/>
                  </w:pPr>
                  <w:r>
                    <w:t xml:space="preserve">142</w:t>
                  </w:r>
                </w:p>
              </w:tc>
              <w:tc>
                <w:tcPr/>
                <w:p>
                  <w:pPr>
                    <w:pStyle w:val="Compact"/>
                    <w:jc w:val="center"/>
                    <w:jc w:val="center"/>
                  </w:pPr>
                  <w:r>
                    <w:t xml:space="preserve">1884–2017</w:t>
                  </w:r>
                </w:p>
              </w:tc>
              <w:tc>
                <w:tcPr/>
                <w:p>
                  <w:pPr>
                    <w:pStyle w:val="Compact"/>
                    <w:jc w:val="center"/>
                    <w:jc w:val="center"/>
                  </w:pPr>
                  <m:oMath>
                    <m:r>
                      <m:rPr>
                        <m:sty m:val="p"/>
                      </m:rPr>
                      <m:t>−</m:t>
                    </m:r>
                    <m:r>
                      <m:t>0.31</m:t>
                    </m:r>
                    <m:r>
                      <m:rPr>
                        <m:sty m:val="p"/>
                      </m:rPr>
                      <m:t>%</m:t>
                    </m:r>
                  </m:oMath>
                </w:p>
              </w:tc>
              <w:tc>
                <w:tcPr/>
                <w:p>
                  <w:pPr>
                    <w:pStyle w:val="Compact"/>
                    <w:jc w:val="center"/>
                    <w:jc w:val="center"/>
                  </w:pPr>
                  <m:oMath>
                    <m:r>
                      <m:rPr>
                        <m:sty m:val="p"/>
                      </m:rPr>
                      <m:t>[</m:t>
                    </m:r>
                    <m:r>
                      <m:rPr>
                        <m:sty m:val="p"/>
                      </m:rPr>
                      <m:t>−</m:t>
                    </m:r>
                    <m:r>
                      <m:t>1.95</m:t>
                    </m:r>
                    <m:r>
                      <m:rPr>
                        <m:sty m:val="p"/>
                      </m:rPr>
                      <m:t>,</m:t>
                    </m:r>
                    <m:r>
                      <m:rPr>
                        <m:sty m:val="p"/>
                      </m:rPr>
                      <m:t>+</m:t>
                    </m:r>
                    <m:r>
                      <m:t>1.34</m:t>
                    </m:r>
                    <m:r>
                      <m:rPr>
                        <m:sty m:val="p"/>
                      </m:rPr>
                      <m:t>]</m:t>
                    </m:r>
                  </m:oMath>
                </w:p>
              </w:tc>
              <w:tc>
                <w:tcPr/>
                <w:p>
                  <w:pPr>
                    <w:pStyle w:val="Compact"/>
                    <w:jc w:val="center"/>
                    <w:jc w:val="center"/>
                  </w:pPr>
                  <m:oMath>
                    <m:r>
                      <m:rPr>
                        <m:sty m:val="p"/>
                      </m:rPr>
                      <m:t>−</m:t>
                    </m:r>
                    <m:r>
                      <m:t>0.28</m:t>
                    </m:r>
                  </m:oMath>
                  <w:r>
                    <w:t xml:space="preserve"> </w:t>
                  </w:r>
                  <w:r>
                    <w:t xml:space="preserve">mm</w:t>
                  </w:r>
                </w:p>
              </w:tc>
            </w:tr>
            <w:tr>
              <w:tc>
                <w:tcPr/>
                <w:p>
                  <w:pPr>
                    <w:pStyle w:val="Compact"/>
                    <w:jc w:val="left"/>
                    <w:jc w:val="center"/>
                  </w:pPr>
                  <w:r>
                    <w:rPr>
                      <w:b/>
                      <w:bCs/>
                    </w:rPr>
                    <w:t xml:space="preserve">T5. Integrated Live + Museum</w:t>
                  </w:r>
                </w:p>
              </w:tc>
              <w:tc>
                <w:tcPr/>
                <w:p>
                  <w:pPr>
                    <w:pStyle w:val="Compact"/>
                    <w:jc w:val="left"/>
                    <w:jc w:val="center"/>
                  </w:pPr>
                  <w:r>
                    <w:t xml:space="preserve">Wing length</w:t>
                  </w:r>
                </w:p>
              </w:tc>
              <w:tc>
                <w:tcPr/>
                <w:p>
                  <w:pPr>
                    <w:pStyle w:val="Compact"/>
                    <w:jc w:val="left"/>
                    <w:jc w:val="center"/>
                  </w:pPr>
                  <w:r>
                    <w:t xml:space="preserve">Live Captures + Museum Skins (Status control)</w:t>
                  </w:r>
                </w:p>
              </w:tc>
              <w:tc>
                <w:tcPr/>
                <w:p>
                  <w:pPr>
                    <w:pStyle w:val="Compact"/>
                    <w:jc w:val="center"/>
                    <w:jc w:val="center"/>
                  </w:pPr>
                  <w:r>
                    <w:t xml:space="preserve">34,312</w:t>
                  </w:r>
                </w:p>
              </w:tc>
              <w:tc>
                <w:tcPr/>
                <w:p>
                  <w:pPr>
                    <w:pStyle w:val="Compact"/>
                    <w:jc w:val="center"/>
                    <w:jc w:val="center"/>
                  </w:pPr>
                  <w:r>
                    <w:t xml:space="preserve">184</w:t>
                  </w:r>
                </w:p>
              </w:tc>
              <w:tc>
                <w:tcPr/>
                <w:p>
                  <w:pPr>
                    <w:pStyle w:val="Compact"/>
                    <w:jc w:val="center"/>
                    <w:jc w:val="center"/>
                  </w:pPr>
                  <w:r>
                    <w:t xml:space="preserve">1884–2018</w:t>
                  </w:r>
                </w:p>
              </w:tc>
              <w:tc>
                <w:tcPr/>
                <w:p>
                  <w:pPr>
                    <w:pStyle w:val="Compact"/>
                    <w:jc w:val="center"/>
                    <w:jc w:val="center"/>
                  </w:pPr>
                  <m:oMath>
                    <m:r>
                      <m:rPr>
                        <m:sty m:val="p"/>
                      </m:rPr>
                      <m:t>−</m:t>
                    </m:r>
                    <m:r>
                      <m:t>0.36</m:t>
                    </m:r>
                    <m:r>
                      <m:rPr>
                        <m:sty m:val="p"/>
                      </m:rPr>
                      <m:t>%</m:t>
                    </m:r>
                  </m:oMath>
                </w:p>
              </w:tc>
              <w:tc>
                <w:tcPr/>
                <w:p>
                  <w:pPr>
                    <w:pStyle w:val="Compact"/>
                    <w:jc w:val="center"/>
                    <w:jc w:val="center"/>
                  </w:pPr>
                  <m:oMath>
                    <m:r>
                      <m:rPr>
                        <m:sty m:val="p"/>
                      </m:rPr>
                      <m:t>[</m:t>
                    </m:r>
                    <m:r>
                      <m:rPr>
                        <m:sty m:val="p"/>
                      </m:rPr>
                      <m:t>−</m:t>
                    </m:r>
                    <m:r>
                      <m:t>0.92</m:t>
                    </m:r>
                    <m:r>
                      <m:rPr>
                        <m:sty m:val="p"/>
                      </m:rPr>
                      <m:t>,</m:t>
                    </m:r>
                    <m:r>
                      <m:rPr>
                        <m:sty m:val="p"/>
                      </m:rPr>
                      <m:t>+</m:t>
                    </m:r>
                    <m:r>
                      <m:t>0.20</m:t>
                    </m:r>
                    <m:r>
                      <m:rPr>
                        <m:sty m:val="p"/>
                      </m:rPr>
                      <m:t>]</m:t>
                    </m:r>
                  </m:oMath>
                </w:p>
              </w:tc>
              <w:tc>
                <w:tcPr/>
                <w:p>
                  <w:pPr>
                    <w:pStyle w:val="Compact"/>
                    <w:jc w:val="center"/>
                    <w:jc w:val="center"/>
                  </w:pPr>
                  <m:oMath>
                    <m:r>
                      <m:rPr>
                        <m:sty m:val="p"/>
                      </m:rPr>
                      <m:t>−</m:t>
                    </m:r>
                    <m:r>
                      <m:t>0.28</m:t>
                    </m:r>
                  </m:oMath>
                  <w:r>
                    <w:t xml:space="preserve"> </w:t>
                  </w:r>
                  <w:r>
                    <w:t xml:space="preserve">mm</w:t>
                  </w:r>
                </w:p>
              </w:tc>
            </w:tr>
            <w:tr>
              <w:tc>
                <w:tcPr/>
                <w:p>
                  <w:pPr>
                    <w:pStyle w:val="Compact"/>
                    <w:jc w:val="left"/>
                    <w:jc w:val="center"/>
                  </w:pPr>
                  <w:r>
                    <w:rPr>
                      <w:b/>
                      <w:bCs/>
                    </w:rPr>
                    <w:t xml:space="preserve">T6. Spanning Species Cohort</w:t>
                  </w:r>
                </w:p>
              </w:tc>
              <w:tc>
                <w:tcPr/>
                <w:p>
                  <w:pPr>
                    <w:pStyle w:val="Compact"/>
                    <w:jc w:val="left"/>
                    <w:jc w:val="center"/>
                  </w:pPr>
                  <w:r>
                    <w:t xml:space="preserve">Wing length</w:t>
                  </w:r>
                </w:p>
              </w:tc>
              <w:tc>
                <w:tcPr/>
                <w:p>
                  <w:pPr>
                    <w:pStyle w:val="Compact"/>
                    <w:jc w:val="left"/>
                    <w:jc w:val="center"/>
                  </w:pPr>
                  <w:r>
                    <w:t xml:space="preserve">175 Species sampled in both Historical and Modern eras</w:t>
                  </w:r>
                </w:p>
              </w:tc>
              <w:tc>
                <w:tcPr/>
                <w:p>
                  <w:pPr>
                    <w:pStyle w:val="Compact"/>
                    <w:jc w:val="center"/>
                    <w:jc w:val="center"/>
                  </w:pPr>
                  <w:r>
                    <w:t xml:space="preserve">24,583</w:t>
                  </w:r>
                </w:p>
              </w:tc>
              <w:tc>
                <w:tcPr/>
                <w:p>
                  <w:pPr>
                    <w:pStyle w:val="Compact"/>
                    <w:jc w:val="center"/>
                    <w:jc w:val="center"/>
                  </w:pPr>
                  <w:r>
                    <w:t xml:space="preserve">175</w:t>
                  </w:r>
                </w:p>
              </w:tc>
              <w:tc>
                <w:tcPr/>
                <w:p>
                  <w:pPr>
                    <w:pStyle w:val="Compact"/>
                    <w:jc w:val="center"/>
                    <w:jc w:val="center"/>
                  </w:pPr>
                  <w:r>
                    <w:t xml:space="preserve">1884–2018</w:t>
                  </w:r>
                </w:p>
              </w:tc>
              <w:tc>
                <w:tcPr/>
                <w:p>
                  <w:pPr>
                    <w:pStyle w:val="Compact"/>
                    <w:jc w:val="center"/>
                    <w:jc w:val="center"/>
                  </w:pPr>
                  <m:oMath>
                    <m:r>
                      <m:rPr>
                        <m:sty m:val="p"/>
                      </m:rPr>
                      <m:t>−</m:t>
                    </m:r>
                    <m:r>
                      <m:t>0.71</m:t>
                    </m:r>
                    <m:r>
                      <m:rPr>
                        <m:sty m:val="p"/>
                      </m:rPr>
                      <m:t>%</m:t>
                    </m:r>
                  </m:oMath>
                </w:p>
              </w:tc>
              <w:tc>
                <w:tcPr/>
                <w:p>
                  <w:pPr>
                    <w:pStyle w:val="Compact"/>
                    <w:jc w:val="center"/>
                    <w:jc w:val="center"/>
                  </w:pPr>
                  <m:oMath>
                    <m:r>
                      <m:rPr>
                        <m:sty m:val="p"/>
                      </m:rPr>
                      <m:t>[</m:t>
                    </m:r>
                    <m:r>
                      <m:rPr>
                        <m:sty m:val="p"/>
                      </m:rPr>
                      <m:t>−</m:t>
                    </m:r>
                    <m:r>
                      <m:t>1.41</m:t>
                    </m:r>
                    <m:r>
                      <m:rPr>
                        <m:sty m:val="p"/>
                      </m:rPr>
                      <m:t>,</m:t>
                    </m:r>
                    <m:r>
                      <m:rPr>
                        <m:sty m:val="p"/>
                      </m:rPr>
                      <m:t>−</m:t>
                    </m:r>
                    <m:r>
                      <m:t>0.01</m:t>
                    </m:r>
                    <m:r>
                      <m:rPr>
                        <m:sty m:val="p"/>
                      </m:rPr>
                      <m:t>]</m:t>
                    </m:r>
                  </m:oMath>
                </w:p>
              </w:tc>
              <w:tc>
                <w:tcPr/>
                <w:p>
                  <w:pPr>
                    <w:pStyle w:val="Compact"/>
                    <w:jc w:val="center"/>
                    <w:jc w:val="center"/>
                  </w:pPr>
                  <m:oMath>
                    <m:r>
                      <m:rPr>
                        <m:sty m:val="p"/>
                      </m:rPr>
                      <m:t>−</m:t>
                    </m:r>
                    <m:r>
                      <m:t>0.55</m:t>
                    </m:r>
                  </m:oMath>
                  <w:r>
                    <w:t xml:space="preserve"> </w:t>
                  </w:r>
                  <w:r>
                    <w:t xml:space="preserve">mm</w:t>
                  </w:r>
                </w:p>
              </w:tc>
            </w:tr>
          </w:tbl>
          <w:bookmarkEnd w:id="51"/>
          <w:p/>
        </w:tc>
      </w:tr>
    </w:tbl>
    <w:p>
      <w:r>
        <w:pict>
          <v:rect style="width:0;height:1.5pt" o:hralign="center" o:hrstd="t" o:hr="t"/>
        </w:pict>
      </w:r>
    </w:p>
    <w:bookmarkEnd w:id="52"/>
    <w:bookmarkStart w:id="70" w:name="references"/>
    <w:p>
      <w:pPr>
        <w:pStyle w:val="Heading1"/>
      </w:pPr>
      <w:r>
        <w:t xml:space="preserve">References</w:t>
      </w:r>
    </w:p>
    <w:bookmarkStart w:id="69" w:name="refs"/>
    <w:bookmarkStart w:id="54"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53">
        <w:r>
          <w:rPr>
            <w:rStyle w:val="Hyperlink"/>
          </w:rPr>
          <w:t xml:space="preserve">https://doi.org/10.1007/s11135-018-0802-x</w:t>
        </w:r>
      </w:hyperlink>
      <w:r>
        <w:t xml:space="preserve">.</w:t>
      </w:r>
    </w:p>
    <w:bookmarkEnd w:id="54"/>
    <w:bookmarkStart w:id="56" w:name="ref-harris2020crudata"/>
    <w:p>
      <w:pPr>
        <w:pStyle w:val="Bibliography"/>
      </w:pPr>
      <w:r>
        <w:t xml:space="preserve">Harris, Ian, Timothy J. Osborn, Phil Jones, and David Lister. 2020.</w:t>
      </w:r>
      <w:r>
        <w:t xml:space="preserve"> </w:t>
      </w:r>
      <w:r>
        <w:t xml:space="preserve">“Version 4 of the</w:t>
      </w:r>
      <w:r>
        <w:t xml:space="preserve"> </w:t>
      </w:r>
      <w:r>
        <w:t xml:space="preserve">CRU TS</w:t>
      </w:r>
      <w:r>
        <w:t xml:space="preserve"> </w:t>
      </w:r>
      <w:r>
        <w:t xml:space="preserve">Monthly High-Resolution Gridded Multivariate Climate Dataset.”</w:t>
      </w:r>
      <w:r>
        <w:t xml:space="preserve"> </w:t>
      </w:r>
      <w:r>
        <w:rPr>
          <w:i/>
          <w:iCs/>
        </w:rPr>
        <w:t xml:space="preserve">Scientific Data</w:t>
      </w:r>
      <w:r>
        <w:t xml:space="preserve"> </w:t>
      </w:r>
      <w:r>
        <w:t xml:space="preserve">7 (1): 109.</w:t>
      </w:r>
      <w:r>
        <w:t xml:space="preserve"> </w:t>
      </w:r>
      <w:hyperlink r:id="rId55">
        <w:r>
          <w:rPr>
            <w:rStyle w:val="Hyperlink"/>
          </w:rPr>
          <w:t xml:space="preserve">https://doi.org/10.1038/s41597-020-0453-3</w:t>
        </w:r>
      </w:hyperlink>
      <w:r>
        <w:t xml:space="preserve">.</w:t>
      </w:r>
    </w:p>
    <w:bookmarkEnd w:id="56"/>
    <w:bookmarkStart w:id="58" w:name="ref-jirinec2021morphological"/>
    <w:p>
      <w:pPr>
        <w:pStyle w:val="Bibliography"/>
      </w:pPr>
      <w:r>
        <w:t xml:space="preserve">Jirinec, Vitek, Ryan C. Burner, Bruna R. Amaral, et al. 2021.</w:t>
      </w:r>
      <w:r>
        <w:t xml:space="preserve"> </w:t>
      </w:r>
      <w:r>
        <w:t xml:space="preserve">“Morphological Consequences of Climate Change for Resident Birds in Intact</w:t>
      </w:r>
      <w:r>
        <w:t xml:space="preserve"> </w:t>
      </w:r>
      <w:r>
        <w:t xml:space="preserve">Amazonian</w:t>
      </w:r>
      <w:r>
        <w:t xml:space="preserve"> </w:t>
      </w:r>
      <w:r>
        <w:t xml:space="preserve">Rainforest.”</w:t>
      </w:r>
      <w:r>
        <w:t xml:space="preserve"> </w:t>
      </w:r>
      <w:r>
        <w:rPr>
          <w:i/>
          <w:iCs/>
        </w:rPr>
        <w:t xml:space="preserve">Science Advances</w:t>
      </w:r>
      <w:r>
        <w:t xml:space="preserve"> </w:t>
      </w:r>
      <w:r>
        <w:t xml:space="preserve">7 (46): eabk1743.</w:t>
      </w:r>
      <w:r>
        <w:t xml:space="preserve"> </w:t>
      </w:r>
      <w:hyperlink r:id="rId57">
        <w:r>
          <w:rPr>
            <w:rStyle w:val="Hyperlink"/>
          </w:rPr>
          <w:t xml:space="preserve">https://doi.org/10.1126/sciadv.abk1743</w:t>
        </w:r>
      </w:hyperlink>
      <w:r>
        <w:t xml:space="preserve">.</w:t>
      </w:r>
    </w:p>
    <w:bookmarkEnd w:id="58"/>
    <w:bookmarkStart w:id="60" w:name="ref-lenssen2019gistemp"/>
    <w:p>
      <w:pPr>
        <w:pStyle w:val="Bibliography"/>
      </w:pPr>
      <w:r>
        <w:t xml:space="preserve">Lenssen, Nathan J. L., Gavin A. Schmidt, James E. Hansen, et al. 2019.</w:t>
      </w:r>
      <w:r>
        <w:t xml:space="preserve"> </w:t>
      </w:r>
      <w:r>
        <w:t xml:space="preserve">“Improvements in the</w:t>
      </w:r>
      <w:r>
        <w:t xml:space="preserve"> </w:t>
      </w:r>
      <w:r>
        <w:t xml:space="preserve">GISTEMP</w:t>
      </w:r>
      <w:r>
        <w:t xml:space="preserve"> </w:t>
      </w:r>
      <w:r>
        <w:t xml:space="preserve">Uncertainty Model.”</w:t>
      </w:r>
      <w:r>
        <w:t xml:space="preserve"> </w:t>
      </w:r>
      <w:r>
        <w:rPr>
          <w:i/>
          <w:iCs/>
        </w:rPr>
        <w:t xml:space="preserve">Journal of Geophysical Research: Atmospheres</w:t>
      </w:r>
      <w:r>
        <w:t xml:space="preserve"> </w:t>
      </w:r>
      <w:r>
        <w:t xml:space="preserve">124 (12): 6307–26.</w:t>
      </w:r>
      <w:r>
        <w:t xml:space="preserve"> </w:t>
      </w:r>
      <w:hyperlink r:id="rId59">
        <w:r>
          <w:rPr>
            <w:rStyle w:val="Hyperlink"/>
          </w:rPr>
          <w:t xml:space="preserve">https://doi.org/10.1029/2018JD029522</w:t>
        </w:r>
      </w:hyperlink>
      <w:r>
        <w:t xml:space="preserve">.</w:t>
      </w:r>
    </w:p>
    <w:bookmarkEnd w:id="60"/>
    <w:bookmarkStart w:id="62" w:name="ref-muggeo2003estimating"/>
    <w:p>
      <w:pPr>
        <w:pStyle w:val="Bibliography"/>
      </w:pPr>
      <w:r>
        <w:t xml:space="preserve">Muggeo, Vito M. R. 2003.</w:t>
      </w:r>
      <w:r>
        <w:t xml:space="preserve"> </w:t>
      </w:r>
      <w:r>
        <w:t xml:space="preserve">“Estimating Regression Models with Unknown Break-Points.”</w:t>
      </w:r>
      <w:r>
        <w:t xml:space="preserve"> </w:t>
      </w:r>
      <w:r>
        <w:rPr>
          <w:i/>
          <w:iCs/>
        </w:rPr>
        <w:t xml:space="preserve">Statistics in Medicine</w:t>
      </w:r>
      <w:r>
        <w:t xml:space="preserve"> </w:t>
      </w:r>
      <w:r>
        <w:t xml:space="preserve">22 (19): 3055–71.</w:t>
      </w:r>
      <w:r>
        <w:t xml:space="preserve"> </w:t>
      </w:r>
      <w:hyperlink r:id="rId61">
        <w:r>
          <w:rPr>
            <w:rStyle w:val="Hyperlink"/>
          </w:rPr>
          <w:t xml:space="preserve">https://doi.org/10.1002/sim.1545</w:t>
        </w:r>
      </w:hyperlink>
      <w:r>
        <w:t xml:space="preserve">.</w:t>
      </w:r>
    </w:p>
    <w:bookmarkEnd w:id="62"/>
    <w:bookmarkStart w:id="64"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63">
        <w:r>
          <w:rPr>
            <w:rStyle w:val="Hyperlink"/>
          </w:rPr>
          <w:t xml:space="preserve">https://doi.org/10.2307/1913646</w:t>
        </w:r>
      </w:hyperlink>
      <w:r>
        <w:t xml:space="preserve">.</w:t>
      </w:r>
    </w:p>
    <w:bookmarkEnd w:id="64"/>
    <w:bookmarkStart w:id="66"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65">
        <w:r>
          <w:rPr>
            <w:rStyle w:val="Hyperlink"/>
          </w:rPr>
          <w:t xml:space="preserve">https://doi.org/10.1002/ecy.2647</w:t>
        </w:r>
      </w:hyperlink>
      <w:r>
        <w:t xml:space="preserve">.</w:t>
      </w:r>
    </w:p>
    <w:bookmarkEnd w:id="66"/>
    <w:bookmarkStart w:id="68"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67">
        <w:r>
          <w:rPr>
            <w:rStyle w:val="Hyperlink"/>
          </w:rPr>
          <w:t xml:space="preserve">https://doi.org/10.1111/ele.13434</w:t>
        </w:r>
      </w:hyperlink>
      <w:r>
        <w:t xml:space="preserve">.</w:t>
      </w:r>
    </w:p>
    <w:bookmarkEnd w:id="68"/>
    <w:bookmarkEnd w:id="69"/>
    <w:bookmarkEnd w:id="70"/>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45" Target="media/rId45.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18" Target="media/rId18.png" /><Relationship Type="http://schemas.openxmlformats.org/officeDocument/2006/relationships/image" Id="rId40" Target="media/rId40.png" /><Relationship Type="http://schemas.openxmlformats.org/officeDocument/2006/relationships/image" Id="rId9" Target="media/rId9.png" /><Relationship Type="http://schemas.openxmlformats.org/officeDocument/2006/relationships/image" Id="rId35" Target="media/rId35.png" /><Relationship Type="http://schemas.openxmlformats.org/officeDocument/2006/relationships/image" Id="rId13" Target="media/rId13.png" /><Relationship Type="http://schemas.openxmlformats.org/officeDocument/2006/relationships/hyperlink" Id="rId65" Target="https://doi.org/10.1002/ecy.2647" TargetMode="External" /><Relationship Type="http://schemas.openxmlformats.org/officeDocument/2006/relationships/hyperlink" Id="rId61" Target="https://doi.org/10.1002/sim.1545" TargetMode="External" /><Relationship Type="http://schemas.openxmlformats.org/officeDocument/2006/relationships/hyperlink" Id="rId53" Target="https://doi.org/10.1007/s11135-018-0802-x" TargetMode="External" /><Relationship Type="http://schemas.openxmlformats.org/officeDocument/2006/relationships/hyperlink" Id="rId59" Target="https://doi.org/10.1029/2018JD029522" TargetMode="External" /><Relationship Type="http://schemas.openxmlformats.org/officeDocument/2006/relationships/hyperlink" Id="rId55" Target="https://doi.org/10.1038/s41597-020-0453-3" TargetMode="External" /><Relationship Type="http://schemas.openxmlformats.org/officeDocument/2006/relationships/hyperlink" Id="rId67" Target="https://doi.org/10.1111/ele.13434" TargetMode="External" /><Relationship Type="http://schemas.openxmlformats.org/officeDocument/2006/relationships/hyperlink" Id="rId57" Target="https://doi.org/10.1126/sciadv.abk1743" TargetMode="External" /><Relationship Type="http://schemas.openxmlformats.org/officeDocument/2006/relationships/hyperlink" Id="rId63" Target="https://doi.org/10.2307/1913646"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ecy.2647" TargetMode="External" /><Relationship Type="http://schemas.openxmlformats.org/officeDocument/2006/relationships/hyperlink" Id="rId61" Target="https://doi.org/10.1002/sim.1545" TargetMode="External" /><Relationship Type="http://schemas.openxmlformats.org/officeDocument/2006/relationships/hyperlink" Id="rId53" Target="https://doi.org/10.1007/s11135-018-0802-x" TargetMode="External" /><Relationship Type="http://schemas.openxmlformats.org/officeDocument/2006/relationships/hyperlink" Id="rId59" Target="https://doi.org/10.1029/2018JD029522" TargetMode="External" /><Relationship Type="http://schemas.openxmlformats.org/officeDocument/2006/relationships/hyperlink" Id="rId55" Target="https://doi.org/10.1038/s41597-020-0453-3" TargetMode="External" /><Relationship Type="http://schemas.openxmlformats.org/officeDocument/2006/relationships/hyperlink" Id="rId67" Target="https://doi.org/10.1111/ele.13434" TargetMode="External" /><Relationship Type="http://schemas.openxmlformats.org/officeDocument/2006/relationships/hyperlink" Id="rId57" Target="https://doi.org/10.1126/sciadv.abk1743" TargetMode="External" /><Relationship Type="http://schemas.openxmlformats.org/officeDocument/2006/relationships/hyperlink" Id="rId63" Target="https://doi.org/10.2307/19136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Morphological stability and subtle phenotypic shifts in Atlantic Forest birds across two decades of climate warming</dc:title>
  <dc:creator>Eduardo S.A. Santos; Ayumi Mizuno; Santiago Ortega; João C.T. Menezes; Gustavo Burin</dc:creator>
  <cp:keywords/>
  <dcterms:created xsi:type="dcterms:W3CDTF">2026-09-11T21:39:18Z</dcterms:created>
  <dcterms:modified xsi:type="dcterms:W3CDTF">2026-09-11T21:39:18Z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