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9.png" ContentType="image/png"/>
  <Override PartName="/word/media/rId1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Morphological stability and subtle phenotypic shifts in Atlantic Forest birds across two decades of climate warming</w:t>
      </w:r>
    </w:p>
    <w:p>
      <w:pPr>
        <w:pStyle w:val="Author"/>
      </w:pPr>
      <w:r>
        <w:t xml:space="preserve">Eduardo S.A. Santos</w:t>
      </w:r>
    </w:p>
    <w:p>
      <w:pPr>
        <w:pStyle w:val="Author"/>
      </w:pPr>
      <w:r>
        <w:t xml:space="preserve">Ayumi Mizuno</w:t>
      </w:r>
    </w:p>
    <w:p>
      <w:pPr>
        <w:pStyle w:val="Author"/>
      </w:pPr>
      <w:r>
        <w:t xml:space="preserve">Santiago Ortega</w:t>
      </w:r>
    </w:p>
    <w:p>
      <w:pPr>
        <w:pStyle w:val="Author"/>
      </w:pPr>
      <w:r>
        <w:t xml:space="preserve">Gustavo Burin</w:t>
      </w:r>
    </w:p>
    <w:bookmarkStart w:id="30" w:name="supplementary-notes"/>
    <w:p>
      <w:pPr>
        <w:pStyle w:val="Heading1"/>
      </w:pPr>
      <w:r>
        <w:t xml:space="preserve">1. Supplementary Notes</w:t>
      </w:r>
    </w:p>
    <w:bookmarkStart w:id="17" w:name="X4e68c3f739274d45bc5ddc3a85669f9b6075ca9"/>
    <w:p>
      <w:pPr>
        <w:pStyle w:val="Heading2"/>
      </w:pPr>
      <w:r>
        <w:t xml:space="preserve">1.1 Supplementary Note S1: Macroecological Provenance and Contributor Turnover</w:t>
      </w:r>
    </w:p>
    <w:p>
      <w:pPr>
        <w:pStyle w:val="FirstParagraph"/>
      </w:pPr>
      <w:r>
        <w:t xml:space="preserve">Large-scale biodiversity trait compilations aggregate measurements across numerous independent research initiatives spanning wide geographical territories and multiple decades</w:t>
      </w:r>
      <w:r>
        <w:t xml:space="preserve"> </w:t>
      </w:r>
      <w:r>
        <w:t xml:space="preserve">(Rodrigues et al. 2019)</w:t>
      </w:r>
      <w:r>
        <w:t xml:space="preserve">. In the ATLANTIC BIRD TRAITS database, 42 primary researchers coordinated field mist-netting across 139 named municipalities between 1995 and 2018 (</w:t>
      </w:r>
      <w:hyperlink w:anchor="fig-s-records">
        <w:r>
          <w:rPr>
            <w:rStyle w:val="Hyperlink"/>
          </w:rPr>
          <w:t xml:space="preserve">Figure 1</w:t>
        </w:r>
      </w:hyperlink>
      <w:r>
        <w:t xml:space="preserve">).</w:t>
      </w:r>
    </w:p>
    <w:p>
      <w:pPr>
        <w:pStyle w:val="BodyText"/>
      </w:pPr>
      <w:r>
        <w:t xml:space="preserve">A provenance audit revealed substantial compositional turnover among active research teams over time: only 6 of the 42 primary researchers sampled birds in both the early quartile (1995–2006; 12 active contributors) and the late quartile (2013–2018; 33 active contributors;</w:t>
      </w:r>
      <w:r>
        <w:t xml:space="preserve"> </w:t>
      </w:r>
      <w:hyperlink w:anchor="fig-s-records">
        <w:r>
          <w:rPr>
            <w:rStyle w:val="Hyperlink"/>
          </w:rPr>
          <w:t xml:space="preserve">Figure 1</w:t>
        </w:r>
      </w:hyperlink>
      <w:r>
        <w:t xml:space="preserve">). Furthermore, spatial sampling expanded northward and into higher-elevation montane habitats during the latter half of the time series. In avian morphometrics, inter-observer measurement differences frequently reach 1–3 mm for wing length and 0.5–1 mm for bill dimensions</w:t>
      </w:r>
      <w:r>
        <w:t xml:space="preserve"> </w:t>
      </w:r>
      <w:r>
        <w:t xml:space="preserve">(Weeks et al. 2020)</w:t>
      </w:r>
      <w:r>
        <w:t xml:space="preserve">. When contributor identity is left uncontrolled, compositional turnover can mimic temporal phenotypic change: the unadjusted wing-length decline attenuates by approximately 60% once it is modelled, and the apparent trends in bill width and trait variance do not persist.</w:t>
      </w:r>
    </w:p>
    <w:p>
      <w:pPr>
        <w:pStyle w:val="BodyText"/>
      </w:pPr>
      <w:r>
        <w:t xml:space="preserve">To resolve genuine biological change from sampling turnover, all primary models incorporate random intercepts for primary researcher (</w:t>
      </w:r>
      <w:r>
        <w:rPr>
          <w:rStyle w:val="VerbatimChar"/>
        </w:rPr>
        <w:t xml:space="preserve">(1 | Main_researcher)</w:t>
      </w:r>
      <w:r>
        <w:t xml:space="preserve">). In addition, within-between random effects models [Mundlak REWB;</w:t>
      </w:r>
      <w:r>
        <w:t xml:space="preserve"> </w:t>
      </w:r>
      <w:r>
        <w:t xml:space="preserve">Mundlak (1978)</w:t>
      </w:r>
      <w:r>
        <w:t xml:space="preserve">;</w:t>
      </w:r>
      <w:r>
        <w:t xml:space="preserve"> </w:t>
      </w:r>
      <w:r>
        <w:t xml:space="preserve">Bell et al. (2019)</w:t>
      </w:r>
      <w:r>
        <w:t xml:space="preserve">] show no directional change in morphological traits within individual contributors over time (e.g., within-contributor wing slope:</w:t>
      </w:r>
      <w:r>
        <w:t xml:space="preserve"> </w:t>
      </w:r>
      <m:oMath>
        <m:r>
          <m:rPr>
            <m:sty m:val="p"/>
          </m:rPr>
          <m:t>−</m:t>
        </m:r>
        <m:r>
          <m:t>0.32</m:t>
        </m:r>
      </m:oMath>
      <w:r>
        <w:t xml:space="preserve"> </w:t>
      </w:r>
      <w:r>
        <w:t xml:space="preserve">mm/decade, 95% CI:</w:t>
      </w:r>
      <w:r>
        <w:t xml:space="preserve"> </w:t>
      </w:r>
      <m:oMath>
        <m:r>
          <m:rPr>
            <m:sty m:val="p"/>
          </m:rPr>
          <m:t>−</m:t>
        </m:r>
        <m:r>
          <m:t>1.59</m:t>
        </m:r>
      </m:oMath>
      <w:r>
        <w:t xml:space="preserve"> </w:t>
      </w:r>
      <w:r>
        <w:t xml:space="preserve">to</w:t>
      </w:r>
      <w:r>
        <w:t xml:space="preserve"> </w:t>
      </w:r>
      <m:oMath>
        <m:r>
          <m:rPr>
            <m:sty m:val="p"/>
          </m:rPr>
          <m:t>+</m:t>
        </m:r>
        <m:r>
          <m:t>0.96</m:t>
        </m:r>
      </m:oMath>
      <w:r>
        <w:t xml:space="preserve"> </w:t>
      </w:r>
      <w:r>
        <w:t xml:space="preserve">mm/decade; complete cases:</w:t>
      </w:r>
      <w:r>
        <w:t xml:space="preserve"> </w:t>
      </w:r>
      <m:oMath>
        <m:r>
          <m:rPr>
            <m:sty m:val="p"/>
          </m:rPr>
          <m:t>+</m:t>
        </m:r>
        <m:r>
          <m:t>0.03</m:t>
        </m:r>
      </m:oMath>
      <w:r>
        <w:t xml:space="preserve"> </w:t>
      </w:r>
      <w:r>
        <w:t xml:space="preserve">mm/decade, 95% CI:</w:t>
      </w:r>
      <w:r>
        <w:t xml:space="preserve"> </w:t>
      </w:r>
      <m:oMath>
        <m:r>
          <m:rPr>
            <m:sty m:val="p"/>
          </m:rPr>
          <m:t>−</m:t>
        </m:r>
        <m:r>
          <m:t>0.58</m:t>
        </m:r>
      </m:oMath>
      <w:r>
        <w:t xml:space="preserve"> </w:t>
      </w:r>
      <w:r>
        <w:t xml:space="preserve">to</w:t>
      </w:r>
      <w:r>
        <w:t xml:space="preserve"> </w:t>
      </w:r>
      <m:oMath>
        <m:r>
          <m:rPr>
            <m:sty m:val="p"/>
          </m:rPr>
          <m:t>+</m:t>
        </m:r>
        <m:r>
          <m:t>0.63</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2" w:name="fig-s-records"/>
          <w:p>
            <w:pPr>
              <w:pStyle w:val="Compact"/>
              <w:jc w:val="center"/>
            </w:pPr>
            <w:r>
              <w:drawing>
                <wp:inline>
                  <wp:extent cx="5334000" cy="3923809"/>
                  <wp:effectExtent b="0" l="0" r="0" t="0"/>
                  <wp:docPr descr="" title="" id="10" name="Picture"/>
                  <a:graphic>
                    <a:graphicData uri="http://schemas.openxmlformats.org/drawingml/2006/picture">
                      <pic:pic>
                        <pic:nvPicPr>
                          <pic:cNvPr descr="images/fig-s-records-by-source.png" id="11" name="Picture"/>
                          <pic:cNvPicPr>
                            <a:picLocks noChangeArrowheads="1" noChangeAspect="1"/>
                          </pic:cNvPicPr>
                        </pic:nvPicPr>
                        <pic:blipFill>
                          <a:blip r:embed="rId9"/>
                          <a:stretch>
                            <a:fillRect/>
                          </a:stretch>
                        </pic:blipFill>
                        <pic:spPr bwMode="auto">
                          <a:xfrm>
                            <a:off x="0" y="0"/>
                            <a:ext cx="5334000" cy="3923809"/>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b/>
                <w:bCs/>
              </w:rPr>
              <w:t xml:space="preserve">Supplementary Figure S1.</w:t>
            </w:r>
            <w:r>
              <w:t xml:space="preserve"> </w:t>
            </w:r>
            <w:r>
              <w:t xml:space="preserve">Temporal distribution of live-capture passerine wing records across primary researchers (1995–2018). (Top) Number of wing records per calendar year, stacked by the 12 largest research contributors (and an aggregated</w:t>
            </w:r>
            <w:r>
              <w:t xml:space="preserve"> </w:t>
            </w:r>
            <w:r>
              <w:t xml:space="preserve">“Other (30)”</w:t>
            </w:r>
            <w:r>
              <w:t xml:space="preserve"> </w:t>
            </w:r>
            <w:r>
              <w:t xml:space="preserve">category). Daggers (†) mark research teams that continuously sampled birds across both the early (1995–2006) and late (2013–2018) periods. (Bottom) Number of active research contributors per calendar year.</w:t>
            </w:r>
          </w:p>
          <w:bookmarkEnd w:id="1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 w:name="fig-s-wingcol"/>
          <w:p>
            <w:pPr>
              <w:pStyle w:val="Compact"/>
              <w:jc w:val="center"/>
            </w:pPr>
            <w:r>
              <w:drawing>
                <wp:inline>
                  <wp:extent cx="5334000" cy="2790028"/>
                  <wp:effectExtent b="0" l="0" r="0" t="0"/>
                  <wp:docPr descr="" title="" id="14" name="Picture"/>
                  <a:graphic>
                    <a:graphicData uri="http://schemas.openxmlformats.org/drawingml/2006/picture">
                      <pic:pic>
                        <pic:nvPicPr>
                          <pic:cNvPr descr="images/fig-s-wingcol.png" id="15" name="Picture"/>
                          <pic:cNvPicPr>
                            <a:picLocks noChangeArrowheads="1" noChangeAspect="1"/>
                          </pic:cNvPicPr>
                        </pic:nvPicPr>
                        <pic:blipFill>
                          <a:blip r:embed="rId13"/>
                          <a:stretch>
                            <a:fillRect/>
                          </a:stretch>
                        </pic:blipFill>
                        <pic:spPr bwMode="auto">
                          <a:xfrm>
                            <a:off x="0" y="0"/>
                            <a:ext cx="5334000" cy="2790028"/>
                          </a:xfrm>
                          <a:prstGeom prst="rect">
                            <a:avLst/>
                          </a:prstGeom>
                          <a:noFill/>
                          <a:ln w="9525">
                            <a:noFill/>
                            <a:headEnd/>
                            <a:tailEnd/>
                          </a:ln>
                        </pic:spPr>
                      </pic:pic>
                    </a:graphicData>
                  </a:graphic>
                </wp:inline>
              </w:drawing>
            </w:r>
          </w:p>
          <w:p>
            <w:pPr>
              <w:jc w:val="center"/>
            </w:pPr>
            <w:pPr>
              <w:jc w:val="left"/>
              <w:spacing w:before="200"/>
              <w:pStyle w:val="ImageCaption"/>
            </w:pPr>
            <w:r>
              <w:t xml:space="preserve">Figure 2:</w:t>
            </w:r>
            <w:r>
              <w:t xml:space="preserve"> </w:t>
            </w:r>
            <w:r>
              <w:rPr>
                <w:b/>
                <w:bCs/>
              </w:rPr>
              <w:t xml:space="preserve">Supplementary Figure S2.</w:t>
            </w:r>
            <w:r>
              <w:t xml:space="preserve"> </w:t>
            </w:r>
            <w:r>
              <w:t xml:space="preserve">Relative proportion of wing-length measurement columns populated in the ATLANTIC BIRD TRAITS database by year. Bars indicate the annual percentage of records reporting right wing length, left wing length, or side-unspecified wing length. Sample sizes (</w:t>
            </w:r>
            <m:oMath>
              <m:r>
                <m:t>n</m:t>
              </m:r>
            </m:oMath>
            <w:r>
              <w:t xml:space="preserve">) above bars indicate total annual captures with wing data.</w:t>
            </w:r>
          </w:p>
          <w:bookmarkEnd w:id="16"/>
        </w:tc>
      </w:tr>
    </w:tbl>
    <w:bookmarkEnd w:id="17"/>
    <w:bookmarkStart w:id="22" w:name="X2a7d5ad898091d94dab06be2b3f008a84b76bb1"/>
    <w:p>
      <w:pPr>
        <w:pStyle w:val="Heading2"/>
      </w:pPr>
      <w:r>
        <w:t xml:space="preserve">1.2 Supplementary Note S2: Regional Environmental and Climatic Trends (1995–2018)</w:t>
      </w:r>
    </w:p>
    <w:p>
      <w:pPr>
        <w:pStyle w:val="FirstParagraph"/>
      </w:pPr>
      <w:r>
        <w:t xml:space="preserve">We extracted monthly climate data from the CRU-TS 4.09 high-resolution gridded multivariate dataset (</w:t>
      </w:r>
      <m:oMath>
        <m:sSup>
          <m:e>
            <m:r>
              <m:t>0.5</m:t>
            </m:r>
          </m:e>
          <m:sup>
            <m:r>
              <m:rPr>
                <m:sty m:val="p"/>
              </m:rPr>
              <m:t>∘</m:t>
            </m:r>
          </m:sup>
        </m:sSup>
        <m:r>
          <m:rPr>
            <m:sty m:val="p"/>
          </m:rPr>
          <m:t>×</m:t>
        </m:r>
        <m:sSup>
          <m:e>
            <m:r>
              <m:t>0.5</m:t>
            </m:r>
          </m:e>
          <m:sup>
            <m:r>
              <m:rPr>
                <m:sty m:val="p"/>
              </m:rPr>
              <m:t>∘</m:t>
            </m:r>
          </m:sup>
        </m:sSup>
      </m:oMath>
      <w:r>
        <w:t xml:space="preserve"> </w:t>
      </w:r>
      <w:r>
        <w:t xml:space="preserve">resolution;</w:t>
      </w:r>
      <w:r>
        <w:t xml:space="preserve"> </w:t>
      </w:r>
      <w:r>
        <w:t xml:space="preserve">Harris et al. (2020)</w:t>
      </w:r>
      <w:r>
        <w:t xml:space="preserve">) at the 357 coordinate capture localities across the Atlantic Forest domain (</w:t>
      </w:r>
      <w:hyperlink w:anchor="fig-s-climate-trends">
        <w:r>
          <w:rPr>
            <w:rStyle w:val="Hyperlink"/>
          </w:rPr>
          <w:t xml:space="preserve">Figure 3</w:t>
        </w:r>
      </w:hyperlink>
      <w:r>
        <w:t xml:space="preserve">).</w:t>
      </w:r>
    </w:p>
    <w:p>
      <w:pPr>
        <w:pStyle w:val="BodyText"/>
      </w:pPr>
      <w:r>
        <w:t xml:space="preserve">Across sampling localities, mean annual temperature increased significantly by</w:t>
      </w:r>
      <w:r>
        <w:t xml:space="preserve"> </w:t>
      </w:r>
      <m:oMath>
        <m:r>
          <m:rPr>
            <m:sty m:val="p"/>
          </m:rPr>
          <m:t>+</m:t>
        </m:r>
        <m:sSup>
          <m:e>
            <m:r>
              <m:t>0.246</m:t>
            </m:r>
          </m:e>
          <m:sup>
            <m:r>
              <m:rPr>
                <m:sty m:val="p"/>
              </m:rPr>
              <m:t>∘</m:t>
            </m:r>
          </m:sup>
        </m:sSup>
        <m:r>
          <m:rPr>
            <m:nor/>
            <m:sty m:val="p"/>
          </m:rPr>
          <m:t>C</m:t>
        </m:r>
      </m:oMath>
      <w:r>
        <w:t xml:space="preserve">/decade (95% CI:</w:t>
      </w:r>
      <w:r>
        <w:t xml:space="preserve"> </w:t>
      </w:r>
      <m:oMath>
        <m:r>
          <m:rPr>
            <m:sty m:val="p"/>
          </m:rPr>
          <m:t>+</m:t>
        </m:r>
        <m:r>
          <m:t>0.076</m:t>
        </m:r>
      </m:oMath>
      <w:r>
        <w:t xml:space="preserve"> </w:t>
      </w:r>
      <w:r>
        <w:t xml:space="preserve">to</w:t>
      </w:r>
      <w:r>
        <w:t xml:space="preserve"> </w:t>
      </w:r>
      <m:oMath>
        <m:r>
          <m:rPr>
            <m:sty m:val="p"/>
          </m:rPr>
          <m:t>+</m:t>
        </m:r>
        <m:sSup>
          <m:e>
            <m:r>
              <m:t>0.415</m:t>
            </m:r>
          </m:e>
          <m:sup>
            <m:r>
              <m:rPr>
                <m:sty m:val="p"/>
              </m:rPr>
              <m:t>∘</m:t>
            </m:r>
          </m:sup>
        </m:sSup>
        <m:r>
          <m:rPr>
            <m:nor/>
            <m:sty m:val="p"/>
          </m:rPr>
          <m:t>C</m:t>
        </m:r>
      </m:oMath>
      <w:r>
        <w:t xml:space="preserve">/decade,</w:t>
      </w:r>
      <w:r>
        <w:t xml:space="preserve"> </w:t>
      </w:r>
      <m:oMath>
        <m:r>
          <m:t>t</m:t>
        </m:r>
        <m:r>
          <m:rPr>
            <m:sty m:val="p"/>
          </m:rPr>
          <m:t>=</m:t>
        </m:r>
        <m:r>
          <m:t>2.87</m:t>
        </m:r>
        <m:r>
          <m:rPr>
            <m:sty m:val="p"/>
          </m:rPr>
          <m:t>,</m:t>
        </m:r>
        <m:r>
          <m:t>p</m:t>
        </m:r>
        <m:r>
          <m:rPr>
            <m:sty m:val="p"/>
          </m:rPr>
          <m:t>=</m:t>
        </m:r>
        <m:r>
          <m:t>0.005</m:t>
        </m:r>
      </m:oMath>
      <w:r>
        <w:t xml:space="preserve">), corresponding to an average regional warming of</w:t>
      </w:r>
      <w:r>
        <w:t xml:space="preserve"> </w:t>
      </w:r>
      <m:oMath>
        <m:r>
          <m:rPr>
            <m:sty m:val="p"/>
          </m:rPr>
          <m:t>+</m:t>
        </m:r>
        <m:sSup>
          <m:e>
            <m:r>
              <m:t>0.57</m:t>
            </m:r>
          </m:e>
          <m:sup>
            <m:r>
              <m:rPr>
                <m:sty m:val="p"/>
              </m:rPr>
              <m:t>∘</m:t>
            </m:r>
          </m:sup>
        </m:sSup>
        <m:r>
          <m:rPr>
            <m:nor/>
            <m:sty m:val="p"/>
          </m:rPr>
          <m:t>C</m:t>
        </m:r>
      </m:oMath>
      <w:r>
        <w:t xml:space="preserve"> </w:t>
      </w:r>
      <w:r>
        <w:t xml:space="preserve">between 1995 and 2018 (</w:t>
      </w:r>
      <w:hyperlink w:anchor="fig-s-climate-trends">
        <w:r>
          <w:rPr>
            <w:rStyle w:val="Hyperlink"/>
          </w:rPr>
          <w:t xml:space="preserve">Figure 3</w:t>
        </w:r>
      </w:hyperlink>
      <w:r>
        <w:t xml:space="preserve"> </w:t>
      </w:r>
      <w:r>
        <w:t xml:space="preserve">A). In contrast, total annual precipitation exhibited a non-significant trajectory (</w:t>
      </w:r>
      <m:oMath>
        <m:r>
          <m:rPr>
            <m:sty m:val="p"/>
          </m:rPr>
          <m:t>−</m:t>
        </m:r>
        <m:r>
          <m:t>44.7</m:t>
        </m:r>
      </m:oMath>
      <w:r>
        <w:t xml:space="preserve"> </w:t>
      </w:r>
      <w:r>
        <w:t xml:space="preserve">mm/decade, 95% CI:</w:t>
      </w:r>
      <w:r>
        <w:t xml:space="preserve"> </w:t>
      </w:r>
      <m:oMath>
        <m:r>
          <m:rPr>
            <m:sty m:val="p"/>
          </m:rPr>
          <m:t>−</m:t>
        </m:r>
        <m:r>
          <m:t>123.1</m:t>
        </m:r>
      </m:oMath>
      <w:r>
        <w:t xml:space="preserve"> </w:t>
      </w:r>
      <w:r>
        <w:t xml:space="preserve">to</w:t>
      </w:r>
      <w:r>
        <w:t xml:space="preserve"> </w:t>
      </w:r>
      <m:oMath>
        <m:r>
          <m:rPr>
            <m:sty m:val="p"/>
          </m:rPr>
          <m:t>+</m:t>
        </m:r>
        <m:r>
          <m:t>33.7</m:t>
        </m:r>
      </m:oMath>
      <w:r>
        <w:t xml:space="preserve"> </w:t>
      </w:r>
      <w:r>
        <w:t xml:space="preserve">mm/decade,</w:t>
      </w:r>
      <w:r>
        <w:t xml:space="preserve"> </w:t>
      </w:r>
      <m:oMath>
        <m:r>
          <m:t>p</m:t>
        </m:r>
        <m:r>
          <m:rPr>
            <m:sty m:val="p"/>
          </m:rPr>
          <m:t>=</m:t>
        </m:r>
        <m:r>
          <m:t>0.25</m:t>
        </m:r>
      </m:oMath>
      <w:r>
        <w:t xml:space="preserve">;</w:t>
      </w:r>
      <w:r>
        <w:t xml:space="preserve"> </w:t>
      </w:r>
      <w:hyperlink w:anchor="fig-s-climate-trends">
        <w:r>
          <w:rPr>
            <w:rStyle w:val="Hyperlink"/>
          </w:rPr>
          <w:t xml:space="preserve">Figure 3</w:t>
        </w:r>
      </w:hyperlink>
      <w:r>
        <w:t xml:space="preserve"> </w:t>
      </w:r>
      <w:r>
        <w:t xml:space="preserve">B), and the 12-month Standardized Precipitation-Evapotranspiration Index (SPEI-12) displayed no directional trend (</w:t>
      </w:r>
      <m:oMath>
        <m:r>
          <m:rPr>
            <m:sty m:val="p"/>
          </m:rPr>
          <m:t>−</m:t>
        </m:r>
        <m:r>
          <m:t>0.256</m:t>
        </m:r>
      </m:oMath>
      <w:r>
        <w:t xml:space="preserve"> </w:t>
      </w:r>
      <w:r>
        <w:t xml:space="preserve">units/decade, 95% CI:</w:t>
      </w:r>
      <w:r>
        <w:t xml:space="preserve"> </w:t>
      </w:r>
      <m:oMath>
        <m:r>
          <m:rPr>
            <m:sty m:val="p"/>
          </m:rPr>
          <m:t>−</m:t>
        </m:r>
        <m:r>
          <m:t>0.617</m:t>
        </m:r>
      </m:oMath>
      <w:r>
        <w:t xml:space="preserve"> </w:t>
      </w:r>
      <w:r>
        <w:t xml:space="preserve">to</w:t>
      </w:r>
      <w:r>
        <w:t xml:space="preserve"> </w:t>
      </w:r>
      <m:oMath>
        <m:r>
          <m:rPr>
            <m:sty m:val="p"/>
          </m:rPr>
          <m:t>+</m:t>
        </m:r>
        <m:r>
          <m:t>0.105</m:t>
        </m:r>
      </m:oMath>
      <w:r>
        <w:t xml:space="preserve">,</w:t>
      </w:r>
      <w:r>
        <w:t xml:space="preserve"> </w:t>
      </w:r>
      <m:oMath>
        <m:r>
          <m:t>p</m:t>
        </m:r>
        <m:r>
          <m:rPr>
            <m:sty m:val="p"/>
          </m:rPr>
          <m:t>=</m:t>
        </m:r>
        <m:r>
          <m:t>0.16</m:t>
        </m:r>
      </m:oMath>
      <w:r>
        <w:t xml:space="preserve">;</w:t>
      </w:r>
      <w:r>
        <w:t xml:space="preserve"> </w:t>
      </w:r>
      <w:hyperlink w:anchor="fig-s-climate-trends">
        <w:r>
          <w:rPr>
            <w:rStyle w:val="Hyperlink"/>
          </w:rPr>
          <w:t xml:space="preserve">Figure 3</w:t>
        </w:r>
      </w:hyperlink>
      <w:r>
        <w:t xml:space="preserve"> </w:t>
      </w:r>
      <w:r>
        <w:t xml:space="preserve">C). Regional environmental change across our capture sites was therefore characterized primarily by steady thermal warming without systematic multi-decadal changes in moisture availability.</w:t>
      </w:r>
    </w:p>
    <w:tbl>
      <w:tblPr>
        <w:tblStyle w:val="Table"/>
        <w:tblW w:type="pct" w:w="5000"/>
        <w:tblLayout w:type="fixed"/>
        <w:tblLook w:firstRow="0" w:lastRow="0" w:firstColumn="0" w:lastColumn="0" w:noHBand="0" w:noVBand="0" w:val="0000"/>
      </w:tblPr>
      <w:tblGrid>
        <w:gridCol w:w="7920"/>
      </w:tblGrid>
      <w:tr>
        <w:tc>
          <w:tcPr/>
          <w:bookmarkStart w:id="21" w:name="fig-s-climate-trends"/>
          <w:p>
            <w:pPr>
              <w:pStyle w:val="Compact"/>
              <w:jc w:val="center"/>
            </w:pPr>
            <w:r>
              <w:drawing>
                <wp:inline>
                  <wp:extent cx="5334000" cy="3879272"/>
                  <wp:effectExtent b="0" l="0" r="0" t="0"/>
                  <wp:docPr descr="" title="" id="19" name="Picture"/>
                  <a:graphic>
                    <a:graphicData uri="http://schemas.openxmlformats.org/drawingml/2006/picture">
                      <pic:pic>
                        <pic:nvPicPr>
                          <pic:cNvPr descr="images/fig-s-climate-trends.png" id="20" name="Picture"/>
                          <pic:cNvPicPr>
                            <a:picLocks noChangeArrowheads="1" noChangeAspect="1"/>
                          </pic:cNvPicPr>
                        </pic:nvPicPr>
                        <pic:blipFill>
                          <a:blip r:embed="rId18"/>
                          <a:stretch>
                            <a:fillRect/>
                          </a:stretch>
                        </pic:blipFill>
                        <pic:spPr bwMode="auto">
                          <a:xfrm>
                            <a:off x="0" y="0"/>
                            <a:ext cx="5334000" cy="3879272"/>
                          </a:xfrm>
                          <a:prstGeom prst="rect">
                            <a:avLst/>
                          </a:prstGeom>
                          <a:noFill/>
                          <a:ln w="9525">
                            <a:noFill/>
                            <a:headEnd/>
                            <a:tailEnd/>
                          </a:ln>
                        </pic:spPr>
                      </pic:pic>
                    </a:graphicData>
                  </a:graphic>
                </wp:inline>
              </w:drawing>
            </w:r>
          </w:p>
          <w:p>
            <w:pPr>
              <w:jc w:val="center"/>
            </w:pPr>
            <w:pPr>
              <w:jc w:val="left"/>
              <w:spacing w:before="200"/>
              <w:pStyle w:val="ImageCaption"/>
            </w:pPr>
            <w:r>
              <w:t xml:space="preserve">Figure 3:</w:t>
            </w:r>
            <w:r>
              <w:t xml:space="preserve"> </w:t>
            </w:r>
            <w:r>
              <w:rPr>
                <w:b/>
                <w:bCs/>
              </w:rPr>
              <w:t xml:space="preserve">Supplementary Figure S3.</w:t>
            </w:r>
            <w:r>
              <w:t xml:space="preserve"> </w:t>
            </w:r>
            <w:r>
              <w:t xml:space="preserve">Environmental trends across 357 avian capture localities in the Brazilian Atlantic Forest (1995–2018).</w:t>
            </w:r>
            <w:r>
              <w:t xml:space="preserve"> </w:t>
            </w:r>
            <w:r>
              <w:rPr>
                <w:b/>
                <w:bCs/>
              </w:rPr>
              <w:t xml:space="preserve">(A)</w:t>
            </w:r>
            <w:r>
              <w:t xml:space="preserve"> </w:t>
            </w:r>
            <w:r>
              <w:t xml:space="preserve">Mean annual temperature (°C), showing significant warming (+0.246°C/decade,</w:t>
            </w:r>
            <w:r>
              <w:t xml:space="preserve"> </w:t>
            </w:r>
            <m:oMath>
              <m:r>
                <m:t>p</m:t>
              </m:r>
              <m:r>
                <m:rPr>
                  <m:sty m:val="p"/>
                </m:rPr>
                <m:t>=</m:t>
              </m:r>
              <m:r>
                <m:t>0.005</m:t>
              </m:r>
            </m:oMath>
            <w:r>
              <w:t xml:space="preserve">).</w:t>
            </w:r>
            <w:r>
              <w:t xml:space="preserve"> </w:t>
            </w:r>
            <w:r>
              <w:rPr>
                <w:b/>
                <w:bCs/>
              </w:rPr>
              <w:t xml:space="preserve">(B)</w:t>
            </w:r>
            <w:r>
              <w:t xml:space="preserve"> </w:t>
            </w:r>
            <w:r>
              <w:t xml:space="preserve">Total annual precipitation (mm/year), showing non-significant variation (</w:t>
            </w:r>
            <m:oMath>
              <m:r>
                <m:rPr>
                  <m:sty m:val="p"/>
                </m:rPr>
                <m:t>−</m:t>
              </m:r>
              <m:r>
                <m:t>44.7</m:t>
              </m:r>
            </m:oMath>
            <w:r>
              <w:t xml:space="preserve"> </w:t>
            </w:r>
            <w:r>
              <w:t xml:space="preserve">mm/decade,</w:t>
            </w:r>
            <w:r>
              <w:t xml:space="preserve"> </w:t>
            </w:r>
            <m:oMath>
              <m:r>
                <m:t>p</m:t>
              </m:r>
              <m:r>
                <m:rPr>
                  <m:sty m:val="p"/>
                </m:rPr>
                <m:t>=</m:t>
              </m:r>
              <m:r>
                <m:t>0.25</m:t>
              </m:r>
            </m:oMath>
            <w:r>
              <w:t xml:space="preserve">).</w:t>
            </w:r>
            <w:r>
              <w:t xml:space="preserve"> </w:t>
            </w:r>
            <w:r>
              <w:rPr>
                <w:b/>
                <w:bCs/>
              </w:rPr>
              <w:t xml:space="preserve">(C)</w:t>
            </w:r>
            <w:r>
              <w:t xml:space="preserve"> </w:t>
            </w:r>
            <w:r>
              <w:t xml:space="preserve">12-month Standardized Precipitation-Evapotranspiration Index (SPEI-12), indicating stability in drought regimes (</w:t>
            </w:r>
            <m:oMath>
              <m:r>
                <m:rPr>
                  <m:sty m:val="p"/>
                </m:rPr>
                <m:t>−</m:t>
              </m:r>
              <m:r>
                <m:t>0.256</m:t>
              </m:r>
            </m:oMath>
            <w:r>
              <w:t xml:space="preserve">/decade,</w:t>
            </w:r>
            <w:r>
              <w:t xml:space="preserve"> </w:t>
            </w:r>
            <m:oMath>
              <m:r>
                <m:t>p</m:t>
              </m:r>
              <m:r>
                <m:rPr>
                  <m:sty m:val="p"/>
                </m:rPr>
                <m:t>=</m:t>
              </m:r>
              <m:r>
                <m:t>0.16</m:t>
              </m:r>
            </m:oMath>
            <w:r>
              <w:t xml:space="preserve">). Solid lines and shaded bands represent pooled linear mixed-effects model trajectories with 95% confidence intervals.</w:t>
            </w:r>
          </w:p>
          <w:bookmarkEnd w:id="21"/>
        </w:tc>
      </w:tr>
    </w:tbl>
    <w:bookmarkEnd w:id="22"/>
    <w:bookmarkStart w:id="27" w:name="X3b085c09a546f6a398ad22d31a5b80de2348c06"/>
    <w:p>
      <w:pPr>
        <w:pStyle w:val="Heading2"/>
      </w:pPr>
      <w:r>
        <w:t xml:space="preserve">1.3 Supplementary Note S3: Species-Level Phenotypic Variability (lnCVR)</w:t>
      </w:r>
    </w:p>
    <w:p>
      <w:pPr>
        <w:pStyle w:val="FirstParagraph"/>
      </w:pPr>
      <w:r>
        <w:t xml:space="preserve">The main text reports among-individual phenotypic variability from continuous heteroscedastic dispersion models. As a complementary species-level summary, we computed log coefficient-of-variation ratios (</w:t>
      </w:r>
      <m:oMath>
        <m:r>
          <m:rPr>
            <m:sty m:val="p"/>
          </m:rPr>
          <m:t>ln</m:t>
        </m:r>
        <m:r>
          <m:rPr>
            <m:nor/>
            <m:sty m:val="p"/>
          </m:rPr>
          <m:t>CVR</m:t>
        </m:r>
      </m:oMath>
      <w:r>
        <w:t xml:space="preserve">) with small-sample bias correction</w:t>
      </w:r>
      <w:r>
        <w:t xml:space="preserve"> </w:t>
      </w:r>
      <w:r>
        <w:t xml:space="preserve">(Nakagawa et al. 2015)</w:t>
      </w:r>
      <w:r>
        <w:t xml:space="preserve"> </w:t>
      </w:r>
      <w:r>
        <w:t xml:space="preserve">for species with</w:t>
      </w:r>
      <w:r>
        <w:t xml:space="preserve"> </w:t>
      </w:r>
      <m:oMath>
        <m:r>
          <m:rPr>
            <m:sty m:val="p"/>
          </m:rPr>
          <m:t>≥</m:t>
        </m:r>
        <m:r>
          <m:t>5</m:t>
        </m:r>
      </m:oMath>
      <w:r>
        <w:t xml:space="preserve"> </w:t>
      </w:r>
      <w:r>
        <w:t xml:space="preserve">records in both the early (1995–2006) and late (2013–2018) periods, pooling effect sizes in random-effects meta-analytic models using</w:t>
      </w:r>
      <w:r>
        <w:t xml:space="preserve"> </w:t>
      </w:r>
      <w:r>
        <w:rPr>
          <w:rStyle w:val="VerbatimChar"/>
        </w:rPr>
        <w:t xml:space="preserve">metafor</w:t>
      </w:r>
      <w:r>
        <w:t xml:space="preserve"> </w:t>
      </w:r>
      <w:r>
        <w:t xml:space="preserve">(Viechtbauer 2010)</w:t>
      </w:r>
      <w:r>
        <w:t xml:space="preserve">. Pooled across contributors, variability appeared to increase (wing length</w:t>
      </w:r>
      <w:r>
        <w:t xml:space="preserve"> </w:t>
      </w:r>
      <m:oMath>
        <m:r>
          <m:rPr>
            <m:sty m:val="p"/>
          </m:rPr>
          <m:t>ln</m:t>
        </m:r>
        <m:r>
          <m:rPr>
            <m:nor/>
            <m:sty m:val="p"/>
          </m:rPr>
          <m:t>CVR</m:t>
        </m:r>
        <m:r>
          <m:rPr>
            <m:sty m:val="p"/>
          </m:rPr>
          <m:t>=</m:t>
        </m:r>
        <m:r>
          <m:rPr>
            <m:sty m:val="p"/>
          </m:rPr>
          <m:t>+</m:t>
        </m:r>
        <m:r>
          <m:t>0.177</m:t>
        </m:r>
      </m:oMath>
      <w:r>
        <w:t xml:space="preserve">, 95% CI: 0.031 to 0.323,</w:t>
      </w:r>
      <w:r>
        <w:t xml:space="preserve"> </w:t>
      </w:r>
      <m:oMath>
        <m:r>
          <m:t>k</m:t>
        </m:r>
        <m:r>
          <m:rPr>
            <m:sty m:val="p"/>
          </m:rPr>
          <m:t>=</m:t>
        </m:r>
        <m:r>
          <m:t>54</m:t>
        </m:r>
      </m:oMath>
      <w:r>
        <w:t xml:space="preserve">; body mass</w:t>
      </w:r>
      <w:r>
        <w:t xml:space="preserve"> </w:t>
      </w:r>
      <m:oMath>
        <m:r>
          <m:rPr>
            <m:sty m:val="p"/>
          </m:rPr>
          <m:t>+</m:t>
        </m:r>
        <m:r>
          <m:t>0.193</m:t>
        </m:r>
      </m:oMath>
      <w:r>
        <w:t xml:space="preserve">, 95% CI: 0.021 to 0.366,</w:t>
      </w:r>
      <w:r>
        <w:t xml:space="preserve"> </w:t>
      </w:r>
      <m:oMath>
        <m:r>
          <m:t>k</m:t>
        </m:r>
        <m:r>
          <m:rPr>
            <m:sty m:val="p"/>
          </m:rPr>
          <m:t>=</m:t>
        </m:r>
        <m:r>
          <m:t>57</m:t>
        </m:r>
      </m:oMath>
      <w:r>
        <w:t xml:space="preserve">; bill width</w:t>
      </w:r>
      <w:r>
        <w:t xml:space="preserve"> </w:t>
      </w:r>
      <m:oMath>
        <m:r>
          <m:rPr>
            <m:sty m:val="p"/>
          </m:rPr>
          <m:t>+</m:t>
        </m:r>
        <m:r>
          <m:t>0.068</m:t>
        </m:r>
      </m:oMath>
      <w:r>
        <w:t xml:space="preserve">, 95% CI: −0.146 to +0.282,</w:t>
      </w:r>
      <w:r>
        <w:t xml:space="preserve"> </w:t>
      </w:r>
      <m:oMath>
        <m:r>
          <m:t>k</m:t>
        </m:r>
        <m:r>
          <m:rPr>
            <m:sty m:val="p"/>
          </m:rPr>
          <m:t>=</m:t>
        </m:r>
        <m:r>
          <m:t>36</m:t>
        </m:r>
      </m:oMath>
      <w:r>
        <w:t xml:space="preserve">). Restricted to within the same contributor, the apparent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 matching the conclusion drawn from the dispersion models. The within-contributor version requires a species to have been sampled by the same contributor in both periods, which few combinations satisfy, so it rests on a considerably smaller and compositionally narrower subset than the pooled comparison.</w:t>
      </w:r>
    </w:p>
    <w:tbl>
      <w:tblPr>
        <w:tblStyle w:val="Table"/>
        <w:tblW w:type="pct" w:w="5000"/>
        <w:tblLayout w:type="fixed"/>
        <w:tblLook w:firstRow="0" w:lastRow="0" w:firstColumn="0" w:lastColumn="0" w:noHBand="0" w:noVBand="0" w:val="0000"/>
      </w:tblPr>
      <w:tblGrid>
        <w:gridCol w:w="7920"/>
      </w:tblGrid>
      <w:tr>
        <w:tc>
          <w:tcPr/>
          <w:bookmarkStart w:id="26" w:name="fig-variability"/>
          <w:p>
            <w:pPr>
              <w:pStyle w:val="Compact"/>
              <w:jc w:val="center"/>
            </w:pPr>
            <w:r>
              <w:drawing>
                <wp:inline>
                  <wp:extent cx="5334000" cy="3270823"/>
                  <wp:effectExtent b="0" l="0" r="0" t="0"/>
                  <wp:docPr descr="" title="" id="24" name="Picture"/>
                  <a:graphic>
                    <a:graphicData uri="http://schemas.openxmlformats.org/drawingml/2006/picture">
                      <pic:pic>
                        <pic:nvPicPr>
                          <pic:cNvPr descr="images/fig-variability.png" id="25" name="Picture"/>
                          <pic:cNvPicPr>
                            <a:picLocks noChangeArrowheads="1" noChangeAspect="1"/>
                          </pic:cNvPicPr>
                        </pic:nvPicPr>
                        <pic:blipFill>
                          <a:blip r:embed="rId23"/>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4:</w:t>
            </w:r>
            <w:r>
              <w:t xml:space="preserve"> </w:t>
            </w:r>
            <w:r>
              <w:rPr>
                <w:b/>
                <w:bCs/>
              </w:rPr>
              <w:t xml:space="preserve">Supplementary Figure S4.</w:t>
            </w:r>
            <w:r>
              <w:t xml:space="preserve"> </w:t>
            </w:r>
            <w:r>
              <w:t xml:space="preserve">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26"/>
        </w:tc>
      </w:tr>
    </w:tbl>
    <w:bookmarkEnd w:id="27"/>
    <w:bookmarkStart w:id="29" w:name="X44e14e2582f1f1a857d73e39aced1ad963ebf7b"/>
    <w:p>
      <w:pPr>
        <w:pStyle w:val="Heading2"/>
      </w:pPr>
      <w:r>
        <w:t xml:space="preserve">1.4 Supplementary Note S4: Temperature-Anomaly Models Across Specifications</w:t>
      </w:r>
    </w:p>
    <w:p>
      <w:pPr>
        <w:pStyle w:val="FirstParagraph"/>
      </w:pPr>
      <w:r>
        <w:t xml:space="preserve">The main text reports no association between morphology and the local annual temperature anomaly (</w:t>
      </w:r>
      <m:oMath>
        <m:r>
          <m:rPr>
            <m:sty m:val="p"/>
          </m:rPr>
          <m:t>Δ</m:t>
        </m:r>
        <m:sSub>
          <m:e>
            <m:r>
              <m:t>T</m:t>
            </m:r>
          </m:e>
          <m:sub>
            <m:r>
              <m:rPr>
                <m:nor/>
                <m:sty m:val="p"/>
              </m:rPr>
              <m:t>local</m:t>
            </m:r>
          </m:sub>
        </m:sSub>
      </m:oMath>
      <w:r>
        <w:t xml:space="preserve">) under the full M3 adjustment set. Because an anomaly measured over a warming study period is itself correlated with calendar year, and because all birds captured at one locality in one year share an anomaly value, we fitted four specifications. All are produced by</w:t>
      </w:r>
      <w:r>
        <w:t xml:space="preserve"> </w:t>
      </w:r>
      <w:r>
        <w:rPr>
          <w:rStyle w:val="VerbatimChar"/>
        </w:rPr>
        <w:t xml:space="preserve">Analysis/scripts/referee_reruns.R</w:t>
      </w:r>
      <w:r>
        <w:t xml:space="preserve"> </w:t>
      </w:r>
      <w:r>
        <w:t xml:space="preserve">and stored in</w:t>
      </w:r>
      <w:r>
        <w:t xml:space="preserve"> </w:t>
      </w:r>
      <w:r>
        <w:rPr>
          <w:rStyle w:val="VerbatimChar"/>
        </w:rPr>
        <w:t xml:space="preserve">Analysis/output/referee_reruns/referee_reruns.rds</w:t>
      </w:r>
      <w:r>
        <w:t xml:space="preserve">.</w:t>
      </w:r>
    </w:p>
    <w:tbl>
      <w:tblPr>
        <w:tblStyle w:val="Table"/>
        <w:tblW w:type="pct" w:w="5000"/>
        <w:tblLayout w:type="fixed"/>
        <w:tblLook w:firstRow="0" w:lastRow="0" w:firstColumn="0" w:lastColumn="0" w:noHBand="0" w:noVBand="0" w:val="0000"/>
      </w:tblPr>
      <w:tblGrid>
        <w:gridCol w:w="7920"/>
      </w:tblGrid>
      <w:tr>
        <w:tc>
          <w:tcPr/>
          <w:bookmarkStart w:id="28" w:name="tbl-s-thermal"/>
          <w:p>
            <w:pPr>
              <w:jc w:val="center"/>
            </w:pPr>
            <w:pPr>
              <w:jc w:val="left"/>
              <w:spacing w:before="200"/>
              <w:pStyle w:val="ImageCaption"/>
            </w:pPr>
            <w:r>
              <w:t xml:space="preserve">Table 1:</w:t>
            </w:r>
            <w:r>
              <w:t xml:space="preserve"> </w:t>
            </w:r>
            <w:r>
              <w:rPr>
                <w:b/>
                <w:bCs/>
              </w:rPr>
              <w:t xml:space="preserve">Supplementary Table S3.</w:t>
            </w:r>
            <w:r>
              <w:t xml:space="preserve"> </w:t>
            </w:r>
            <w:r>
              <w:t xml:space="preserve">Temperature-anomaly associations across specifications.</w:t>
            </w:r>
            <w:r>
              <w:t xml:space="preserve"> </w:t>
            </w:r>
            <w:r>
              <w:rPr>
                <w:rStyle w:val="VerbatimChar"/>
              </w:rPr>
              <w:t xml:space="preserve">dT</w:t>
            </w:r>
            <w:r>
              <w:t xml:space="preserve"> </w:t>
            </w:r>
            <w:r>
              <w:t xml:space="preserve">is the local annual anomaly;</w:t>
            </w:r>
            <w:r>
              <w:t xml:space="preserve"> </w:t>
            </w:r>
            <w:r>
              <w:rPr>
                <w:rStyle w:val="VerbatimChar"/>
              </w:rPr>
              <w:t xml:space="preserve">dT_detr</w:t>
            </w:r>
            <w:r>
              <w:t xml:space="preserve"> </w:t>
            </w:r>
            <w:r>
              <w:t xml:space="preserve">is the anomaly detrended within sites;</w:t>
            </w:r>
            <w:r>
              <w:t xml:space="preserve"> </w:t>
            </w:r>
            <w:r>
              <w:rPr>
                <w:rStyle w:val="VerbatimChar"/>
              </w:rPr>
              <w:t xml:space="preserve">scaled_yr</w:t>
            </w:r>
            <w:r>
              <w:t xml:space="preserve"> </w:t>
            </w:r>
            <w:r>
              <w:t xml:space="preserve">is calendar year. E1a enters anomaly and year simultaneously; E2a adds a locality-year random intercept; E3 applies the full M3 adjustment set across 50 phylogenetic trees; E3b adds calendar year to E3.</w:t>
            </w:r>
            <w:r>
              <w:t xml:space="preserve"> </w:t>
            </w:r>
            <w:r>
              <w:rPr>
                <w:rStyle w:val="VerbatimChar"/>
              </w:rPr>
              <w:t xml:space="preserve">Trees</w:t>
            </w:r>
            <w:r>
              <w:t xml:space="preserve"> </w:t>
            </w:r>
            <w:r>
              <w:t xml:space="preserve">is the number of the 50 trees whose fits converged and were pooled.</w:t>
            </w:r>
          </w:p>
          <w:tbl>
            <w:tblPr>
              <w:tblStyle w:val="Table"/>
              <w:tblW w:type="pct" w:w="5000"/>
              <w:tblLayout w:type="fixed"/>
              <w:tblLook w:firstRow="1" w:lastRow="0" w:firstColumn="0" w:lastColumn="0" w:noHBand="0" w:noVBand="0" w:val="0020"/>
            </w:tblPr>
            <w:tblGrid>
              <w:gridCol w:w="2390"/>
              <w:gridCol w:w="2017"/>
              <w:gridCol w:w="747"/>
              <w:gridCol w:w="672"/>
              <w:gridCol w:w="597"/>
              <w:gridCol w:w="448"/>
              <w:gridCol w:w="597"/>
              <w:gridCol w:w="448"/>
            </w:tblGrid>
            <w:tr>
              <w:trPr>
                <w:tblHeader w:val="on"/>
              </w:trPr>
              <w:tc>
                <w:tcPr/>
                <w:p>
                  <w:pPr>
                    <w:pStyle w:val="Compact"/>
                    <w:jc w:val="left"/>
                    <w:jc w:val="center"/>
                  </w:pPr>
                  <w:r>
                    <w:t xml:space="preserve">Specification</w:t>
                  </w:r>
                </w:p>
              </w:tc>
              <w:tc>
                <w:tcPr/>
                <w:p>
                  <w:pPr>
                    <w:pStyle w:val="Compact"/>
                    <w:jc w:val="left"/>
                    <w:jc w:val="center"/>
                  </w:pPr>
                  <w:r>
                    <w:t xml:space="preserve">Response</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Trees</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-0.02200</w:t>
                  </w:r>
                </w:p>
              </w:tc>
              <w:tc>
                <w:tcPr/>
                <w:p>
                  <w:pPr>
                    <w:pStyle w:val="Compact"/>
                    <w:jc w:val="right"/>
                    <w:jc w:val="center"/>
                  </w:pPr>
                  <w:r>
                    <w:t xml:space="preserve">0.19600</w:t>
                  </w:r>
                </w:p>
              </w:tc>
              <w:tc>
                <w:tcPr/>
                <w:p>
                  <w:pPr>
                    <w:pStyle w:val="Compact"/>
                    <w:jc w:val="right"/>
                    <w:jc w:val="center"/>
                  </w:pPr>
                  <w:r>
                    <w:t xml:space="preserve">-0.11</w:t>
                  </w:r>
                </w:p>
              </w:tc>
              <w:tc>
                <w:tcPr/>
                <w:p>
                  <w:pPr>
                    <w:pStyle w:val="Compact"/>
                    <w:jc w:val="right"/>
                    <w:jc w:val="center"/>
                  </w:pPr>
                  <w:r>
                    <w:t xml:space="preserve">0.91100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-0.53800</w:t>
                  </w:r>
                </w:p>
              </w:tc>
              <w:tc>
                <w:tcPr/>
                <w:p>
                  <w:pPr>
                    <w:pStyle w:val="Compact"/>
                    <w:jc w:val="right"/>
                    <w:jc w:val="center"/>
                  </w:pPr>
                  <w:r>
                    <w:t xml:space="preserve">0.21900</w:t>
                  </w:r>
                </w:p>
              </w:tc>
              <w:tc>
                <w:tcPr/>
                <w:p>
                  <w:pPr>
                    <w:pStyle w:val="Compact"/>
                    <w:jc w:val="right"/>
                    <w:jc w:val="center"/>
                  </w:pPr>
                  <w:r>
                    <w:t xml:space="preserve">-2.46</w:t>
                  </w:r>
                </w:p>
              </w:tc>
              <w:tc>
                <w:tcPr/>
                <w:p>
                  <w:pPr>
                    <w:pStyle w:val="Compact"/>
                    <w:jc w:val="right"/>
                    <w:jc w:val="center"/>
                  </w:pPr>
                  <w:r>
                    <w:t xml:space="preserve">0.01400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wing length (mm)</w:t>
                  </w:r>
                </w:p>
              </w:tc>
              <w:tc>
                <w:tcPr/>
                <w:p>
                  <w:pPr>
                    <w:pStyle w:val="Compact"/>
                    <w:jc w:val="left"/>
                    <w:jc w:val="center"/>
                  </w:pPr>
                  <w:r>
                    <w:t xml:space="preserve">dT_detr</w:t>
                  </w:r>
                </w:p>
              </w:tc>
              <w:tc>
                <w:tcPr/>
                <w:p>
                  <w:pPr>
                    <w:pStyle w:val="Compact"/>
                    <w:jc w:val="right"/>
                    <w:jc w:val="center"/>
                  </w:pPr>
                  <w:r>
                    <w:t xml:space="preserve">-0.16300</w:t>
                  </w:r>
                </w:p>
              </w:tc>
              <w:tc>
                <w:tcPr/>
                <w:p>
                  <w:pPr>
                    <w:pStyle w:val="Compact"/>
                    <w:jc w:val="right"/>
                    <w:jc w:val="center"/>
                  </w:pPr>
                  <w:r>
                    <w:t xml:space="preserve">0.19500</w:t>
                  </w:r>
                </w:p>
              </w:tc>
              <w:tc>
                <w:tcPr/>
                <w:p>
                  <w:pPr>
                    <w:pStyle w:val="Compact"/>
                    <w:jc w:val="right"/>
                    <w:jc w:val="center"/>
                  </w:pPr>
                  <w:r>
                    <w:t xml:space="preserve">-0.83</w:t>
                  </w:r>
                </w:p>
              </w:tc>
              <w:tc>
                <w:tcPr/>
                <w:p>
                  <w:pPr>
                    <w:pStyle w:val="Compact"/>
                    <w:jc w:val="right"/>
                    <w:jc w:val="center"/>
                  </w:pPr>
                  <w:r>
                    <w:t xml:space="preserve">0.40400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0.00727</w:t>
                  </w:r>
                </w:p>
              </w:tc>
              <w:tc>
                <w:tcPr/>
                <w:p>
                  <w:pPr>
                    <w:pStyle w:val="Compact"/>
                    <w:jc w:val="right"/>
                    <w:jc w:val="center"/>
                  </w:pPr>
                  <w:r>
                    <w:t xml:space="preserve">0.00687</w:t>
                  </w:r>
                </w:p>
              </w:tc>
              <w:tc>
                <w:tcPr/>
                <w:p>
                  <w:pPr>
                    <w:pStyle w:val="Compact"/>
                    <w:jc w:val="right"/>
                    <w:jc w:val="center"/>
                  </w:pPr>
                  <w:r>
                    <w:t xml:space="preserve">1.06</w:t>
                  </w:r>
                </w:p>
              </w:tc>
              <w:tc>
                <w:tcPr/>
                <w:p>
                  <w:pPr>
                    <w:pStyle w:val="Compact"/>
                    <w:jc w:val="right"/>
                    <w:jc w:val="center"/>
                  </w:pPr>
                  <w:r>
                    <w:t xml:space="preserve">0.29000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-0.00189</w:t>
                  </w:r>
                </w:p>
              </w:tc>
              <w:tc>
                <w:tcPr/>
                <w:p>
                  <w:pPr>
                    <w:pStyle w:val="Compact"/>
                    <w:jc w:val="right"/>
                    <w:jc w:val="center"/>
                  </w:pPr>
                  <w:r>
                    <w:t xml:space="preserve">0.00521</w:t>
                  </w:r>
                </w:p>
              </w:tc>
              <w:tc>
                <w:tcPr/>
                <w:p>
                  <w:pPr>
                    <w:pStyle w:val="Compact"/>
                    <w:jc w:val="right"/>
                    <w:jc w:val="center"/>
                  </w:pPr>
                  <w:r>
                    <w:t xml:space="preserve">-0.36</w:t>
                  </w:r>
                </w:p>
              </w:tc>
              <w:tc>
                <w:tcPr/>
                <w:p>
                  <w:pPr>
                    <w:pStyle w:val="Compact"/>
                    <w:jc w:val="right"/>
                    <w:jc w:val="center"/>
                  </w:pPr>
                  <w:r>
                    <w:t xml:space="preserve">0.71700</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log body mass</w:t>
                  </w:r>
                </w:p>
              </w:tc>
              <w:tc>
                <w:tcPr/>
                <w:p>
                  <w:pPr>
                    <w:pStyle w:val="Compact"/>
                    <w:jc w:val="left"/>
                    <w:jc w:val="center"/>
                  </w:pPr>
                  <w:r>
                    <w:t xml:space="preserve">dT_detr</w:t>
                  </w:r>
                </w:p>
              </w:tc>
              <w:tc>
                <w:tcPr/>
                <w:p>
                  <w:pPr>
                    <w:pStyle w:val="Compact"/>
                    <w:jc w:val="right"/>
                    <w:jc w:val="center"/>
                  </w:pPr>
                  <w:r>
                    <w:t xml:space="preserve">0.00640</w:t>
                  </w:r>
                </w:p>
              </w:tc>
              <w:tc>
                <w:tcPr/>
                <w:p>
                  <w:pPr>
                    <w:pStyle w:val="Compact"/>
                    <w:jc w:val="right"/>
                    <w:jc w:val="center"/>
                  </w:pPr>
                  <w:r>
                    <w:t xml:space="preserve">0.00681</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0.01570</w:t>
                  </w:r>
                </w:p>
              </w:tc>
              <w:tc>
                <w:tcPr/>
                <w:p>
                  <w:pPr>
                    <w:pStyle w:val="Compact"/>
                    <w:jc w:val="right"/>
                    <w:jc w:val="center"/>
                  </w:pPr>
                  <w:r>
                    <w:t xml:space="preserve">0.00995</w:t>
                  </w:r>
                </w:p>
              </w:tc>
              <w:tc>
                <w:tcPr/>
                <w:p>
                  <w:pPr>
                    <w:pStyle w:val="Compact"/>
                    <w:jc w:val="right"/>
                    <w:jc w:val="center"/>
                  </w:pPr>
                  <w:r>
                    <w:t xml:space="preserve">1.58</w:t>
                  </w:r>
                </w:p>
              </w:tc>
              <w:tc>
                <w:tcPr/>
                <w:p>
                  <w:pPr>
                    <w:pStyle w:val="Compact"/>
                    <w:jc w:val="right"/>
                    <w:jc w:val="center"/>
                  </w:pPr>
                  <w:r>
                    <w:t xml:space="preserve">0.11400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0.01990</w:t>
                  </w:r>
                </w:p>
              </w:tc>
              <w:tc>
                <w:tcPr/>
                <w:p>
                  <w:pPr>
                    <w:pStyle w:val="Compact"/>
                    <w:jc w:val="right"/>
                    <w:jc w:val="center"/>
                  </w:pPr>
                  <w:r>
                    <w:t xml:space="preserve">0.00721</w:t>
                  </w:r>
                </w:p>
              </w:tc>
              <w:tc>
                <w:tcPr/>
                <w:p>
                  <w:pPr>
                    <w:pStyle w:val="Compact"/>
                    <w:jc w:val="right"/>
                    <w:jc w:val="center"/>
                  </w:pPr>
                  <w:r>
                    <w:t xml:space="preserve">2.76</w:t>
                  </w:r>
                </w:p>
              </w:tc>
              <w:tc>
                <w:tcPr/>
                <w:p>
                  <w:pPr>
                    <w:pStyle w:val="Compact"/>
                    <w:jc w:val="right"/>
                    <w:jc w:val="center"/>
                  </w:pPr>
                  <w:r>
                    <w:t xml:space="preserve">0.00573</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isometry contrast lnM-3lnL</w:t>
                  </w:r>
                </w:p>
              </w:tc>
              <w:tc>
                <w:tcPr/>
                <w:p>
                  <w:pPr>
                    <w:pStyle w:val="Compact"/>
                    <w:jc w:val="left"/>
                    <w:jc w:val="center"/>
                  </w:pPr>
                  <w:r>
                    <w:t xml:space="preserve">dT_detr</w:t>
                  </w:r>
                </w:p>
              </w:tc>
              <w:tc>
                <w:tcPr/>
                <w:p>
                  <w:pPr>
                    <w:pStyle w:val="Compact"/>
                    <w:jc w:val="right"/>
                    <w:jc w:val="center"/>
                  </w:pPr>
                  <w:r>
                    <w:t xml:space="preserve">0.02010</w:t>
                  </w:r>
                </w:p>
              </w:tc>
              <w:tc>
                <w:tcPr/>
                <w:p>
                  <w:pPr>
                    <w:pStyle w:val="Compact"/>
                    <w:jc w:val="right"/>
                    <w:jc w:val="center"/>
                  </w:pPr>
                  <w:r>
                    <w:t xml:space="preserve">0.00985</w:t>
                  </w:r>
                </w:p>
              </w:tc>
              <w:tc>
                <w:tcPr/>
                <w:p>
                  <w:pPr>
                    <w:pStyle w:val="Compact"/>
                    <w:jc w:val="right"/>
                    <w:jc w:val="center"/>
                  </w:pPr>
                  <w:r>
                    <w:t xml:space="preserve">2.04</w:t>
                  </w:r>
                </w:p>
              </w:tc>
              <w:tc>
                <w:tcPr/>
                <w:p>
                  <w:pPr>
                    <w:pStyle w:val="Compact"/>
                    <w:jc w:val="right"/>
                    <w:jc w:val="center"/>
                  </w:pPr>
                  <w:r>
                    <w:t xml:space="preserve">0.04090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-0.00524</w:t>
                  </w:r>
                </w:p>
              </w:tc>
              <w:tc>
                <w:tcPr/>
                <w:p>
                  <w:pPr>
                    <w:pStyle w:val="Compact"/>
                    <w:jc w:val="right"/>
                    <w:jc w:val="center"/>
                  </w:pPr>
                  <w:r>
                    <w:t xml:space="preserve">0.00332</w:t>
                  </w:r>
                </w:p>
              </w:tc>
              <w:tc>
                <w:tcPr/>
                <w:p>
                  <w:pPr>
                    <w:pStyle w:val="Compact"/>
                    <w:jc w:val="right"/>
                    <w:jc w:val="center"/>
                  </w:pPr>
                  <w:r>
                    <w:t xml:space="preserve">-1.58</w:t>
                  </w:r>
                </w:p>
              </w:tc>
              <w:tc>
                <w:tcPr/>
                <w:p>
                  <w:pPr>
                    <w:pStyle w:val="Compact"/>
                    <w:jc w:val="right"/>
                    <w:jc w:val="center"/>
                  </w:pPr>
                  <w:r>
                    <w:t xml:space="preserve">0.11400</w:t>
                  </w:r>
                </w:p>
              </w:tc>
              <w:tc>
                <w:tcPr/>
                <w:p>
                  <w:pPr>
                    <w:pStyle w:val="Compact"/>
                    <w:jc w:val="right"/>
                    <w:jc w:val="center"/>
                  </w:pPr>
                  <w:r>
                    <w:t xml:space="preserve">NA</w:t>
                  </w:r>
                </w:p>
              </w:tc>
            </w:tr>
            <w:tr>
              <w:tc>
                <w:tcPr/>
                <w:p>
                  <w:pPr>
                    <w:pStyle w:val="Compact"/>
                    <w:jc w:val="left"/>
                    <w:jc w:val="center"/>
                  </w:pPr>
                  <w:r>
                    <w:t xml:space="preserve">E1a_anomaly_plus_year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-0.00664</w:t>
                  </w:r>
                </w:p>
              </w:tc>
              <w:tc>
                <w:tcPr/>
                <w:p>
                  <w:pPr>
                    <w:pStyle w:val="Compact"/>
                    <w:jc w:val="right"/>
                    <w:jc w:val="center"/>
                  </w:pPr>
                  <w:r>
                    <w:t xml:space="preserve">0.00240</w:t>
                  </w:r>
                </w:p>
              </w:tc>
              <w:tc>
                <w:tcPr/>
                <w:p>
                  <w:pPr>
                    <w:pStyle w:val="Compact"/>
                    <w:jc w:val="right"/>
                    <w:jc w:val="center"/>
                  </w:pPr>
                  <w:r>
                    <w:t xml:space="preserve">-2.76</w:t>
                  </w:r>
                </w:p>
              </w:tc>
              <w:tc>
                <w:tcPr/>
                <w:p>
                  <w:pPr>
                    <w:pStyle w:val="Compact"/>
                    <w:jc w:val="right"/>
                    <w:jc w:val="center"/>
                  </w:pPr>
                  <w:r>
                    <w:t xml:space="preserve">0.00573</w:t>
                  </w:r>
                </w:p>
              </w:tc>
              <w:tc>
                <w:tcPr/>
                <w:p>
                  <w:pPr>
                    <w:pStyle w:val="Compact"/>
                    <w:jc w:val="right"/>
                    <w:jc w:val="center"/>
                  </w:pPr>
                  <w:r>
                    <w:t xml:space="preserve">NA</w:t>
                  </w:r>
                </w:p>
              </w:tc>
            </w:tr>
            <w:tr>
              <w:tc>
                <w:tcPr/>
                <w:p>
                  <w:pPr>
                    <w:pStyle w:val="Compact"/>
                    <w:jc w:val="left"/>
                    <w:jc w:val="center"/>
                  </w:pPr>
                  <w:r>
                    <w:t xml:space="preserve">E1b_detrended_anomaly</w:t>
                  </w:r>
                </w:p>
              </w:tc>
              <w:tc>
                <w:tcPr/>
                <w:p>
                  <w:pPr>
                    <w:pStyle w:val="Compact"/>
                    <w:jc w:val="left"/>
                    <w:jc w:val="center"/>
                  </w:pPr>
                  <w:r>
                    <w:t xml:space="preserve">relative wing lnL-(1/3)lnM</w:t>
                  </w:r>
                </w:p>
              </w:tc>
              <w:tc>
                <w:tcPr/>
                <w:p>
                  <w:pPr>
                    <w:pStyle w:val="Compact"/>
                    <w:jc w:val="left"/>
                    <w:jc w:val="center"/>
                  </w:pPr>
                  <w:r>
                    <w:t xml:space="preserve">dT_detr</w:t>
                  </w:r>
                </w:p>
              </w:tc>
              <w:tc>
                <w:tcPr/>
                <w:p>
                  <w:pPr>
                    <w:pStyle w:val="Compact"/>
                    <w:jc w:val="right"/>
                    <w:jc w:val="center"/>
                  </w:pPr>
                  <w:r>
                    <w:t xml:space="preserve">-0.00671</w:t>
                  </w:r>
                </w:p>
              </w:tc>
              <w:tc>
                <w:tcPr/>
                <w:p>
                  <w:pPr>
                    <w:pStyle w:val="Compact"/>
                    <w:jc w:val="right"/>
                    <w:jc w:val="center"/>
                  </w:pPr>
                  <w:r>
                    <w:t xml:space="preserve">0.00328</w:t>
                  </w:r>
                </w:p>
              </w:tc>
              <w:tc>
                <w:tcPr/>
                <w:p>
                  <w:pPr>
                    <w:pStyle w:val="Compact"/>
                    <w:jc w:val="right"/>
                    <w:jc w:val="center"/>
                  </w:pPr>
                  <w:r>
                    <w:t xml:space="preserve">-2.04</w:t>
                  </w:r>
                </w:p>
              </w:tc>
              <w:tc>
                <w:tcPr/>
                <w:p>
                  <w:pPr>
                    <w:pStyle w:val="Compact"/>
                    <w:jc w:val="right"/>
                    <w:jc w:val="center"/>
                  </w:pPr>
                  <w:r>
                    <w:t xml:space="preserve">0.04090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-0.32900</w:t>
                  </w:r>
                </w:p>
              </w:tc>
              <w:tc>
                <w:tcPr/>
                <w:p>
                  <w:pPr>
                    <w:pStyle w:val="Compact"/>
                    <w:jc w:val="right"/>
                    <w:jc w:val="center"/>
                  </w:pPr>
                  <w:r>
                    <w:t xml:space="preserve">0.29200</w:t>
                  </w:r>
                </w:p>
              </w:tc>
              <w:tc>
                <w:tcPr/>
                <w:p>
                  <w:pPr>
                    <w:pStyle w:val="Compact"/>
                    <w:jc w:val="right"/>
                    <w:jc w:val="center"/>
                  </w:pPr>
                  <w:r>
                    <w:t xml:space="preserve">-1.13</w:t>
                  </w:r>
                </w:p>
              </w:tc>
              <w:tc>
                <w:tcPr/>
                <w:p>
                  <w:pPr>
                    <w:pStyle w:val="Compact"/>
                    <w:jc w:val="right"/>
                    <w:jc w:val="center"/>
                  </w:pPr>
                  <w:r>
                    <w:t xml:space="preserve">0.25900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0.00574</w:t>
                  </w:r>
                </w:p>
              </w:tc>
              <w:tc>
                <w:tcPr/>
                <w:p>
                  <w:pPr>
                    <w:pStyle w:val="Compact"/>
                    <w:jc w:val="right"/>
                    <w:jc w:val="center"/>
                  </w:pPr>
                  <w:r>
                    <w:t xml:space="preserve">0.00905</w:t>
                  </w:r>
                </w:p>
              </w:tc>
              <w:tc>
                <w:tcPr/>
                <w:p>
                  <w:pPr>
                    <w:pStyle w:val="Compact"/>
                    <w:jc w:val="right"/>
                    <w:jc w:val="center"/>
                  </w:pPr>
                  <w:r>
                    <w:t xml:space="preserve">0.63</w:t>
                  </w:r>
                </w:p>
              </w:tc>
              <w:tc>
                <w:tcPr/>
                <w:p>
                  <w:pPr>
                    <w:pStyle w:val="Compact"/>
                    <w:jc w:val="right"/>
                    <w:jc w:val="center"/>
                  </w:pPr>
                  <w:r>
                    <w:t xml:space="preserve">0.52600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0.02570</w:t>
                  </w:r>
                </w:p>
              </w:tc>
              <w:tc>
                <w:tcPr/>
                <w:p>
                  <w:pPr>
                    <w:pStyle w:val="Compact"/>
                    <w:jc w:val="right"/>
                    <w:jc w:val="center"/>
                  </w:pPr>
                  <w:r>
                    <w:t xml:space="preserve">0.01450</w:t>
                  </w:r>
                </w:p>
              </w:tc>
              <w:tc>
                <w:tcPr/>
                <w:p>
                  <w:pPr>
                    <w:pStyle w:val="Compact"/>
                    <w:jc w:val="right"/>
                    <w:jc w:val="center"/>
                  </w:pPr>
                  <w:r>
                    <w:t xml:space="preserve">1.77</w:t>
                  </w:r>
                </w:p>
              </w:tc>
              <w:tc>
                <w:tcPr/>
                <w:p>
                  <w:pPr>
                    <w:pStyle w:val="Compact"/>
                    <w:jc w:val="right"/>
                    <w:jc w:val="center"/>
                  </w:pPr>
                  <w:r>
                    <w:t xml:space="preserve">0.07680</w:t>
                  </w:r>
                </w:p>
              </w:tc>
              <w:tc>
                <w:tcPr/>
                <w:p>
                  <w:pPr>
                    <w:pStyle w:val="Compact"/>
                    <w:jc w:val="right"/>
                    <w:jc w:val="center"/>
                  </w:pPr>
                  <w:r>
                    <w:t xml:space="preserve">NA</w:t>
                  </w:r>
                </w:p>
              </w:tc>
            </w:tr>
            <w:tr>
              <w:tc>
                <w:tcPr/>
                <w:p>
                  <w:pPr>
                    <w:pStyle w:val="Compact"/>
                    <w:jc w:val="left"/>
                    <w:jc w:val="center"/>
                  </w:pPr>
                  <w:r>
                    <w:t xml:space="preserve">E2a_locyear_random_intercept</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-0.00858</w:t>
                  </w:r>
                </w:p>
              </w:tc>
              <w:tc>
                <w:tcPr/>
                <w:p>
                  <w:pPr>
                    <w:pStyle w:val="Compact"/>
                    <w:jc w:val="right"/>
                    <w:jc w:val="center"/>
                  </w:pPr>
                  <w:r>
                    <w:t xml:space="preserve">0.00485</w:t>
                  </w:r>
                </w:p>
              </w:tc>
              <w:tc>
                <w:tcPr/>
                <w:p>
                  <w:pPr>
                    <w:pStyle w:val="Compact"/>
                    <w:jc w:val="right"/>
                    <w:jc w:val="center"/>
                  </w:pPr>
                  <w:r>
                    <w:t xml:space="preserve">-1.77</w:t>
                  </w:r>
                </w:p>
              </w:tc>
              <w:tc>
                <w:tcPr/>
                <w:p>
                  <w:pPr>
                    <w:pStyle w:val="Compact"/>
                    <w:jc w:val="right"/>
                    <w:jc w:val="center"/>
                  </w:pPr>
                  <w:r>
                    <w:t xml:space="preserve">0.07680</w:t>
                  </w:r>
                </w:p>
              </w:tc>
              <w:tc>
                <w:tcPr/>
                <w:p>
                  <w:pPr>
                    <w:pStyle w:val="Compact"/>
                    <w:jc w:val="right"/>
                    <w:jc w:val="center"/>
                  </w:pPr>
                  <w:r>
                    <w:t xml:space="preserve">NA</w:t>
                  </w:r>
                </w:p>
              </w:tc>
            </w:tr>
            <w:tr>
              <w:tc>
                <w:tcPr/>
                <w:p>
                  <w:pPr>
                    <w:pStyle w:val="Compact"/>
                    <w:jc w:val="left"/>
                    <w:jc w:val="center"/>
                  </w:pPr>
                  <w:r>
                    <w:t xml:space="preserve">E3_M3_adjusted_phylo</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0.01040</w:t>
                  </w:r>
                </w:p>
              </w:tc>
              <w:tc>
                <w:tcPr/>
                <w:p>
                  <w:pPr>
                    <w:pStyle w:val="Compact"/>
                    <w:jc w:val="right"/>
                    <w:jc w:val="center"/>
                  </w:pPr>
                  <w:r>
                    <w:t xml:space="preserve">0.19400</w:t>
                  </w:r>
                </w:p>
              </w:tc>
              <w:tc>
                <w:tcPr/>
                <w:p>
                  <w:pPr>
                    <w:pStyle w:val="Compact"/>
                    <w:jc w:val="right"/>
                    <w:jc w:val="center"/>
                  </w:pPr>
                  <w:r>
                    <w:t xml:space="preserve">0.05</w:t>
                  </w:r>
                </w:p>
              </w:tc>
              <w:tc>
                <w:tcPr/>
                <w:p>
                  <w:pPr>
                    <w:pStyle w:val="Compact"/>
                    <w:jc w:val="right"/>
                    <w:jc w:val="center"/>
                  </w:pPr>
                  <w:r>
                    <w:t xml:space="preserve">0.95700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dT</w:t>
                  </w:r>
                </w:p>
              </w:tc>
              <w:tc>
                <w:tcPr/>
                <w:p>
                  <w:pPr>
                    <w:pStyle w:val="Compact"/>
                    <w:jc w:val="right"/>
                    <w:jc w:val="center"/>
                  </w:pPr>
                  <w:r>
                    <w:t xml:space="preserve">0.11200</w:t>
                  </w:r>
                </w:p>
              </w:tc>
              <w:tc>
                <w:tcPr/>
                <w:p>
                  <w:pPr>
                    <w:pStyle w:val="Compact"/>
                    <w:jc w:val="right"/>
                    <w:jc w:val="center"/>
                  </w:pPr>
                  <w:r>
                    <w:t xml:space="preserve">0.19600</w:t>
                  </w:r>
                </w:p>
              </w:tc>
              <w:tc>
                <w:tcPr/>
                <w:p>
                  <w:pPr>
                    <w:pStyle w:val="Compact"/>
                    <w:jc w:val="right"/>
                    <w:jc w:val="center"/>
                  </w:pPr>
                  <w:r>
                    <w:t xml:space="preserve">0.57</w:t>
                  </w:r>
                </w:p>
              </w:tc>
              <w:tc>
                <w:tcPr/>
                <w:p>
                  <w:pPr>
                    <w:pStyle w:val="Compact"/>
                    <w:jc w:val="right"/>
                    <w:jc w:val="center"/>
                  </w:pPr>
                  <w:r>
                    <w:t xml:space="preserve">0.56800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wing length (mm)</w:t>
                  </w:r>
                </w:p>
              </w:tc>
              <w:tc>
                <w:tcPr/>
                <w:p>
                  <w:pPr>
                    <w:pStyle w:val="Compact"/>
                    <w:jc w:val="left"/>
                    <w:jc w:val="center"/>
                  </w:pPr>
                  <w:r>
                    <w:t xml:space="preserve">scaled_yr</w:t>
                  </w:r>
                </w:p>
              </w:tc>
              <w:tc>
                <w:tcPr/>
                <w:p>
                  <w:pPr>
                    <w:pStyle w:val="Compact"/>
                    <w:jc w:val="right"/>
                    <w:jc w:val="center"/>
                  </w:pPr>
                  <w:r>
                    <w:t xml:space="preserve">-0.29400</w:t>
                  </w:r>
                </w:p>
              </w:tc>
              <w:tc>
                <w:tcPr/>
                <w:p>
                  <w:pPr>
                    <w:pStyle w:val="Compact"/>
                    <w:jc w:val="right"/>
                    <w:jc w:val="center"/>
                  </w:pPr>
                  <w:r>
                    <w:t xml:space="preserve">0.20800</w:t>
                  </w:r>
                </w:p>
              </w:tc>
              <w:tc>
                <w:tcPr/>
                <w:p>
                  <w:pPr>
                    <w:pStyle w:val="Compact"/>
                    <w:jc w:val="right"/>
                    <w:jc w:val="center"/>
                  </w:pPr>
                  <w:r>
                    <w:t xml:space="preserve">-1.41</w:t>
                  </w:r>
                </w:p>
              </w:tc>
              <w:tc>
                <w:tcPr/>
                <w:p>
                  <w:pPr>
                    <w:pStyle w:val="Compact"/>
                    <w:jc w:val="right"/>
                    <w:jc w:val="center"/>
                  </w:pPr>
                  <w:r>
                    <w:t xml:space="preserve">0.15700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0.00485</w:t>
                  </w:r>
                </w:p>
              </w:tc>
              <w:tc>
                <w:tcPr/>
                <w:p>
                  <w:pPr>
                    <w:pStyle w:val="Compact"/>
                    <w:jc w:val="right"/>
                    <w:jc w:val="center"/>
                  </w:pPr>
                  <w:r>
                    <w:t xml:space="preserve">0.00680</w:t>
                  </w:r>
                </w:p>
              </w:tc>
              <w:tc>
                <w:tcPr/>
                <w:p>
                  <w:pPr>
                    <w:pStyle w:val="Compact"/>
                    <w:jc w:val="right"/>
                    <w:jc w:val="center"/>
                  </w:pPr>
                  <w:r>
                    <w:t xml:space="preserve">0.71</w:t>
                  </w:r>
                </w:p>
              </w:tc>
              <w:tc>
                <w:tcPr/>
                <w:p>
                  <w:pPr>
                    <w:pStyle w:val="Compact"/>
                    <w:jc w:val="right"/>
                    <w:jc w:val="center"/>
                  </w:pPr>
                  <w:r>
                    <w:t xml:space="preserve">0.47600</w:t>
                  </w:r>
                </w:p>
              </w:tc>
              <w:tc>
                <w:tcPr/>
                <w:p>
                  <w:pPr>
                    <w:pStyle w:val="Compact"/>
                    <w:jc w:val="right"/>
                    <w:jc w:val="center"/>
                  </w:pPr>
                  <w:r>
                    <w:t xml:space="preserve">38</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dT</w:t>
                  </w:r>
                </w:p>
              </w:tc>
              <w:tc>
                <w:tcPr/>
                <w:p>
                  <w:pPr>
                    <w:pStyle w:val="Compact"/>
                    <w:jc w:val="right"/>
                    <w:jc w:val="center"/>
                  </w:pPr>
                  <w:r>
                    <w:t xml:space="preserve">0.00596</w:t>
                  </w:r>
                </w:p>
              </w:tc>
              <w:tc>
                <w:tcPr/>
                <w:p>
                  <w:pPr>
                    <w:pStyle w:val="Compact"/>
                    <w:jc w:val="right"/>
                    <w:jc w:val="center"/>
                  </w:pPr>
                  <w:r>
                    <w:t xml:space="preserve">0.00686</w:t>
                  </w:r>
                </w:p>
              </w:tc>
              <w:tc>
                <w:tcPr/>
                <w:p>
                  <w:pPr>
                    <w:pStyle w:val="Compact"/>
                    <w:jc w:val="right"/>
                    <w:jc w:val="center"/>
                  </w:pPr>
                  <w:r>
                    <w:t xml:space="preserve">0.87</w:t>
                  </w:r>
                </w:p>
              </w:tc>
              <w:tc>
                <w:tcPr/>
                <w:p>
                  <w:pPr>
                    <w:pStyle w:val="Compact"/>
                    <w:jc w:val="right"/>
                    <w:jc w:val="center"/>
                  </w:pPr>
                  <w:r>
                    <w:t xml:space="preserve">0.38500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log body mass</w:t>
                  </w:r>
                </w:p>
              </w:tc>
              <w:tc>
                <w:tcPr/>
                <w:p>
                  <w:pPr>
                    <w:pStyle w:val="Compact"/>
                    <w:jc w:val="left"/>
                    <w:jc w:val="center"/>
                  </w:pPr>
                  <w:r>
                    <w:t xml:space="preserve">scaled_yr</w:t>
                  </w:r>
                </w:p>
              </w:tc>
              <w:tc>
                <w:tcPr/>
                <w:p>
                  <w:pPr>
                    <w:pStyle w:val="Compact"/>
                    <w:jc w:val="right"/>
                    <w:jc w:val="center"/>
                  </w:pPr>
                  <w:r>
                    <w:t xml:space="preserve">-0.00179</w:t>
                  </w:r>
                </w:p>
              </w:tc>
              <w:tc>
                <w:tcPr/>
                <w:p>
                  <w:pPr>
                    <w:pStyle w:val="Compact"/>
                    <w:jc w:val="right"/>
                    <w:jc w:val="center"/>
                  </w:pPr>
                  <w:r>
                    <w:t xml:space="preserve">0.00441</w:t>
                  </w:r>
                </w:p>
              </w:tc>
              <w:tc>
                <w:tcPr/>
                <w:p>
                  <w:pPr>
                    <w:pStyle w:val="Compact"/>
                    <w:jc w:val="right"/>
                    <w:jc w:val="center"/>
                  </w:pPr>
                  <w:r>
                    <w:t xml:space="preserve">-0.41</w:t>
                  </w:r>
                </w:p>
              </w:tc>
              <w:tc>
                <w:tcPr/>
                <w:p>
                  <w:pPr>
                    <w:pStyle w:val="Compact"/>
                    <w:jc w:val="right"/>
                    <w:jc w:val="center"/>
                  </w:pPr>
                  <w:r>
                    <w:t xml:space="preserve">0.68500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0.01170</w:t>
                  </w:r>
                </w:p>
              </w:tc>
              <w:tc>
                <w:tcPr/>
                <w:p>
                  <w:pPr>
                    <w:pStyle w:val="Compact"/>
                    <w:jc w:val="right"/>
                    <w:jc w:val="center"/>
                  </w:pPr>
                  <w:r>
                    <w:t xml:space="preserve">0.00993</w:t>
                  </w:r>
                </w:p>
              </w:tc>
              <w:tc>
                <w:tcPr/>
                <w:p>
                  <w:pPr>
                    <w:pStyle w:val="Compact"/>
                    <w:jc w:val="right"/>
                    <w:jc w:val="center"/>
                  </w:pPr>
                  <w:r>
                    <w:t xml:space="preserve">1.18</w:t>
                  </w:r>
                </w:p>
              </w:tc>
              <w:tc>
                <w:tcPr/>
                <w:p>
                  <w:pPr>
                    <w:pStyle w:val="Compact"/>
                    <w:jc w:val="right"/>
                    <w:jc w:val="center"/>
                  </w:pPr>
                  <w:r>
                    <w:t xml:space="preserve">0.23900</w:t>
                  </w:r>
                </w:p>
              </w:tc>
              <w:tc>
                <w:tcPr/>
                <w:p>
                  <w:pPr>
                    <w:pStyle w:val="Compact"/>
                    <w:jc w:val="right"/>
                    <w:jc w:val="center"/>
                  </w:pPr>
                  <w:r>
                    <w:t xml:space="preserve">48</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dT</w:t>
                  </w:r>
                </w:p>
              </w:tc>
              <w:tc>
                <w:tcPr/>
                <w:p>
                  <w:pPr>
                    <w:pStyle w:val="Compact"/>
                    <w:jc w:val="right"/>
                    <w:jc w:val="center"/>
                  </w:pPr>
                  <w:r>
                    <w:t xml:space="preserve">0.00945</w:t>
                  </w:r>
                </w:p>
              </w:tc>
              <w:tc>
                <w:tcPr/>
                <w:p>
                  <w:pPr>
                    <w:pStyle w:val="Compact"/>
                    <w:jc w:val="right"/>
                    <w:jc w:val="center"/>
                  </w:pPr>
                  <w:r>
                    <w:t xml:space="preserve">0.01010</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isometry contrast lnM-3lnL</w:t>
                  </w:r>
                </w:p>
              </w:tc>
              <w:tc>
                <w:tcPr/>
                <w:p>
                  <w:pPr>
                    <w:pStyle w:val="Compact"/>
                    <w:jc w:val="left"/>
                    <w:jc w:val="center"/>
                  </w:pPr>
                  <w:r>
                    <w:t xml:space="preserve">scaled_yr</w:t>
                  </w:r>
                </w:p>
              </w:tc>
              <w:tc>
                <w:tcPr/>
                <w:p>
                  <w:pPr>
                    <w:pStyle w:val="Compact"/>
                    <w:jc w:val="right"/>
                    <w:jc w:val="center"/>
                  </w:pPr>
                  <w:r>
                    <w:t xml:space="preserve">0.01120</w:t>
                  </w:r>
                </w:p>
              </w:tc>
              <w:tc>
                <w:tcPr/>
                <w:p>
                  <w:pPr>
                    <w:pStyle w:val="Compact"/>
                    <w:jc w:val="right"/>
                    <w:jc w:val="center"/>
                  </w:pPr>
                  <w:r>
                    <w:t xml:space="preserve">0.00696</w:t>
                  </w:r>
                </w:p>
              </w:tc>
              <w:tc>
                <w:tcPr/>
                <w:p>
                  <w:pPr>
                    <w:pStyle w:val="Compact"/>
                    <w:jc w:val="right"/>
                    <w:jc w:val="center"/>
                  </w:pPr>
                  <w:r>
                    <w:t xml:space="preserve">1.60</w:t>
                  </w:r>
                </w:p>
              </w:tc>
              <w:tc>
                <w:tcPr/>
                <w:p>
                  <w:pPr>
                    <w:pStyle w:val="Compact"/>
                    <w:jc w:val="right"/>
                    <w:jc w:val="center"/>
                  </w:pPr>
                  <w:r>
                    <w:t xml:space="preserve">0.10900</w:t>
                  </w:r>
                </w:p>
              </w:tc>
              <w:tc>
                <w:tcPr/>
                <w:p>
                  <w:pPr>
                    <w:pStyle w:val="Compact"/>
                    <w:jc w:val="right"/>
                    <w:jc w:val="center"/>
                  </w:pPr>
                  <w:r>
                    <w:t xml:space="preserve">50</w:t>
                  </w:r>
                </w:p>
              </w:tc>
            </w:tr>
            <w:tr>
              <w:tc>
                <w:tcPr/>
                <w:p>
                  <w:pPr>
                    <w:pStyle w:val="Compact"/>
                    <w:jc w:val="left"/>
                    <w:jc w:val="center"/>
                  </w:pPr>
                  <w:r>
                    <w:t xml:space="preserve">E3_M3_adjusted_phylo</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-0.00390</w:t>
                  </w:r>
                </w:p>
              </w:tc>
              <w:tc>
                <w:tcPr/>
                <w:p>
                  <w:pPr>
                    <w:pStyle w:val="Compact"/>
                    <w:jc w:val="right"/>
                    <w:jc w:val="center"/>
                  </w:pPr>
                  <w:r>
                    <w:t xml:space="preserve">0.00331</w:t>
                  </w:r>
                </w:p>
              </w:tc>
              <w:tc>
                <w:tcPr/>
                <w:p>
                  <w:pPr>
                    <w:pStyle w:val="Compact"/>
                    <w:jc w:val="right"/>
                    <w:jc w:val="center"/>
                  </w:pPr>
                  <w:r>
                    <w:t xml:space="preserve">-1.18</w:t>
                  </w:r>
                </w:p>
              </w:tc>
              <w:tc>
                <w:tcPr/>
                <w:p>
                  <w:pPr>
                    <w:pStyle w:val="Compact"/>
                    <w:jc w:val="right"/>
                    <w:jc w:val="center"/>
                  </w:pPr>
                  <w:r>
                    <w:t xml:space="preserve">0.23900</w:t>
                  </w:r>
                </w:p>
              </w:tc>
              <w:tc>
                <w:tcPr/>
                <w:p>
                  <w:pPr>
                    <w:pStyle w:val="Compact"/>
                    <w:jc w:val="right"/>
                    <w:jc w:val="center"/>
                  </w:pPr>
                  <w:r>
                    <w:t xml:space="preserve">47</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dT</w:t>
                  </w:r>
                </w:p>
              </w:tc>
              <w:tc>
                <w:tcPr/>
                <w:p>
                  <w:pPr>
                    <w:pStyle w:val="Compact"/>
                    <w:jc w:val="right"/>
                    <w:jc w:val="center"/>
                  </w:pPr>
                  <w:r>
                    <w:t xml:space="preserve">-0.00315</w:t>
                  </w:r>
                </w:p>
              </w:tc>
              <w:tc>
                <w:tcPr/>
                <w:p>
                  <w:pPr>
                    <w:pStyle w:val="Compact"/>
                    <w:jc w:val="right"/>
                    <w:jc w:val="center"/>
                  </w:pPr>
                  <w:r>
                    <w:t xml:space="preserve">0.00335</w:t>
                  </w:r>
                </w:p>
              </w:tc>
              <w:tc>
                <w:tcPr/>
                <w:p>
                  <w:pPr>
                    <w:pStyle w:val="Compact"/>
                    <w:jc w:val="right"/>
                    <w:jc w:val="center"/>
                  </w:pPr>
                  <w:r>
                    <w:t xml:space="preserve">-0.94</w:t>
                  </w:r>
                </w:p>
              </w:tc>
              <w:tc>
                <w:tcPr/>
                <w:p>
                  <w:pPr>
                    <w:pStyle w:val="Compact"/>
                    <w:jc w:val="right"/>
                    <w:jc w:val="center"/>
                  </w:pPr>
                  <w:r>
                    <w:t xml:space="preserve">0.34700</w:t>
                  </w:r>
                </w:p>
              </w:tc>
              <w:tc>
                <w:tcPr/>
                <w:p>
                  <w:pPr>
                    <w:pStyle w:val="Compact"/>
                    <w:jc w:val="right"/>
                    <w:jc w:val="center"/>
                  </w:pPr>
                  <w:r>
                    <w:t xml:space="preserve">50</w:t>
                  </w:r>
                </w:p>
              </w:tc>
            </w:tr>
            <w:tr>
              <w:tc>
                <w:tcPr/>
                <w:p>
                  <w:pPr>
                    <w:pStyle w:val="Compact"/>
                    <w:jc w:val="left"/>
                    <w:jc w:val="center"/>
                  </w:pPr>
                  <w:r>
                    <w:t xml:space="preserve">E3b_M3_adjusted_phylo_plus_year</w:t>
                  </w:r>
                </w:p>
              </w:tc>
              <w:tc>
                <w:tcPr/>
                <w:p>
                  <w:pPr>
                    <w:pStyle w:val="Compact"/>
                    <w:jc w:val="left"/>
                    <w:jc w:val="center"/>
                  </w:pPr>
                  <w:r>
                    <w:t xml:space="preserve">relative wing lnL-(1/3)lnM</w:t>
                  </w:r>
                </w:p>
              </w:tc>
              <w:tc>
                <w:tcPr/>
                <w:p>
                  <w:pPr>
                    <w:pStyle w:val="Compact"/>
                    <w:jc w:val="left"/>
                    <w:jc w:val="center"/>
                  </w:pPr>
                  <w:r>
                    <w:t xml:space="preserve">scaled_yr</w:t>
                  </w:r>
                </w:p>
              </w:tc>
              <w:tc>
                <w:tcPr/>
                <w:p>
                  <w:pPr>
                    <w:pStyle w:val="Compact"/>
                    <w:jc w:val="right"/>
                    <w:jc w:val="center"/>
                  </w:pPr>
                  <w:r>
                    <w:t xml:space="preserve">-0.00372</w:t>
                  </w:r>
                </w:p>
              </w:tc>
              <w:tc>
                <w:tcPr/>
                <w:p>
                  <w:pPr>
                    <w:pStyle w:val="Compact"/>
                    <w:jc w:val="right"/>
                    <w:jc w:val="center"/>
                  </w:pPr>
                  <w:r>
                    <w:t xml:space="preserve">0.00232</w:t>
                  </w:r>
                </w:p>
              </w:tc>
              <w:tc>
                <w:tcPr/>
                <w:p>
                  <w:pPr>
                    <w:pStyle w:val="Compact"/>
                    <w:jc w:val="right"/>
                    <w:jc w:val="center"/>
                  </w:pPr>
                  <w:r>
                    <w:t xml:space="preserve">-1.60</w:t>
                  </w:r>
                </w:p>
              </w:tc>
              <w:tc>
                <w:tcPr/>
                <w:p>
                  <w:pPr>
                    <w:pStyle w:val="Compact"/>
                    <w:jc w:val="right"/>
                    <w:jc w:val="center"/>
                  </w:pPr>
                  <w:r>
                    <w:t xml:space="preserve">0.10900</w:t>
                  </w:r>
                </w:p>
              </w:tc>
              <w:tc>
                <w:tcPr/>
                <w:p>
                  <w:pPr>
                    <w:pStyle w:val="Compact"/>
                    <w:jc w:val="right"/>
                    <w:jc w:val="center"/>
                  </w:pPr>
                  <w:r>
                    <w:t xml:space="preserve">50</w:t>
                  </w:r>
                </w:p>
              </w:tc>
            </w:tr>
          </w:tbl>
          <w:bookmarkEnd w:id="28"/>
          <w:p/>
        </w:tc>
      </w:tr>
    </w:tbl>
    <w:p>
      <w:pPr>
        <w:pStyle w:val="BodyText"/>
      </w:pPr>
      <w:r>
        <w:t xml:space="preserve">In every specification containing both terms, calendar year carries the signal and the anomaly does not. We did not use a cluster-robust variance estimator: the random-effects structure is non-nested, which available implementations (</w:t>
      </w:r>
      <w:r>
        <w:rPr>
          <w:rStyle w:val="VerbatimChar"/>
        </w:rPr>
        <w:t xml:space="preserve">clubSandwich</w:t>
      </w:r>
      <w:r>
        <w:t xml:space="preserve"> </w:t>
      </w:r>
      <w:r>
        <w:t xml:space="preserve">CR2) do not support, so locality-year clustering is handled with a random intercept instead.</w:t>
      </w:r>
    </w:p>
    <w:p>
      <w:pPr>
        <w:pStyle w:val="BodyText"/>
      </w:pPr>
      <w:r>
        <w:t xml:space="preserve">A further caveat is one of exposure window rather than statistics. Wing length is fixed at moult, so the mean temperature of the calendar year in which a bird happened to be captured is not a plausible causal exposure for its wing length. Any thermal mechanism would have to operate during feather growth, which these data cannot resolve.</w:t>
      </w:r>
    </w:p>
    <w:bookmarkEnd w:id="29"/>
    <w:bookmarkEnd w:id="30"/>
    <w:bookmarkStart w:id="33" w:name="supplementary-tables"/>
    <w:p>
      <w:pPr>
        <w:pStyle w:val="Heading1"/>
      </w:pPr>
      <w:r>
        <w:t xml:space="preserve">2. Supplementary Tables</w:t>
      </w:r>
    </w:p>
    <w:tbl>
      <w:tblPr>
        <w:tblStyle w:val="Table"/>
        <w:tblW w:type="pct" w:w="5000"/>
        <w:tblLayout w:type="fixed"/>
        <w:tblLook w:firstRow="0" w:lastRow="0" w:firstColumn="0" w:lastColumn="0" w:noHBand="0" w:noVBand="0" w:val="0000"/>
      </w:tblPr>
      <w:tblGrid>
        <w:gridCol w:w="7920"/>
      </w:tblGrid>
      <w:tr>
        <w:tc>
          <w:tcPr/>
          <w:bookmarkStart w:id="31" w:name="tbl-s-wing"/>
          <w:p>
            <w:pPr>
              <w:jc w:val="center"/>
            </w:pPr>
            <w:pPr>
              <w:jc w:val="left"/>
              <w:spacing w:before="200"/>
              <w:pStyle w:val="ImageCaption"/>
            </w:pPr>
            <w:r>
              <w:t xml:space="preserve">Table 2:</w:t>
            </w:r>
            <w:r>
              <w:t xml:space="preserve"> </w:t>
            </w:r>
            <w:r>
              <w:rPr>
                <w:b/>
                <w:bCs/>
              </w:rPr>
              <w:t xml:space="preserve">Supplementary Table S1.</w:t>
            </w:r>
            <w:r>
              <w:t xml:space="preserve"> </w:t>
            </w:r>
            <w:r>
              <w:t xml:space="preserve">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264"/>
              <w:gridCol w:w="990"/>
              <w:gridCol w:w="1142"/>
              <w:gridCol w:w="1066"/>
              <w:gridCol w:w="456"/>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Contributor intercept (Main_researcher)</w:t>
                  </w:r>
                </w:p>
              </w:tc>
              <w:tc>
                <w:tcPr/>
                <w:p>
                  <w:pPr>
                    <w:pStyle w:val="Compact"/>
                    <w:jc w:val="left"/>
                    <w:jc w:val="center"/>
                  </w:pPr>
                  <w:r>
                    <w:t xml:space="preserve">−0.68</w:t>
                  </w:r>
                </w:p>
              </w:tc>
              <w:tc>
                <w:tcPr/>
                <w:p>
                  <w:pPr>
                    <w:pStyle w:val="Compact"/>
                    <w:jc w:val="left"/>
                    <w:jc w:val="center"/>
                  </w:pPr>
                  <w:r>
                    <w:t xml:space="preserve">[−1.08, −0.28]</w:t>
                  </w:r>
                </w:p>
              </w:tc>
              <w:tc>
                <w:tcPr/>
                <w:p>
                  <w:pPr>
                    <w:pStyle w:val="Compact"/>
                    <w:jc w:val="left"/>
                    <w:jc w:val="center"/>
                  </w:pPr>
                  <w:r>
                    <w:t xml:space="preserve">−1.4</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Within-contributor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3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 w:name="tbl-s-mass"/>
          <w:p>
            <w:pPr>
              <w:jc w:val="center"/>
            </w:pPr>
            <w:pPr>
              <w:jc w:val="left"/>
              <w:spacing w:before="200"/>
              <w:pStyle w:val="ImageCaption"/>
            </w:pPr>
            <w:r>
              <w:t xml:space="preserve">Table 3:</w:t>
            </w:r>
            <w:r>
              <w:t xml:space="preserve"> </w:t>
            </w:r>
            <w:r>
              <w:rPr>
                <w:b/>
                <w:bCs/>
              </w:rPr>
              <w:t xml:space="preserve">Supplementary Table S2.</w:t>
            </w:r>
            <w:r>
              <w:t xml:space="preserve"> </w:t>
            </w:r>
            <w:r>
              <w:t xml:space="preserve">Body mass temporal models across control tiers (REML check on the Bayesian estimates,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Contributor intercept)</w:t>
                  </w:r>
                </w:p>
              </w:tc>
              <w:tc>
                <w:tcPr/>
                <w:p>
                  <w:pPr>
                    <w:pStyle w:val="Compact"/>
                    <w:jc w:val="left"/>
                    <w:jc w:val="center"/>
                  </w:pPr>
                  <w:r>
                    <w:t xml:space="preserve">−0.0063</w:t>
                  </w:r>
                </w:p>
              </w:tc>
              <w:tc>
                <w:tcPr/>
                <w:p>
                  <w:pPr>
                    <w:pStyle w:val="Compact"/>
                    <w:jc w:val="left"/>
                    <w:jc w:val="center"/>
                  </w:pPr>
                  <w:r>
                    <w:t xml:space="preserve">[−0.0160, 0.0034]</w:t>
                  </w:r>
                </w:p>
              </w:tc>
              <w:tc>
                <w:tcPr/>
                <w:p>
                  <w:pPr>
                    <w:pStyle w:val="Compact"/>
                    <w:jc w:val="left"/>
                    <w:jc w:val="center"/>
                  </w:pPr>
                  <w:r>
                    <w:t xml:space="preserve">−1.3%</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within-contributor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bl>
          <w:bookmarkEnd w:id="32"/>
          <w:p/>
        </w:tc>
      </w:tr>
    </w:tbl>
    <w:bookmarkEnd w:id="33"/>
    <w:bookmarkStart w:id="49" w:name="references"/>
    <w:p>
      <w:pPr>
        <w:pStyle w:val="Heading1"/>
      </w:pPr>
      <w:r>
        <w:t xml:space="preserve">References</w:t>
      </w:r>
    </w:p>
    <w:bookmarkStart w:id="48" w:name="refs"/>
    <w:bookmarkStart w:id="35"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34">
        <w:r>
          <w:rPr>
            <w:rStyle w:val="Hyperlink"/>
          </w:rPr>
          <w:t xml:space="preserve">https://doi.org/10.1007/s11135-018-0802-x</w:t>
        </w:r>
      </w:hyperlink>
      <w:r>
        <w:t xml:space="preserve">.</w:t>
      </w:r>
    </w:p>
    <w:bookmarkEnd w:id="35"/>
    <w:bookmarkStart w:id="37" w:name="ref-harris2020crudata"/>
    <w:p>
      <w:pPr>
        <w:pStyle w:val="Bibliography"/>
      </w:pPr>
      <w:r>
        <w:t xml:space="preserve">Harris, Ian, Timothy J. Osborn, Phil Jones, and David Lister. 2020.</w:t>
      </w:r>
      <w:r>
        <w:t xml:space="preserve"> </w:t>
      </w:r>
      <w:r>
        <w:t xml:space="preserve">“Version 4 of the</w:t>
      </w:r>
      <w:r>
        <w:t xml:space="preserve"> </w:t>
      </w:r>
      <w:r>
        <w:t xml:space="preserve">CRU TS</w:t>
      </w:r>
      <w:r>
        <w:t xml:space="preserve"> </w:t>
      </w:r>
      <w:r>
        <w:t xml:space="preserve">Monthly High-Resolution Gridded Multivariate Climate Dataset.”</w:t>
      </w:r>
      <w:r>
        <w:t xml:space="preserve"> </w:t>
      </w:r>
      <w:r>
        <w:rPr>
          <w:i/>
          <w:iCs/>
        </w:rPr>
        <w:t xml:space="preserve">Scientific Data</w:t>
      </w:r>
      <w:r>
        <w:t xml:space="preserve"> </w:t>
      </w:r>
      <w:r>
        <w:t xml:space="preserve">7 (1): 109.</w:t>
      </w:r>
      <w:r>
        <w:t xml:space="preserve"> </w:t>
      </w:r>
      <w:hyperlink r:id="rId36">
        <w:r>
          <w:rPr>
            <w:rStyle w:val="Hyperlink"/>
          </w:rPr>
          <w:t xml:space="preserve">https://doi.org/10.1038/s41597-020-0453-3</w:t>
        </w:r>
      </w:hyperlink>
      <w:r>
        <w:t xml:space="preserve">.</w:t>
      </w:r>
    </w:p>
    <w:bookmarkEnd w:id="37"/>
    <w:bookmarkStart w:id="39"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38">
        <w:r>
          <w:rPr>
            <w:rStyle w:val="Hyperlink"/>
          </w:rPr>
          <w:t xml:space="preserve">https://doi.org/10.2307/1913646</w:t>
        </w:r>
      </w:hyperlink>
      <w:r>
        <w:t xml:space="preserve">.</w:t>
      </w:r>
    </w:p>
    <w:bookmarkEnd w:id="39"/>
    <w:bookmarkStart w:id="41"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40">
        <w:r>
          <w:rPr>
            <w:rStyle w:val="Hyperlink"/>
          </w:rPr>
          <w:t xml:space="preserve">https://doi.org/10.1111/2041-210X.12309</w:t>
        </w:r>
      </w:hyperlink>
      <w:r>
        <w:t xml:space="preserve">.</w:t>
      </w:r>
    </w:p>
    <w:bookmarkEnd w:id="41"/>
    <w:bookmarkStart w:id="43"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42">
        <w:r>
          <w:rPr>
            <w:rStyle w:val="Hyperlink"/>
          </w:rPr>
          <w:t xml:space="preserve">https://doi.org/10.1002/ecy.2647</w:t>
        </w:r>
      </w:hyperlink>
      <w:r>
        <w:t xml:space="preserve">.</w:t>
      </w:r>
    </w:p>
    <w:bookmarkEnd w:id="43"/>
    <w:bookmarkStart w:id="45"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44">
        <w:r>
          <w:rPr>
            <w:rStyle w:val="Hyperlink"/>
          </w:rPr>
          <w:t xml:space="preserve">https://doi.org/10.18637/jss.v036.i03</w:t>
        </w:r>
      </w:hyperlink>
      <w:r>
        <w:t xml:space="preserve">.</w:t>
      </w:r>
    </w:p>
    <w:bookmarkEnd w:id="45"/>
    <w:bookmarkStart w:id="47"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46">
        <w:r>
          <w:rPr>
            <w:rStyle w:val="Hyperlink"/>
          </w:rPr>
          <w:t xml:space="preserve">https://doi.org/10.1111/ele.13434</w:t>
        </w:r>
      </w:hyperlink>
      <w:r>
        <w:t xml:space="preserve">.</w:t>
      </w:r>
    </w:p>
    <w:bookmarkEnd w:id="47"/>
    <w:bookmarkEnd w:id="48"/>
    <w:bookmarkEnd w:id="49"/>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_rels/footnotes.xml.rels><?xml version="1.0" encoding="UTF-8"?><Relationships xmlns="http://schemas.openxmlformats.org/package/2006/relationships"><Relationship Type="http://schemas.openxmlformats.org/officeDocument/2006/relationships/hyperlink" Id="rId42" Target="https://doi.org/10.1002/ecy.2647" TargetMode="External" /><Relationship Type="http://schemas.openxmlformats.org/officeDocument/2006/relationships/hyperlink" Id="rId34" Target="https://doi.org/10.1007/s11135-018-0802-x" TargetMode="External" /><Relationship Type="http://schemas.openxmlformats.org/officeDocument/2006/relationships/hyperlink" Id="rId36" Target="https://doi.org/10.1038/s41597-020-0453-3" TargetMode="External" /><Relationship Type="http://schemas.openxmlformats.org/officeDocument/2006/relationships/hyperlink" Id="rId40" Target="https://doi.org/10.1111/2041-210X.12309" TargetMode="External" /><Relationship Type="http://schemas.openxmlformats.org/officeDocument/2006/relationships/hyperlink" Id="rId46" Target="https://doi.org/10.1111/ele.13434" TargetMode="External" /><Relationship Type="http://schemas.openxmlformats.org/officeDocument/2006/relationships/hyperlink" Id="rId44" Target="https://doi.org/10.18637/jss.v036.i03" TargetMode="External" /><Relationship Type="http://schemas.openxmlformats.org/officeDocument/2006/relationships/hyperlink" Id="rId38" Target="https://doi.org/10.2307/19136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Morphological stability and subtle phenotypic shifts in Atlantic Forest birds across two decades of climate warming</dc:title>
  <dc:creator>Eduardo S.A. Santos; Ayumi Mizuno; Santiago Ortega; Gustavo Burin</dc:creator>
  <cp:keywords/>
  <dcterms:created xsi:type="dcterms:W3CDTF">2026-09-25T15:30:40Z</dcterms:created>
  <dcterms:modified xsi:type="dcterms:W3CDTF">2026-09-25T15:30:40Z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