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ce1d309c875109f494315ce3bbe05e5f0ca98"/>
      <w:r>
        <w:t xml:space="preserve">Revisão da dissertação — o que atualizar nos Métodos, Resultados e Discussão</w:t>
      </w:r>
      <w:bookmarkEnd w:id="20"/>
    </w:p>
    <w:p>
      <w:pPr>
        <w:pStyle w:val="FirstParagraph"/>
      </w:pPr>
      <w:r>
        <w:rPr>
          <w:b/>
        </w:rPr>
        <w:t xml:space="preserve">Versão revisada:</w:t>
      </w:r>
      <w:r>
        <w:t xml:space="preserve"> </w:t>
      </w:r>
      <w:r>
        <w:rPr>
          <w:rStyle w:val="VerbatimChar"/>
        </w:rPr>
        <w:t xml:space="preserve">manuscript/Dissertação 15 Jun 26 revisto Galletta.pdf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15/06/2026</w:t>
      </w:r>
      <w:r>
        <w:t xml:space="preserve"> </w:t>
      </w:r>
      <w:r>
        <w:rPr>
          <w:b/>
        </w:rPr>
        <w:t xml:space="preserve">Motivo:</w:t>
      </w:r>
      <w:r>
        <w:t xml:space="preserve"> </w:t>
      </w:r>
      <w:r>
        <w:t xml:space="preserve">alinhar a dissertação à migração</w:t>
      </w:r>
      <w:r>
        <w:t xml:space="preserve"> </w:t>
      </w:r>
      <w:r>
        <w:rPr>
          <w:b/>
        </w:rPr>
        <w:t xml:space="preserve">Odds Ratio (OR) → Razão de Prevalência (PR)</w:t>
      </w:r>
      <w:r>
        <w:t xml:space="preserve"> </w:t>
      </w:r>
      <w:r>
        <w:t xml:space="preserve">decidida pelo orientador (ver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). A análise multivariada já foi</w:t>
      </w:r>
      <w:r>
        <w:t xml:space="preserve"> </w:t>
      </w:r>
      <w:r>
        <w:t xml:space="preserve">reprocessada em PR (Poisson robusto; Zou, 2004);</w:t>
      </w:r>
      <w:r>
        <w:t xml:space="preserve"> </w:t>
      </w:r>
      <w:r>
        <w:rPr>
          <w:b/>
        </w:rPr>
        <w:t xml:space="preserve">falta refletir isso no texto da</w:t>
      </w:r>
      <w:r>
        <w:rPr>
          <w:b/>
        </w:rPr>
        <w:t xml:space="preserve"> </w:t>
      </w:r>
      <w:r>
        <w:rPr>
          <w:b/>
        </w:rPr>
        <w:t xml:space="preserve">dissertação.</w:t>
      </w:r>
    </w:p>
    <w:p>
      <w:pPr>
        <w:pStyle w:val="BlockText"/>
      </w:pPr>
      <w:r>
        <w:rPr>
          <w:b/>
        </w:rPr>
        <w:t xml:space="preserve">Resumo em uma frase:</w:t>
      </w:r>
      <w:r>
        <w:t xml:space="preserve"> </w:t>
      </w:r>
      <w:r>
        <w:t xml:space="preserve">a direção e a significância de todos os achados continuam</w:t>
      </w:r>
      <w:r>
        <w:t xml:space="preserve"> </w:t>
      </w:r>
      <w:r>
        <w:t xml:space="preserve">iguais — só muda a</w:t>
      </w:r>
      <w:r>
        <w:t xml:space="preserve"> </w:t>
      </w:r>
      <w:r>
        <w:rPr>
          <w:b/>
        </w:rPr>
        <w:t xml:space="preserve">medida</w:t>
      </w:r>
      <w:r>
        <w:t xml:space="preserve"> </w:t>
      </w:r>
      <w:r>
        <w:t xml:space="preserve">(de OR para PR) e, portanto, a</w:t>
      </w:r>
      <w:r>
        <w:t xml:space="preserve"> </w:t>
      </w:r>
      <w:r>
        <w:rPr>
          <w:b/>
        </w:rPr>
        <w:t xml:space="preserve">magnitude</w:t>
      </w:r>
      <w:r>
        <w:t xml:space="preserve"> </w:t>
      </w:r>
      <w:r>
        <w:t xml:space="preserve">e a</w:t>
      </w:r>
      <w:r>
        <w:t xml:space="preserve"> </w:t>
      </w:r>
      <w:r>
        <w:rPr>
          <w:b/>
        </w:rPr>
        <w:t xml:space="preserve">forma de descrever</w:t>
      </w:r>
      <w:r>
        <w:t xml:space="preserve"> </w:t>
      </w:r>
      <w:r>
        <w:t xml:space="preserve">os efeitos. O achado central (idade adulta = fator de risco</w:t>
      </w:r>
      <w:r>
        <w:t xml:space="preserve"> </w:t>
      </w:r>
      <w:r>
        <w:t xml:space="preserve">independente para cesárea) permanece intacto.</w:t>
      </w:r>
    </w:p>
    <w:p>
      <w:pPr>
        <w:pStyle w:val="FirstParagraph"/>
      </w:pPr>
      <w:r>
        <w:t xml:space="preserve">Fonte canônica dos números novos:</w:t>
      </w:r>
      <w:r>
        <w:t xml:space="preserve"> </w:t>
      </w:r>
      <w:r>
        <w:rPr>
          <w:rStyle w:val="VerbatimChar"/>
        </w:rPr>
        <w:t xml:space="preserve">results/tabelas_dissertacao/tab10b_comparacao_modelo4_r_vs_spss.csv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), idêntica à Seção 2 de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</w:rPr>
        <w:t xml:space="preserve">Lê:</w:t>
      </w:r>
      <w:r>
        <w:t xml:space="preserve"> </w:t>
      </w:r>
      <w:r>
        <w:t xml:space="preserve">se quiser entender o que cada teste estatístico faz antes de mexer no</w:t>
      </w:r>
      <w:r>
        <w:t xml:space="preserve"> </w:t>
      </w:r>
      <w:r>
        <w:t xml:space="preserve">texto, comece pela</w:t>
      </w:r>
      <w:r>
        <w:t xml:space="preserve"> </w:t>
      </w:r>
      <w:r>
        <w:rPr>
          <w:b/>
        </w:rPr>
        <w:t xml:space="preserve">Seção 7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Para a Lê: os testes estatísticos em linguagem</w:t>
      </w:r>
      <w:r>
        <w:rPr>
          <w:b/>
        </w:rPr>
        <w:t xml:space="preserve"> </w:t>
      </w:r>
      <w:r>
        <w:rPr>
          <w:b/>
        </w:rPr>
        <w:t xml:space="preserve">simples</w:t>
      </w:r>
      <w:r>
        <w:rPr>
          <w:b/>
        </w:rPr>
        <w:t xml:space="preserve">”</w:t>
      </w:r>
      <w:r>
        <w:t xml:space="preserve"> </w:t>
      </w:r>
      <w:r>
        <w:t xml:space="preserve">(no fim deste documento).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métodos-seção-4-análise-estatística"/>
      <w:r>
        <w:t xml:space="preserve">1. Métodos (Seção 4 — Análise estatística)</w:t>
      </w:r>
      <w:bookmarkEnd w:id="21"/>
    </w:p>
    <w:p>
      <w:pPr>
        <w:pStyle w:val="FirstParagraph"/>
      </w:pPr>
      <w:r>
        <w:rPr>
          <w:b/>
        </w:rPr>
        <w:t xml:space="preserve">Trecho atual (parágrafo da análise multivariada):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fim de identificar os fatores independentemente associados à ocorrência de</w:t>
      </w:r>
      <w:r>
        <w:t xml:space="preserve"> </w:t>
      </w:r>
      <w:r>
        <w:t xml:space="preserve">&gt; nascimento por cesariana, foram construídos e avaliados quatro modelos de</w:t>
      </w:r>
      <w:r>
        <w:t xml:space="preserve"> </w:t>
      </w:r>
      <w:r>
        <w:t xml:space="preserve">&gt;</w:t>
      </w:r>
      <w:r>
        <w:t xml:space="preserve"> </w:t>
      </w:r>
      <w:r>
        <w:rPr>
          <w:b/>
        </w:rPr>
        <w:t xml:space="preserve">regressão logística múltipla</w:t>
      </w:r>
      <w:r>
        <w:t xml:space="preserve">. (…) O Modelo 4 (Sugestão 4) ajustou</w:t>
      </w:r>
      <w:r>
        <w:t xml:space="preserve"> </w:t>
      </w:r>
      <w:r>
        <w:t xml:space="preserve">&gt; simultaneamente a faixa etária, síndromes hipertensivas obstétricas e os grupos</w:t>
      </w:r>
      <w:r>
        <w:t xml:space="preserve"> </w:t>
      </w:r>
      <w:r>
        <w:t xml:space="preserve">&gt; de Robson reduzidos, tendo como categoria de referência o Grupo 1.</w:t>
      </w:r>
      <w:r>
        <w:t xml:space="preserve">”</w:t>
      </w:r>
    </w:p>
    <w:p>
      <w:pPr>
        <w:pStyle w:val="BodyText"/>
      </w:pPr>
      <w:r>
        <w:rPr>
          <w:b/>
        </w:rPr>
        <w:t xml:space="preserve">O que mudar:</w:t>
      </w:r>
      <w:r>
        <w:t xml:space="preserve"> </w:t>
      </w:r>
      <w:r>
        <w:t xml:space="preserve">acrescentar que a</w:t>
      </w:r>
      <w:r>
        <w:t xml:space="preserve"> </w:t>
      </w:r>
      <w:r>
        <w:rPr>
          <w:b/>
        </w:rPr>
        <w:t xml:space="preserve">medida de efeito reportada é a Razão de</w:t>
      </w:r>
      <w:r>
        <w:rPr>
          <w:b/>
        </w:rPr>
        <w:t xml:space="preserve"> </w:t>
      </w:r>
      <w:r>
        <w:rPr>
          <w:b/>
        </w:rPr>
        <w:t xml:space="preserve">Prevalência (PR)</w:t>
      </w:r>
      <w:r>
        <w:t xml:space="preserve">, não o Odds Ratio, e por quê. Sugestão de redação para inserir ao</w:t>
      </w:r>
      <w:r>
        <w:t xml:space="preserve"> </w:t>
      </w:r>
      <w:r>
        <w:t xml:space="preserve">final do parágrafo:</w:t>
      </w:r>
    </w:p>
    <w:p>
      <w:pPr>
        <w:pStyle w:val="BlockText"/>
      </w:pPr>
      <w:r>
        <w:t xml:space="preserve">“</w:t>
      </w:r>
      <w:r>
        <w:t xml:space="preserve">Como a cesárea é um desfecho de</w:t>
      </w:r>
      <w:r>
        <w:t xml:space="preserve"> </w:t>
      </w:r>
      <w:r>
        <w:rPr>
          <w:b/>
        </w:rPr>
        <w:t xml:space="preserve">alta prevalência</w:t>
      </w:r>
      <w:r>
        <w:t xml:space="preserve"> </w:t>
      </w:r>
      <w:r>
        <w:t xml:space="preserve">nesta coorte (~56%), o Odds</w:t>
      </w:r>
      <w:r>
        <w:t xml:space="preserve"> </w:t>
      </w:r>
      <w:r>
        <w:t xml:space="preserve">Ratio superestimaria a magnitude das associações. Por isso, a medida de efeito</w:t>
      </w:r>
      <w:r>
        <w:t xml:space="preserve"> </w:t>
      </w:r>
      <w:r>
        <w:t xml:space="preserve">reportada é a</w:t>
      </w:r>
      <w:r>
        <w:t xml:space="preserve"> </w:t>
      </w:r>
      <w:r>
        <w:rPr>
          <w:b/>
        </w:rPr>
        <w:t xml:space="preserve">Razão de Prevalência (PR)</w:t>
      </w:r>
      <w:r>
        <w:t xml:space="preserve">, estimada por</w:t>
      </w:r>
      <w:r>
        <w:t xml:space="preserve"> </w:t>
      </w:r>
      <w:r>
        <w:rPr>
          <w:b/>
        </w:rPr>
        <w:t xml:space="preserve">regressão de Poisson com</w:t>
      </w:r>
      <w:r>
        <w:rPr>
          <w:b/>
        </w:rPr>
        <w:t xml:space="preserve"> </w:t>
      </w:r>
      <w:r>
        <w:rPr>
          <w:b/>
        </w:rPr>
        <w:t xml:space="preserve">variância robusta</w:t>
      </w:r>
      <w:r>
        <w:t xml:space="preserve"> </w:t>
      </w:r>
      <w:r>
        <w:t xml:space="preserve">(</w:t>
      </w:r>
      <w:r>
        <w:rPr>
          <w:i/>
        </w:rPr>
        <w:t xml:space="preserve">modified Poisson</w:t>
      </w:r>
      <w:r>
        <w:t xml:space="preserve">; Zou, 2004), na qual o coeficiente</w:t>
      </w:r>
      <w:r>
        <w:t xml:space="preserve"> </w:t>
      </w:r>
      <w:r>
        <w:t xml:space="preserve">exponenciado estima diretamente o PR. As estimativas e os intervalos de confiança</w:t>
      </w:r>
      <w:r>
        <w:t xml:space="preserve"> </w:t>
      </w:r>
      <w:r>
        <w:t xml:space="preserve">de 95% do Modelo 4 foram obtidos no software R; os critérios de seleção do modelo</w:t>
      </w:r>
      <w:r>
        <w:t xml:space="preserve"> </w:t>
      </w:r>
      <w:r>
        <w:t xml:space="preserve">(calibração de Hosmer-Lemeshow) foram avaliados sobre o ajuste logístico</w:t>
      </w:r>
      <w:r>
        <w:t xml:space="preserve"> </w:t>
      </w:r>
      <w:r>
        <w:t xml:space="preserve">correspondente.</w:t>
      </w:r>
      <w:r>
        <w:t xml:space="preserve">”</w:t>
      </w:r>
    </w:p>
    <w:p>
      <w:pPr>
        <w:pStyle w:val="FirstParagraph"/>
      </w:pPr>
      <w:r>
        <w:rPr>
          <w:b/>
        </w:rPr>
        <w:t xml:space="preserve">Atenção adicional:</w:t>
      </w:r>
      <w:r>
        <w:t xml:space="preserve"> </w:t>
      </w:r>
      <w:r>
        <w:t xml:space="preserve">o parágrafo anterior diz que</w:t>
      </w:r>
      <w:r>
        <w:t xml:space="preserve"> </w:t>
      </w:r>
      <w:r>
        <w:t xml:space="preserve">“</w:t>
      </w:r>
      <w:r>
        <w:t xml:space="preserve">as análises estatísticas foram</w:t>
      </w:r>
      <w:r>
        <w:t xml:space="preserve"> </w:t>
      </w:r>
      <w:r>
        <w:t xml:space="preserve">realizadas no software SPSS</w:t>
      </w:r>
      <w:r>
        <w:t xml:space="preserve">”</w:t>
      </w:r>
      <w:r>
        <w:t xml:space="preserve">. Isso continua válido para as análises descritivas e os</w:t>
      </w:r>
      <w:r>
        <w:t xml:space="preserve"> </w:t>
      </w:r>
      <w:r>
        <w:t xml:space="preserve">testes bivariados, mas o</w:t>
      </w:r>
      <w:r>
        <w:t xml:space="preserve"> </w:t>
      </w:r>
      <w:r>
        <w:rPr>
          <w:b/>
        </w:rPr>
        <w:t xml:space="preserve">Modelo 4 (medida de efeito PR) foi estimado no R</w:t>
      </w:r>
      <w:r>
        <w:t xml:space="preserve">. Vale</w:t>
      </w:r>
      <w:r>
        <w:t xml:space="preserve"> </w:t>
      </w:r>
      <w:r>
        <w:t xml:space="preserve">deixar essa distinção explícita para não haver contradição na banca.</w:t>
      </w:r>
    </w:p>
    <w:p>
      <w:pPr>
        <w:pStyle w:val="BodyText"/>
      </w:pPr>
      <w:r>
        <w:rPr>
          <w:b/>
        </w:rPr>
        <w:t xml:space="preserve">Referência a incluir na bibliografia:</w:t>
      </w:r>
      <w:r>
        <w:t xml:space="preserve"> </w:t>
      </w:r>
      <w:r>
        <w:t xml:space="preserve">Zou G.</w:t>
      </w:r>
      <w:r>
        <w:t xml:space="preserve"> </w:t>
      </w:r>
      <w:r>
        <w:rPr>
          <w:i/>
        </w:rPr>
        <w:t xml:space="preserve">A modified Poisson regression</w:t>
      </w:r>
      <w:r>
        <w:rPr>
          <w:i/>
        </w:rPr>
        <w:t xml:space="preserve"> </w:t>
      </w:r>
      <w:r>
        <w:rPr>
          <w:i/>
        </w:rPr>
        <w:t xml:space="preserve">approach to prospective studies with binary data.</w:t>
      </w:r>
      <w:r>
        <w:t xml:space="preserve"> </w:t>
      </w:r>
      <w:r>
        <w:t xml:space="preserve">Am J Epidemiol. 2004;159(7):702–706.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567470781477294e52bdbc87339fd15f155474b"/>
      <w:r>
        <w:t xml:space="preserve">2. Resultados (Seção 5.5 — Fatores associados à cesárea)</w:t>
      </w:r>
      <w:bookmarkEnd w:id="22"/>
    </w:p>
    <w:p>
      <w:pPr>
        <w:pStyle w:val="Heading3"/>
      </w:pPr>
      <w:bookmarkStart w:id="23" w:name="tabela-10-substituir-or-por-pr"/>
      <w:r>
        <w:t xml:space="preserve">2.1 Tabela 10 — substituir OR por PR</w:t>
      </w:r>
      <w:bookmarkEnd w:id="23"/>
    </w:p>
    <w:p>
      <w:pPr>
        <w:pStyle w:val="FirstParagraph"/>
      </w:pPr>
      <w:r>
        <w:t xml:space="preserve">A Tabela 10 atual traz a coluna</w:t>
      </w:r>
      <w:r>
        <w:t xml:space="preserve"> </w:t>
      </w:r>
      <w:r>
        <w:rPr>
          <w:b/>
        </w:rPr>
        <w:t xml:space="preserve">OR</w:t>
      </w:r>
      <w:r>
        <w:t xml:space="preserve">. Substituir pela coluna</w:t>
      </w:r>
      <w:r>
        <w:t xml:space="preserve"> </w:t>
      </w:r>
      <w:r>
        <w:rPr>
          <w:b/>
        </w:rPr>
        <w:t xml:space="preserve">PR</w:t>
      </w:r>
      <w:r>
        <w:t xml:space="preserve"> </w:t>
      </w:r>
      <w:r>
        <w:t xml:space="preserve">com os novos</w:t>
      </w:r>
      <w:r>
        <w:t xml:space="preserve"> </w:t>
      </w:r>
      <w:r>
        <w:t xml:space="preserve">valores e IC 95% (mantendo a mesma ordem de variáveis):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 atual (remover)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 novo (usar)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IC 95% novo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etária adulta (vs. adolescente)</w:t>
            </w:r>
          </w:p>
        </w:tc>
        <w:tc>
          <w:p>
            <w:pPr>
              <w:pStyle w:val="Compact"/>
              <w:jc w:val="left"/>
            </w:pPr>
            <w:r>
              <w:t xml:space="preserve">1,78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1,35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1,23 – 1,48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DHEG (sim vs. não)</w:t>
            </w:r>
          </w:p>
        </w:tc>
        <w:tc>
          <w:p>
            <w:pPr>
              <w:pStyle w:val="Compact"/>
              <w:jc w:val="left"/>
            </w:pPr>
            <w:r>
              <w:t xml:space="preserve">2,36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1,19 – 1,30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2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3,66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1,90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1,71 – 2,10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3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0,49 – 0,68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4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1,41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1,12 – 1,48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5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12,81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2,16 – 2,64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6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31,28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2,57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2,27 – 2,90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7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16,02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2,45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2,21 – 2,71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9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17,72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2,49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2,18 – 2,85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10 (vs. Robson 1)</w:t>
            </w:r>
          </w:p>
        </w:tc>
        <w:tc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1,42 – 1,75</w:t>
            </w:r>
          </w:p>
        </w:tc>
        <w:tc>
          <w:p>
            <w:pPr>
              <w:pStyle w:val="Compact"/>
              <w:jc w:val="left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b/>
        </w:rPr>
        <w:t xml:space="preserve">Legenda/rodapé da Tabela 10 — trocar:</w:t>
      </w:r>
      <w:r>
        <w:t xml:space="preserve"> </w:t>
      </w:r>
      <w:r>
        <w:t xml:space="preserve">- Título:</w:t>
      </w:r>
      <w:r>
        <w:t xml:space="preserve"> </w:t>
      </w:r>
      <w:r>
        <w:t xml:space="preserve">“</w:t>
      </w:r>
      <w:r>
        <w:t xml:space="preserve">Modelo 4 de regressão logística múltipla…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Modelo 4 — fatores</w:t>
      </w:r>
      <w:r>
        <w:rPr>
          <w:b/>
        </w:rPr>
        <w:t xml:space="preserve"> </w:t>
      </w:r>
      <w:r>
        <w:rPr>
          <w:b/>
        </w:rPr>
        <w:t xml:space="preserve">associados ao nascimento por cesariana (Razão de Prevalência)</w:t>
      </w:r>
      <w:r>
        <w:t xml:space="preserve">”</w:t>
      </w:r>
      <w:r>
        <w:t xml:space="preserve">.</w:t>
      </w:r>
      <w:r>
        <w:t xml:space="preserve"> </w:t>
      </w:r>
      <w:r>
        <w:t xml:space="preserve">- Rodapé:</w:t>
      </w:r>
      <w:r>
        <w:t xml:space="preserve"> </w:t>
      </w:r>
      <w:r>
        <w:t xml:space="preserve">“</w:t>
      </w:r>
      <w:r>
        <w:t xml:space="preserve">OR = odds ratio; IC 95% = intervalo de confiança de 95%.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PR = razão de prevalência, estimada por regressão de Poisson com variância</w:t>
      </w:r>
      <w:r>
        <w:rPr>
          <w:b/>
        </w:rPr>
        <w:t xml:space="preserve"> </w:t>
      </w:r>
      <w:r>
        <w:rPr>
          <w:b/>
        </w:rPr>
        <w:t xml:space="preserve">robusta (Zou, 2004); IC 95% = intervalo de confiança de 95%.</w:t>
      </w:r>
      <w:r>
        <w:t xml:space="preserve"> </w:t>
      </w:r>
      <w:r>
        <w:t xml:space="preserve">Grupo de referência:</w:t>
      </w:r>
      <w:r>
        <w:t xml:space="preserve"> </w:t>
      </w:r>
      <w:r>
        <w:t xml:space="preserve">Robson 1. Seleção do modelo por Hosmer-Lemeshow (χ² = 5,215; gl = 6; p = 0,517).</w:t>
      </w:r>
      <w:r>
        <w:t xml:space="preserve">”</w:t>
      </w:r>
    </w:p>
    <w:p>
      <w:pPr>
        <w:pStyle w:val="BlockText"/>
      </w:pPr>
      <w:r>
        <w:t xml:space="preserve">O p do Robson 4 era p = 0,007 no OR; no PR é</w:t>
      </w:r>
      <w:r>
        <w:t xml:space="preserve"> </w:t>
      </w:r>
      <w:r>
        <w:rPr>
          <w:b/>
        </w:rPr>
        <w:t xml:space="preserve">p &lt; 0,001</w:t>
      </w:r>
      <w:r>
        <w:t xml:space="preserve">. Todos os efeitos</w:t>
      </w:r>
      <w:r>
        <w:t xml:space="preserve"> </w:t>
      </w:r>
      <w:r>
        <w:t xml:space="preserve">permanecem significativos.</w:t>
      </w:r>
    </w:p>
    <w:p>
      <w:pPr>
        <w:pStyle w:val="Heading3"/>
      </w:pPr>
      <w:bookmarkStart w:id="24" w:name="figura-7-forest-plot"/>
      <w:r>
        <w:t xml:space="preserve">2.2 Figura 7 — forest plot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Legenda atual:</w:t>
      </w:r>
      <w:r>
        <w:t xml:space="preserve"> </w:t>
      </w:r>
      <w:r>
        <w:t xml:space="preserve">“</w:t>
      </w:r>
      <w:r>
        <w:t xml:space="preserve">Figura 7 – Forest plot dos</w:t>
      </w:r>
      <w:r>
        <w:t xml:space="preserve"> </w:t>
      </w:r>
      <w:r>
        <w:rPr>
          <w:b/>
        </w:rPr>
        <w:t xml:space="preserve">Odds Ratios</w:t>
      </w:r>
      <w:r>
        <w:t xml:space="preserve"> </w:t>
      </w:r>
      <w:r>
        <w:t xml:space="preserve">do Modelo 4. (…)</w:t>
      </w:r>
      <w:r>
        <w:t xml:space="preserve"> </w:t>
      </w:r>
      <w:r>
        <w:t xml:space="preserve">Colunas à direita:</w:t>
      </w:r>
      <w:r>
        <w:t xml:space="preserve"> </w:t>
      </w:r>
      <w:r>
        <w:rPr>
          <w:b/>
        </w:rPr>
        <w:t xml:space="preserve">OR (IC 95%)</w:t>
      </w:r>
      <w:r>
        <w:t xml:space="preserve"> </w:t>
      </w:r>
      <w:r>
        <w:t xml:space="preserve">e p-valor.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Trocar para:</w:t>
      </w:r>
      <w:r>
        <w:t xml:space="preserve"> </w:t>
      </w:r>
      <w:r>
        <w:t xml:space="preserve">“</w:t>
      </w:r>
      <w:r>
        <w:t xml:space="preserve">Figura 7 – Forest plot das</w:t>
      </w:r>
      <w:r>
        <w:t xml:space="preserve"> </w:t>
      </w:r>
      <w:r>
        <w:rPr>
          <w:b/>
        </w:rPr>
        <w:t xml:space="preserve">Razões de Prevalência (PR)</w:t>
      </w:r>
      <w:r>
        <w:t xml:space="preserve"> </w:t>
      </w:r>
      <w:r>
        <w:t xml:space="preserve">do</w:t>
      </w:r>
      <w:r>
        <w:t xml:space="preserve"> </w:t>
      </w:r>
      <w:r>
        <w:t xml:space="preserve">Modelo 4. Eixo X em escala logarítmica. Colunas à direita:</w:t>
      </w:r>
      <w:r>
        <w:t xml:space="preserve"> </w:t>
      </w:r>
      <w:r>
        <w:rPr>
          <w:b/>
        </w:rPr>
        <w:t xml:space="preserve">PR (IC 95%)</w:t>
      </w:r>
      <w:r>
        <w:t xml:space="preserve"> </w:t>
      </w:r>
      <w:r>
        <w:t xml:space="preserve">e</w:t>
      </w:r>
      <w:r>
        <w:t xml:space="preserve"> </w:t>
      </w:r>
      <w:r>
        <w:t xml:space="preserve">p-valor. PR estimada por regressão de Poisson com variância robusta (Zou, 2004).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Arquivo de imagem:</w:t>
      </w:r>
      <w:r>
        <w:t xml:space="preserve"> </w:t>
      </w:r>
      <w:r>
        <w:t xml:space="preserve">já regenerado em PR (</w:t>
      </w:r>
      <w:r>
        <w:rPr>
          <w:rStyle w:val="VerbatimChar"/>
        </w:rPr>
        <w:t xml:space="preserve">results/figures/fig_obj5_forest_plot_modelo4.png</w:t>
      </w:r>
      <w:r>
        <w:t xml:space="preserve">).</w:t>
      </w:r>
      <w:r>
        <w:t xml:space="preserve"> </w:t>
      </w:r>
      <w:r>
        <w:t xml:space="preserve">Conferir que a versão colada no documento é a nova (eixo e colunas em PR).</w:t>
      </w:r>
    </w:p>
    <w:p>
      <w:pPr>
        <w:pStyle w:val="Heading3"/>
      </w:pPr>
      <w:bookmarkStart w:id="25" w:name="X49e95eea8d1aef32e71b834ec756118d12107e6"/>
      <w:r>
        <w:t xml:space="preserve">2.3 Texto narrativo da Seção 5.5 — reescrever as leituras</w:t>
      </w:r>
      <w:bookmarkEnd w:id="25"/>
    </w:p>
    <w:p>
      <w:pPr>
        <w:pStyle w:val="FirstParagraph"/>
      </w:pPr>
      <w:r>
        <w:t xml:space="preserve">Trocar todas as frases que falam em</w:t>
      </w:r>
      <w:r>
        <w:t xml:space="preserve"> </w:t>
      </w:r>
      <w:r>
        <w:t xml:space="preserve">“</w:t>
      </w:r>
      <w:r>
        <w:t xml:space="preserve">chance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OR</w:t>
      </w:r>
      <w:r>
        <w:t xml:space="preserve">”</w:t>
      </w:r>
      <w:r>
        <w:t xml:space="preserve"> </w:t>
      </w:r>
      <w:r>
        <w:t xml:space="preserve">por leituras de</w:t>
      </w:r>
      <w:r>
        <w:t xml:space="preserve"> </w:t>
      </w:r>
      <w:r>
        <w:rPr>
          <w:b/>
        </w:rPr>
        <w:t xml:space="preserve">prevalência</w:t>
      </w:r>
      <w:r>
        <w:t xml:space="preserve">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Trecho atual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reescrever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adultas apresentaram</w:t>
            </w:r>
            <w:r>
              <w:t xml:space="preserve"> </w:t>
            </w:r>
            <w:r>
              <w:rPr>
                <w:b/>
              </w:rPr>
              <w:t xml:space="preserve">78% mais chance</w:t>
            </w:r>
            <w:r>
              <w:t xml:space="preserve"> </w:t>
            </w:r>
            <w:r>
              <w:t xml:space="preserve">de cesárea (…) OR = 1,78 (IC 95%: 1,51 a 2,10)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 adultas apresentaram</w:t>
            </w:r>
            <w:r>
              <w:t xml:space="preserve"> </w:t>
            </w:r>
            <w:r>
              <w:rPr>
                <w:b/>
              </w:rPr>
              <w:t xml:space="preserve">cerca de 35% mais prevalência</w:t>
            </w:r>
            <w:r>
              <w:t xml:space="preserve"> </w:t>
            </w:r>
            <w:r>
              <w:t xml:space="preserve">de cesárea que as adolescentes —</w:t>
            </w:r>
            <w:r>
              <w:t xml:space="preserve"> </w:t>
            </w:r>
            <w:r>
              <w:rPr>
                <w:b/>
              </w:rPr>
              <w:t xml:space="preserve">PR = 1,35 (IC 95%: 1,23 a 1,48; p &lt; 0,001)</w:t>
            </w:r>
            <w:r>
              <w:t xml:space="preserve"> </w:t>
            </w:r>
            <w:r>
              <w:t xml:space="preserve">— mesmo após ajuste.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de Robson 6 (…) foi o</w:t>
            </w:r>
            <w:r>
              <w:t xml:space="preserve"> </w:t>
            </w:r>
            <w:r>
              <w:rPr>
                <w:b/>
              </w:rPr>
              <w:t xml:space="preserve">preditor de maior magnitude</w:t>
            </w:r>
            <w:r>
              <w:t xml:space="preserve">: OR = 31,29 (IC 95%: 9,47 a 193,44)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Os Grupos de apresentação anômala (6, 7 e 9) e o Grupo 5 foram os de maior magnitude, com prevalência de cesárea cerca de</w:t>
            </w:r>
            <w:r>
              <w:t xml:space="preserve"> </w:t>
            </w:r>
            <w:r>
              <w:rPr>
                <w:b/>
              </w:rPr>
              <w:t xml:space="preserve">2,4 a 2,6 vezes</w:t>
            </w:r>
            <w:r>
              <w:t xml:space="preserve"> </w:t>
            </w:r>
            <w:r>
              <w:t xml:space="preserve">a do Grupo 1 — p. ex.</w:t>
            </w:r>
            <w:r>
              <w:t xml:space="preserve"> </w:t>
            </w:r>
            <w:r>
              <w:rPr>
                <w:b/>
              </w:rPr>
              <w:t xml:space="preserve">Robson 6: PR = 2,57 (IC 95%: 2,27 a 2,90)</w:t>
            </w:r>
            <w:r>
              <w:t xml:space="preserve">. Cabe notar que o Grupo 6 é o de menor tamanho amostral (n = 41).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9 (OR = 17,72; IC 95%: 7,04 a 59,55) (…)</w:t>
            </w:r>
            <w:r>
              <w:t xml:space="preserve"> </w:t>
            </w:r>
            <w:r>
              <w:rPr>
                <w:b/>
              </w:rPr>
              <w:t xml:space="preserve">intervalo de confiança amplo</w:t>
            </w:r>
            <w:r>
              <w:t xml:space="preserve">, devido ao pequeno tamanho amostral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Grupo 9,</w:t>
            </w:r>
            <w:r>
              <w:t xml:space="preserve"> </w:t>
            </w:r>
            <w:r>
              <w:rPr>
                <w:b/>
              </w:rPr>
              <w:t xml:space="preserve">PR = 2,49 (IC 95%: 2,18 a 2,85)</w:t>
            </w:r>
            <w:r>
              <w:t xml:space="preserve">; diferentemente do OR, o intervalo de confiança do PR permaneceu</w:t>
            </w:r>
            <w:r>
              <w:t xml:space="preserve"> </w:t>
            </w:r>
            <w:r>
              <w:rPr>
                <w:b/>
              </w:rPr>
              <w:t xml:space="preserve">estreito e estável</w:t>
            </w:r>
            <w:r>
              <w:t xml:space="preserve">, sem o alargamento que a baixa prevalência do grupo provocava na estimativa em OR.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3 (…) fator protetor: OR = 0,44 (IC 95%: 0,35 a 0,55)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Grupo 3 manteve-se como fator protetor:</w:t>
            </w:r>
            <w:r>
              <w:t xml:space="preserve"> </w:t>
            </w:r>
            <w:r>
              <w:rPr>
                <w:b/>
              </w:rPr>
              <w:t xml:space="preserve">PR = 0,58 (IC 95%: 0,49 a 0,68; p &lt; 0,001)</w:t>
            </w:r>
            <w:r>
              <w:t xml:space="preserve"> </w:t>
            </w:r>
            <w:r>
              <w:t xml:space="preserve">— multíparas em trabalho espontâneo têm</w:t>
            </w:r>
            <w:r>
              <w:t xml:space="preserve"> </w:t>
            </w:r>
            <w:r>
              <w:rPr>
                <w:b/>
              </w:rPr>
              <w:t xml:space="preserve">~42% menos prevalência</w:t>
            </w:r>
            <w:r>
              <w:t xml:space="preserve"> </w:t>
            </w:r>
            <w:r>
              <w:t xml:space="preserve">de cesárea que as nulíparas do Grupo 1.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hipertensão obstétrica apresentou OR = 2,36 (…) este resultado indica que a hipertensão obstétrica</w:t>
            </w:r>
            <w:r>
              <w:t xml:space="preserve"> </w:t>
            </w:r>
            <w:r>
              <w:rPr>
                <w:b/>
              </w:rPr>
              <w:t xml:space="preserve">dobra a chance</w:t>
            </w:r>
            <w:r>
              <w:t xml:space="preserve"> </w:t>
            </w:r>
            <w:r>
              <w:t xml:space="preserve">do nascimento ocorrer por cesárea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hipertensão obstétrica (DHEG) associou-se a</w:t>
            </w:r>
            <w:r>
              <w:t xml:space="preserve"> </w:t>
            </w:r>
            <w:r>
              <w:rPr>
                <w:b/>
              </w:rPr>
              <w:t xml:space="preserve">~25% mais prevalência</w:t>
            </w:r>
            <w:r>
              <w:t xml:space="preserve"> </w:t>
            </w:r>
            <w:r>
              <w:t xml:space="preserve">de cesárea —</w:t>
            </w:r>
            <w:r>
              <w:t xml:space="preserve"> </w:t>
            </w:r>
            <w:r>
              <w:rPr>
                <w:b/>
              </w:rPr>
              <w:t xml:space="preserve">PR = 1,25 (IC 95%: 1,19 a 1,30; p &lt; 0,001)</w:t>
            </w:r>
            <w:r>
              <w:t xml:space="preserve">.</w:t>
            </w:r>
            <w:r>
              <w:t xml:space="preserve">”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Remover a frase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dobra a chance</w:t>
            </w:r>
            <w:r>
              <w:rPr>
                <w:b/>
              </w:rPr>
              <w:t xml:space="preserve">”</w:t>
            </w:r>
            <w:r>
              <w:t xml:space="preserve"> </w:t>
            </w:r>
            <w:r>
              <w:t xml:space="preserve">— era um exagero do OR; em PR o efeito é de +25%.</w:t>
            </w:r>
          </w:p>
        </w:tc>
      </w:tr>
    </w:tbl>
    <w:p>
      <w:pPr>
        <w:pStyle w:val="BlockText"/>
      </w:pPr>
      <w:r>
        <w:rPr>
          <w:b/>
        </w:rPr>
        <w:t xml:space="preserve">Por que a magnitude cai tanto (ex.: Robson 5 de 12,81 para 2,38):</w:t>
      </w:r>
      <w:r>
        <w:t xml:space="preserve"> </w:t>
      </w:r>
      <w:r>
        <w:t xml:space="preserve">o OR só</w:t>
      </w:r>
      <w:r>
        <w:t xml:space="preserve"> </w:t>
      </w:r>
      <w:r>
        <w:t xml:space="preserve">aproxima o risco relativo quando o desfecho é raro. Com cesárea a 56%, o OR inflava</w:t>
      </w:r>
      <w:r>
        <w:t xml:space="preserve"> </w:t>
      </w:r>
      <w:r>
        <w:t xml:space="preserve">os efeitos. O PR é a leitura correta (</w:t>
      </w:r>
      <w:r>
        <w:t xml:space="preserve">“</w:t>
      </w:r>
      <w:r>
        <w:t xml:space="preserve">2,4× a prevalência</w:t>
      </w:r>
      <w:r>
        <w:t xml:space="preserve">”</w:t>
      </w:r>
      <w:r>
        <w:t xml:space="preserve">) e tem ICs mais estreitos.</w:t>
      </w:r>
      <w:r>
        <w:t xml:space="preserve"> </w:t>
      </w:r>
      <w:r>
        <w:rPr>
          <w:b/>
        </w:rPr>
        <w:t xml:space="preserve">Esse é um ponto forte para defender na banca</w:t>
      </w:r>
      <w:r>
        <w:t xml:space="preserve">, não uma fragilidade.</w:t>
      </w:r>
    </w:p>
    <w:p>
      <w:pPr>
        <w:pStyle w:val="Heading3"/>
      </w:pPr>
      <w:bookmarkStart w:id="26" w:name="Xc6485b2ec87044e4014d41ff31c810da7fba3a2"/>
      <w:r>
        <w:t xml:space="preserve">2.4 Sub-modelo de interação (final da Seção 5.5) — DECISÃO PENDENTE</w:t>
      </w:r>
      <w:bookmarkEnd w:id="26"/>
    </w:p>
    <w:p>
      <w:pPr>
        <w:pStyle w:val="FirstParagraph"/>
      </w:pPr>
      <w:r>
        <w:t xml:space="preserve">O trecho do</w:t>
      </w:r>
      <w:r>
        <w:t xml:space="preserve"> </w:t>
      </w:r>
      <w:r>
        <w:t xml:space="preserve">“</w:t>
      </w:r>
      <w:r>
        <w:t xml:space="preserve">modelo de regressão logística múltipla com termos de interação</w:t>
      </w:r>
      <w:r>
        <w:t xml:space="preserve">”</w:t>
      </w:r>
      <w:r>
        <w:t xml:space="preserve"> </w:t>
      </w:r>
      <w:r>
        <w:t xml:space="preserve">(Grupo 2</w:t>
      </w:r>
      <w:r>
        <w:t xml:space="preserve"> </w:t>
      </w:r>
      <w:r>
        <w:t xml:space="preserve">OR = 0,38; Grupo 10 OR = 0,21; Grupo 3 OR = 1,95)</w:t>
      </w:r>
      <w:r>
        <w:t xml:space="preserve"> </w:t>
      </w:r>
      <w:r>
        <w:rPr>
          <w:b/>
        </w:rPr>
        <w:t xml:space="preserve">ainda está em OR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não foi</w:t>
      </w:r>
      <w:r>
        <w:rPr>
          <w:b/>
        </w:rPr>
        <w:t xml:space="preserve"> </w:t>
      </w:r>
      <w:r>
        <w:rPr>
          <w:b/>
        </w:rPr>
        <w:t xml:space="preserve">migrado</w:t>
      </w:r>
      <w:r>
        <w:t xml:space="preserve"> </w:t>
      </w:r>
      <w:r>
        <w:t xml:space="preserve">— não fazia parte do escopo reprocessado. Duas opções: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(Recomendado para consistência)</w:t>
      </w:r>
      <w:r>
        <w:t xml:space="preserve"> </w:t>
      </w:r>
      <w:r>
        <w:t xml:space="preserve">reestimar o modelo de interação também em PR</w:t>
      </w:r>
      <w:r>
        <w:t xml:space="preserve"> </w:t>
      </w:r>
      <w:r>
        <w:t xml:space="preserve">(Poisson robusto) e atualizar os três valores. Posso gerar isso se você quiser.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Manter em OR</w:t>
      </w:r>
      <w:r>
        <w:t xml:space="preserve">, mas então</w:t>
      </w:r>
      <w:r>
        <w:t xml:space="preserve"> </w:t>
      </w:r>
      <w:r>
        <w:rPr>
          <w:b/>
        </w:rPr>
        <w:t xml:space="preserve">declarar explicitamente</w:t>
      </w:r>
      <w:r>
        <w:t xml:space="preserve"> </w:t>
      </w:r>
      <w:r>
        <w:t xml:space="preserve">no texto que, neste modelo</w:t>
      </w:r>
      <w:r>
        <w:t xml:space="preserve"> </w:t>
      </w:r>
      <w:r>
        <w:t xml:space="preserve">exploratório de interação, a medida é o OR (e justificar). Não é ideal ter as duas</w:t>
      </w:r>
      <w:r>
        <w:t xml:space="preserve"> </w:t>
      </w:r>
      <w:r>
        <w:t xml:space="preserve">medidas no mesmo trabalho sem aviso.</w:t>
      </w:r>
    </w:p>
    <w:p>
      <w:pPr>
        <w:pStyle w:val="BlockText"/>
      </w:pPr>
      <w:r>
        <w:t xml:space="preserve">Há ainda uma</w:t>
      </w:r>
      <w:r>
        <w:t xml:space="preserve"> </w:t>
      </w:r>
      <w:r>
        <w:rPr>
          <w:b/>
        </w:rPr>
        <w:t xml:space="preserve">nota de edição solta</w:t>
      </w:r>
      <w:r>
        <w:t xml:space="preserve"> </w:t>
      </w:r>
      <w:r>
        <w:t xml:space="preserve">no texto —</w:t>
      </w:r>
      <w:r>
        <w:t xml:space="preserve"> </w:t>
      </w:r>
      <w:r>
        <w:t xml:space="preserve">“</w:t>
      </w:r>
      <w:r>
        <w:rPr>
          <w:i/>
        </w:rPr>
        <w:t xml:space="preserve">a tabela de interação da aba</w:t>
      </w:r>
      <w:r>
        <w:rPr>
          <w:i/>
        </w:rPr>
        <w:t xml:space="preserve"> </w:t>
      </w:r>
      <w:r>
        <w:rPr>
          <w:i/>
        </w:rPr>
        <w:t xml:space="preserve">robson interação</w:t>
      </w:r>
      <w:r>
        <w:t xml:space="preserve">”</w:t>
      </w:r>
      <w:r>
        <w:t xml:space="preserve"> </w:t>
      </w:r>
      <w:r>
        <w:t xml:space="preserve">— que parece um lembrete e deve ser</w:t>
      </w:r>
      <w:r>
        <w:t xml:space="preserve"> </w:t>
      </w:r>
      <w:r>
        <w:rPr>
          <w:b/>
        </w:rPr>
        <w:t xml:space="preserve">removida</w:t>
      </w:r>
      <w:r>
        <w:t xml:space="preserve"> </w:t>
      </w:r>
      <w:r>
        <w:t xml:space="preserve">da versão final.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discussão-seção-6.1"/>
      <w:r>
        <w:t xml:space="preserve">3. Discussão (Seção 6.1)</w:t>
      </w:r>
      <w:bookmarkEnd w:id="27"/>
    </w:p>
    <w:p>
      <w:pPr>
        <w:pStyle w:val="FirstParagraph"/>
      </w:pPr>
      <w:r>
        <w:rPr>
          <w:b/>
        </w:rPr>
        <w:t xml:space="preserve">Trecho atual: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(…) a faixa etária adulta atua como fator de risco independente para a ocorrência</w:t>
      </w:r>
      <w:r>
        <w:t xml:space="preserve"> </w:t>
      </w:r>
      <w:r>
        <w:t xml:space="preserve">&gt; de cesárea, apresentando uma</w:t>
      </w:r>
      <w:r>
        <w:t xml:space="preserve"> </w:t>
      </w:r>
      <w:r>
        <w:rPr>
          <w:b/>
        </w:rPr>
        <w:t xml:space="preserve">chance 78% maior</w:t>
      </w:r>
      <w:r>
        <w:t xml:space="preserve"> </w:t>
      </w:r>
      <w:r>
        <w:t xml:space="preserve">de evolução para cesariana em</w:t>
      </w:r>
      <w:r>
        <w:t xml:space="preserve"> </w:t>
      </w:r>
      <w:r>
        <w:t xml:space="preserve">&gt; comparação com o grupo de gestantes adolescentes.</w:t>
      </w:r>
      <w:r>
        <w:t xml:space="preserve">”</w:t>
      </w:r>
    </w:p>
    <w:p>
      <w:pPr>
        <w:pStyle w:val="BodyText"/>
      </w:pPr>
      <w:r>
        <w:rPr>
          <w:b/>
        </w:rPr>
        <w:t xml:space="preserve">Trocar para: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(…) a faixa etária adulta atua como fator de risco independente para a ocorrência</w:t>
      </w:r>
      <w:r>
        <w:t xml:space="preserve"> </w:t>
      </w:r>
      <w:r>
        <w:t xml:space="preserve">&gt; de cesárea, apresentando</w:t>
      </w:r>
      <w:r>
        <w:t xml:space="preserve"> </w:t>
      </w:r>
      <w:r>
        <w:rPr>
          <w:b/>
        </w:rPr>
        <w:t xml:space="preserve">cerca de 35% mais prevalência</w:t>
      </w:r>
      <w:r>
        <w:t xml:space="preserve"> </w:t>
      </w:r>
      <w:r>
        <w:t xml:space="preserve">de cesárea (PR = 1,35) em</w:t>
      </w:r>
      <w:r>
        <w:t xml:space="preserve"> </w:t>
      </w:r>
      <w:r>
        <w:t xml:space="preserve">&gt; comparação com as adolescentes, mesmo após ajuste pelo perfil obstétrico (Robson) e</w:t>
      </w:r>
      <w:r>
        <w:t xml:space="preserve"> </w:t>
      </w:r>
      <w:r>
        <w:t xml:space="preserve">&gt; pela presença de DHEG.</w:t>
      </w:r>
      <w:r>
        <w:t xml:space="preserve">”</w:t>
      </w:r>
    </w:p>
    <w:p>
      <w:pPr>
        <w:pStyle w:val="BodyText"/>
      </w:pPr>
      <w:r>
        <w:rPr>
          <w:b/>
        </w:rPr>
        <w:t xml:space="preserve">Demais pontos da Discussão:</w:t>
      </w:r>
      <w:r>
        <w:t xml:space="preserve"> </w:t>
      </w:r>
      <w:r>
        <w:t xml:space="preserve">- O restante da Seção 6.1 discute</w:t>
      </w:r>
      <w:r>
        <w:t xml:space="preserve"> </w:t>
      </w:r>
      <w:r>
        <w:rPr>
          <w:b/>
        </w:rPr>
        <w:t xml:space="preserve">pontos percentuais de taxa de cesárea</w:t>
      </w:r>
      <w:r>
        <w:t xml:space="preserve"> </w:t>
      </w:r>
      <w:r>
        <w:t xml:space="preserve">por grupo</w:t>
      </w:r>
      <w:r>
        <w:t xml:space="preserve"> </w:t>
      </w:r>
      <w:r>
        <w:t xml:space="preserve">de Robson (ex.:</w:t>
      </w:r>
      <w:r>
        <w:t xml:space="preserve"> </w:t>
      </w:r>
      <w:r>
        <w:t xml:space="preserve">“</w:t>
      </w:r>
      <w:r>
        <w:t xml:space="preserve">10 pontos percentuais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47,2% → 71,8%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35,1 pontos percentuais</w:t>
      </w:r>
      <w:r>
        <w:t xml:space="preserve">”</w:t>
      </w:r>
      <w:r>
        <w:t xml:space="preserve">).</w:t>
      </w:r>
      <w:r>
        <w:t xml:space="preserve"> </w:t>
      </w:r>
      <w:r>
        <w:rPr>
          <w:b/>
        </w:rPr>
        <w:t xml:space="preserve">Esses números não dependem de OR/PR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permanecem inalterados</w:t>
      </w:r>
      <w:r>
        <w:t xml:space="preserve">.</w:t>
      </w:r>
      <w:r>
        <w:t xml:space="preserve"> </w:t>
      </w:r>
      <w:r>
        <w:t xml:space="preserve">- Onde o texto interpreta o Grupo 5 como</w:t>
      </w:r>
      <w:r>
        <w:t xml:space="preserve"> </w:t>
      </w:r>
      <w:r>
        <w:t xml:space="preserve">“</w:t>
      </w:r>
      <w:r>
        <w:t xml:space="preserve">principal determinante</w:t>
      </w:r>
      <w:r>
        <w:t xml:space="preserve">”</w:t>
      </w:r>
      <w:r>
        <w:t xml:space="preserve">, continua válido — em</w:t>
      </w:r>
      <w:r>
        <w:t xml:space="preserve"> </w:t>
      </w:r>
      <w:r>
        <w:t xml:space="preserve">PR ele está entre os de maior efeito (PR = 2,38), junto de 6/7/9. Só evitar</w:t>
      </w:r>
      <w:r>
        <w:t xml:space="preserve"> </w:t>
      </w:r>
      <w:r>
        <w:t xml:space="preserve">linguagem de</w:t>
      </w:r>
      <w:r>
        <w:t xml:space="preserve"> </w:t>
      </w:r>
      <w:r>
        <w:t xml:space="preserve">“</w:t>
      </w:r>
      <w:r>
        <w:t xml:space="preserve">chance</w:t>
      </w:r>
      <w:r>
        <w:t xml:space="preserve">”</w:t>
      </w:r>
      <w:r>
        <w:t xml:space="preserve"> </w:t>
      </w:r>
      <w:r>
        <w:t xml:space="preserve">e dizer</w:t>
      </w:r>
      <w:r>
        <w:t xml:space="preserve"> </w:t>
      </w:r>
      <w:r>
        <w:t xml:space="preserve">“</w:t>
      </w:r>
      <w:r>
        <w:t xml:space="preserve">prevalência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Sugestão (opcional, mas valoriza o trabalho):</w:t>
      </w:r>
      <w:r>
        <w:t xml:space="preserve"> </w:t>
      </w:r>
      <w:r>
        <w:t xml:space="preserve">acrescentar 1–2 frases na Discussão</w:t>
      </w:r>
      <w:r>
        <w:t xml:space="preserve"> </w:t>
      </w:r>
      <w:r>
        <w:t xml:space="preserve">ou nas Limitações explicando a</w:t>
      </w:r>
      <w:r>
        <w:t xml:space="preserve"> </w:t>
      </w:r>
      <w:r>
        <w:rPr>
          <w:b/>
        </w:rPr>
        <w:t xml:space="preserve">escolha metodológica do PR</w:t>
      </w:r>
      <w:r>
        <w:t xml:space="preserve"> </w:t>
      </w:r>
      <w:r>
        <w:t xml:space="preserve">(desfecho de alta</w:t>
      </w:r>
      <w:r>
        <w:t xml:space="preserve"> </w:t>
      </w:r>
      <w:r>
        <w:t xml:space="preserve">prevalência → OR enviesado → modified Poisson de Zou). Isso antecipa pergunta de banca.</w:t>
      </w:r>
      <w:r>
        <w:t xml:space="preserve"> </w:t>
      </w:r>
      <w:r>
        <w:t xml:space="preserve">- As Seções 6.2 e 6.3 (comorbidades, fórcipe)</w:t>
      </w:r>
      <w:r>
        <w:t xml:space="preserve"> </w:t>
      </w:r>
      <w:r>
        <w:rPr>
          <w:b/>
        </w:rPr>
        <w:t xml:space="preserve">não usam OR</w:t>
      </w:r>
      <w:r>
        <w:t xml:space="preserve"> </w:t>
      </w:r>
      <w:r>
        <w:t xml:space="preserve">e não precisam de mudança.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f6beda8b761b8ca903233021e509e170ca8cc6a"/>
      <w:r>
        <w:t xml:space="preserve">4. Listas de figuras e tabelas (páginas iniciais)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Figura 7 – Forest plot dos</w:t>
      </w:r>
      <w:r>
        <w:t xml:space="preserve"> </w:t>
      </w:r>
      <w:r>
        <w:rPr>
          <w:b/>
        </w:rPr>
        <w:t xml:space="preserve">Odds Ratios</w:t>
      </w:r>
      <w:r>
        <w:t xml:space="preserve"> </w:t>
      </w:r>
      <w:r>
        <w:t xml:space="preserve">do Modelo 4…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</w:rPr>
        <w:t xml:space="preserve">das Razões de</w:t>
      </w:r>
      <w:r>
        <w:rPr>
          <w:b/>
        </w:rPr>
        <w:t xml:space="preserve"> </w:t>
      </w:r>
      <w:r>
        <w:rPr>
          <w:b/>
        </w:rPr>
        <w:t xml:space="preserve">Prevalência (PR)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Tabela 10 – Modelo 4 de</w:t>
      </w:r>
      <w:r>
        <w:t xml:space="preserve"> </w:t>
      </w:r>
      <w:r>
        <w:rPr>
          <w:b/>
        </w:rPr>
        <w:t xml:space="preserve">regressão logística múltipla</w:t>
      </w:r>
      <w:r>
        <w:t xml:space="preserve"> </w:t>
      </w:r>
      <w:r>
        <w:t xml:space="preserve">para nascimento por</w:t>
      </w:r>
      <w:r>
        <w:t xml:space="preserve"> </w:t>
      </w:r>
      <w:r>
        <w:t xml:space="preserve">cesariana.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Tabela 10 –</w:t>
      </w:r>
      <w:r>
        <w:t xml:space="preserve"> </w:t>
      </w:r>
      <w:r>
        <w:rPr>
          <w:b/>
        </w:rPr>
        <w:t xml:space="preserve">Modelo 4 — fatores associados ao nascimento por</w:t>
      </w:r>
      <w:r>
        <w:rPr>
          <w:b/>
        </w:rPr>
        <w:t xml:space="preserve"> </w:t>
      </w:r>
      <w:r>
        <w:rPr>
          <w:b/>
        </w:rPr>
        <w:t xml:space="preserve">cesariana (Razão de Prevalência)</w:t>
      </w:r>
      <w:r>
        <w:t xml:space="preserve">.</w:t>
      </w:r>
      <w:r>
        <w:t xml:space="preserve">”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Resumo/Abstract</w:t>
      </w:r>
      <w:r>
        <w:t xml:space="preserve"> </w:t>
      </w:r>
      <w:r>
        <w:t xml:space="preserve">não citam OR (falam em taxas de cesárea 32% vs 62%), então</w:t>
      </w:r>
      <w:r>
        <w:t xml:space="preserve"> </w:t>
      </w:r>
      <w:r>
        <w:rPr>
          <w:b/>
        </w:rPr>
        <w:t xml:space="preserve">não</w:t>
      </w:r>
      <w:r>
        <w:rPr>
          <w:b/>
        </w:rPr>
        <w:t xml:space="preserve"> </w:t>
      </w:r>
      <w:r>
        <w:rPr>
          <w:b/>
        </w:rPr>
        <w:t xml:space="preserve">precisam de alteração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ddbb47aff06a61696c9e3c6985892b4eebbaf8"/>
      <w:r>
        <w:t xml:space="preserve">5. Checklist rápido para aplicar no documento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☐ Métodos §4: inserir parágrafo do PR (Poisson robusto, Zou 2004) + ref. bibliográfica.</w:t>
      </w:r>
    </w:p>
    <w:p>
      <w:pPr>
        <w:numPr>
          <w:ilvl w:val="0"/>
          <w:numId w:val="1004"/>
        </w:numPr>
        <w:pStyle w:val="Compact"/>
      </w:pPr>
      <w:r>
        <w:t xml:space="preserve">☐ Métodos §4: esclarecer que o Modelo 4 foi estimado no R (não SPSS).</w:t>
      </w:r>
    </w:p>
    <w:p>
      <w:pPr>
        <w:numPr>
          <w:ilvl w:val="0"/>
          <w:numId w:val="1004"/>
        </w:numPr>
        <w:pStyle w:val="Compact"/>
      </w:pPr>
      <w:r>
        <w:t xml:space="preserve">☐ Tabela 10: substituir coluna OR → PR (10 linhas) + IC novos + título + rodapé.</w:t>
      </w:r>
    </w:p>
    <w:p>
      <w:pPr>
        <w:numPr>
          <w:ilvl w:val="0"/>
          <w:numId w:val="1004"/>
        </w:numPr>
        <w:pStyle w:val="Compact"/>
      </w:pPr>
      <w:r>
        <w:t xml:space="preserve">☐ Figura 7: trocar legenda (OR → PR) e confirmar a imagem nova.</w:t>
      </w:r>
    </w:p>
    <w:p>
      <w:pPr>
        <w:numPr>
          <w:ilvl w:val="0"/>
          <w:numId w:val="1004"/>
        </w:numPr>
        <w:pStyle w:val="Compact"/>
      </w:pPr>
      <w:r>
        <w:t xml:space="preserve">☐ Texto §5.5: reescrever as 5 leituras (78%→35%; remover</w:t>
      </w:r>
      <w:r>
        <w:t xml:space="preserve"> </w:t>
      </w:r>
      <w:r>
        <w:t xml:space="preserve">“</w:t>
      </w:r>
      <w:r>
        <w:t xml:space="preserve">dobra a chance</w:t>
      </w:r>
      <w:r>
        <w:t xml:space="preserve">”</w:t>
      </w:r>
      <w:r>
        <w:t xml:space="preserve">; etc.).</w:t>
      </w:r>
    </w:p>
    <w:p>
      <w:pPr>
        <w:numPr>
          <w:ilvl w:val="0"/>
          <w:numId w:val="1004"/>
        </w:numPr>
        <w:pStyle w:val="Compact"/>
      </w:pPr>
      <w:r>
        <w:t xml:space="preserve">☐ §5.5 interação: decidir migrar para PR</w:t>
      </w:r>
      <w:r>
        <w:t xml:space="preserve"> </w:t>
      </w:r>
      <w:r>
        <w:rPr>
          <w:b/>
        </w:rPr>
        <w:t xml:space="preserve">ou</w:t>
      </w:r>
      <w:r>
        <w:t xml:space="preserve"> </w:t>
      </w:r>
      <w:r>
        <w:t xml:space="preserve">declarar OR; remover a nota solta.</w:t>
      </w:r>
    </w:p>
    <w:p>
      <w:pPr>
        <w:numPr>
          <w:ilvl w:val="0"/>
          <w:numId w:val="1004"/>
        </w:numPr>
        <w:pStyle w:val="Compact"/>
      </w:pPr>
      <w:r>
        <w:t xml:space="preserve">☐ Discussão §6.1:</w:t>
      </w:r>
      <w:r>
        <w:t xml:space="preserve"> </w:t>
      </w:r>
      <w:r>
        <w:t xml:space="preserve">“</w:t>
      </w:r>
      <w:r>
        <w:t xml:space="preserve">chance 78% maior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~35% mais prevalência (PR = 1,35)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 Listas de figuras/tabelas: atualizar legendas da Tabela 10 e Figura 7.</w:t>
      </w:r>
    </w:p>
    <w:p>
      <w:pPr>
        <w:numPr>
          <w:ilvl w:val="0"/>
          <w:numId w:val="1004"/>
        </w:numPr>
        <w:pStyle w:val="Compact"/>
      </w:pPr>
      <w:r>
        <w:t xml:space="preserve">☐ (Opcional) Discussão/Limitações: justificar a escolha do PR.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4a1187e75d56795c4da2b210389e0f50b621860"/>
      <w:r>
        <w:t xml:space="preserve">6. Observação sobre artefatos gerados (fora do texto)</w:t>
      </w:r>
      <w:bookmarkEnd w:id="30"/>
    </w:p>
    <w:p>
      <w:pPr>
        <w:pStyle w:val="FirstParagraph"/>
      </w:pPr>
      <w:r>
        <w:t xml:space="preserve">O painel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 os exports</w:t>
      </w:r>
      <w:r>
        <w:t xml:space="preserve"> </w:t>
      </w:r>
      <w:r>
        <w:rPr>
          <w:rStyle w:val="VerbatimChar"/>
        </w:rPr>
        <w:t xml:space="preserve">RELATORIO_REVISAO_NUMERICA.{html,docx,pdf}</w:t>
      </w:r>
      <w:r>
        <w:t xml:space="preserve"> </w:t>
      </w:r>
      <w:r>
        <w:t xml:space="preserve">são</w:t>
      </w:r>
      <w:r>
        <w:t xml:space="preserve"> </w:t>
      </w:r>
      <w:r>
        <w:rPr>
          <w:b/>
        </w:rPr>
        <w:t xml:space="preserve">gerados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do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correspondente. 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já estão em PR; os exports renderizados podem estar defasados. Para sincronizá-los:</w:t>
      </w:r>
      <w:r>
        <w:t xml:space="preserve"> </w:t>
      </w:r>
      <w:r>
        <w:rPr>
          <w:rStyle w:val="VerbatimChar"/>
        </w:rPr>
        <w:t xml:space="preserve">quarto render index.qmd</w:t>
      </w:r>
      <w:r>
        <w:t xml:space="preserve"> </w:t>
      </w:r>
      <w:r>
        <w:t xml:space="preserve">e re-exportar o relatório de revisão. Não afeta a dissertação,</w:t>
      </w:r>
      <w:r>
        <w:t xml:space="preserve"> </w:t>
      </w:r>
      <w:r>
        <w:t xml:space="preserve">mas convém regenerar antes de compartilhar o painel.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ec64f772726679926eba04befe221f48d2562b8"/>
      <w:r>
        <w:t xml:space="preserve">7. Para a Lê — os testes estatísticos em linguagem simples</w:t>
      </w:r>
      <w:bookmarkEnd w:id="31"/>
    </w:p>
    <w:p>
      <w:pPr>
        <w:pStyle w:val="FirstParagraph"/>
      </w:pPr>
      <w:r>
        <w:t xml:space="preserve">Esta seção explica, sem jargão,</w:t>
      </w:r>
      <w:r>
        <w:t xml:space="preserve"> </w:t>
      </w:r>
      <w:r>
        <w:rPr>
          <w:b/>
        </w:rPr>
        <w:t xml:space="preserve">o que cada teste faz, por que foi usado e como ler o</w:t>
      </w:r>
      <w:r>
        <w:rPr>
          <w:b/>
        </w:rPr>
        <w:t xml:space="preserve"> </w:t>
      </w:r>
      <w:r>
        <w:rPr>
          <w:b/>
        </w:rPr>
        <w:t xml:space="preserve">resultado</w:t>
      </w:r>
      <w:r>
        <w:t xml:space="preserve">. A ideia é que você consiga defender cada escolha na banca com suas próprias</w:t>
      </w:r>
      <w:r>
        <w:t xml:space="preserve"> </w:t>
      </w:r>
      <w:r>
        <w:t xml:space="preserve">palavras.</w:t>
      </w:r>
    </w:p>
    <w:p>
      <w:pPr>
        <w:pStyle w:val="Heading3"/>
      </w:pPr>
      <w:bookmarkStart w:id="32" w:name="X756c93f24e8b58e31dfc794aa6d99a413308b0a"/>
      <w:r>
        <w:t xml:space="preserve">7.1 Duas perguntas que toda estatística responde</w:t>
      </w:r>
      <w:bookmarkEnd w:id="32"/>
    </w:p>
    <w:p>
      <w:pPr>
        <w:pStyle w:val="FirstParagraph"/>
      </w:pPr>
      <w:r>
        <w:t xml:space="preserve">Quase tudo na dissertação gira em torno de duas perguntas: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Os grupos são diferentes de verdade, ou foi por acaso?</w:t>
      </w:r>
      <w:r>
        <w:rPr>
          <w:b/>
        </w:rPr>
        <w:t xml:space="preserve">”</w:t>
      </w:r>
      <w:r>
        <w:t xml:space="preserve"> </w:t>
      </w:r>
      <w:r>
        <w:t xml:space="preserve">→ quem responde isso é</w:t>
      </w:r>
      <w:r>
        <w:t xml:space="preserve"> </w:t>
      </w:r>
      <w:r>
        <w:t xml:space="preserve">o</w:t>
      </w:r>
      <w:r>
        <w:t xml:space="preserve"> </w:t>
      </w:r>
      <w:r>
        <w:rPr>
          <w:b/>
        </w:rPr>
        <w:t xml:space="preserve">p-valor</w:t>
      </w:r>
      <w:r>
        <w:t xml:space="preserve"> </w:t>
      </w:r>
      <w:r>
        <w:t xml:space="preserve">(testes de comparação).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Se há diferença, de que tamanho ela é?</w:t>
      </w:r>
      <w:r>
        <w:rPr>
          <w:b/>
        </w:rPr>
        <w:t xml:space="preserve">”</w:t>
      </w:r>
      <w:r>
        <w:t xml:space="preserve"> </w:t>
      </w:r>
      <w:r>
        <w:t xml:space="preserve">→ quem responde isso é a</w:t>
      </w:r>
      <w:r>
        <w:t xml:space="preserve"> </w:t>
      </w:r>
      <w:r>
        <w:rPr>
          <w:b/>
        </w:rPr>
        <w:t xml:space="preserve">medida de</w:t>
      </w:r>
      <w:r>
        <w:rPr>
          <w:b/>
        </w:rPr>
        <w:t xml:space="preserve"> </w:t>
      </w:r>
      <w:r>
        <w:rPr>
          <w:b/>
        </w:rPr>
        <w:t xml:space="preserve">efeito</w:t>
      </w:r>
      <w:r>
        <w:t xml:space="preserve"> </w:t>
      </w:r>
      <w:r>
        <w:t xml:space="preserve">(no nosso caso, a</w:t>
      </w:r>
      <w:r>
        <w:t xml:space="preserve"> </w:t>
      </w:r>
      <w:r>
        <w:rPr>
          <w:b/>
        </w:rPr>
        <w:t xml:space="preserve">Razão de Prevalência</w:t>
      </w:r>
      <w:r>
        <w:t xml:space="preserve">).</w:t>
      </w:r>
    </w:p>
    <w:p>
      <w:pPr>
        <w:pStyle w:val="FirstParagraph"/>
      </w:pPr>
      <w:r>
        <w:t xml:space="preserve">Você precisa das duas: uma diferença pode ser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(p pequeno) mas minúscula, ou</w:t>
      </w:r>
      <w:r>
        <w:t xml:space="preserve"> </w:t>
      </w:r>
      <w:r>
        <w:t xml:space="preserve">grande mas incerta. Por isso sempre reportamos as duas coisas juntas.</w:t>
      </w:r>
    </w:p>
    <w:p>
      <w:pPr>
        <w:pStyle w:val="Heading3"/>
      </w:pPr>
      <w:bookmarkStart w:id="33" w:name="o-p-valor-e-a-significância-de-5"/>
      <w:r>
        <w:t xml:space="preserve">7.2 O p-valor e a</w:t>
      </w:r>
      <w:r>
        <w:t xml:space="preserve"> </w:t>
      </w:r>
      <w:r>
        <w:t xml:space="preserve">“</w:t>
      </w:r>
      <w:r>
        <w:t xml:space="preserve">significância de 5%</w:t>
      </w:r>
      <w:r>
        <w:t xml:space="preserve">”</w:t>
      </w:r>
      <w:bookmarkEnd w:id="33"/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p-valor</w:t>
      </w:r>
      <w:r>
        <w:t xml:space="preserve"> </w:t>
      </w:r>
      <w:r>
        <w:t xml:space="preserve">é a probabilidade de você observar uma diferença tão grande quanto a sua</w:t>
      </w:r>
      <w:r>
        <w:t xml:space="preserve"> </w:t>
      </w:r>
      <w:r>
        <w:rPr>
          <w:b/>
        </w:rPr>
        <w:t xml:space="preserve">se, na verdade, não houvesse diferença nenhuma</w:t>
      </w:r>
      <w:r>
        <w:t xml:space="preserve"> </w:t>
      </w:r>
      <w:r>
        <w:t xml:space="preserve">entre os grupos. É um número entre 0 e 1.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 pequeno (&lt; 0,05)</w:t>
      </w:r>
      <w:r>
        <w:t xml:space="preserve"> </w:t>
      </w:r>
      <w:r>
        <w:t xml:space="preserve">= é improvável que o resultado seja só acaso → dizemos que a</w:t>
      </w:r>
      <w:r>
        <w:t xml:space="preserve"> </w:t>
      </w:r>
      <w:r>
        <w:t xml:space="preserve">diferença é</w:t>
      </w:r>
      <w:r>
        <w:t xml:space="preserve"> </w:t>
      </w:r>
      <w:r>
        <w:rPr>
          <w:b/>
        </w:rPr>
        <w:t xml:space="preserve">estatisticamente significativa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 grande (≥ 0,05)</w:t>
      </w:r>
      <w:r>
        <w:t xml:space="preserve"> </w:t>
      </w:r>
      <w:r>
        <w:t xml:space="preserve">= não dá para descartar o acaso →</w:t>
      </w:r>
      <w:r>
        <w:t xml:space="preserve"> </w:t>
      </w:r>
      <w:r>
        <w:t xml:space="preserve">“</w:t>
      </w:r>
      <w:r>
        <w:t xml:space="preserve">não significativo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O corte de</w:t>
      </w:r>
      <w:r>
        <w:t xml:space="preserve"> </w:t>
      </w:r>
      <w:r>
        <w:rPr>
          <w:b/>
        </w:rPr>
        <w:t xml:space="preserve">5% (0,05)</w:t>
      </w:r>
      <w:r>
        <w:t xml:space="preserve"> </w:t>
      </w:r>
      <w:r>
        <w:t xml:space="preserve">é a convenção que adotamos. Quando você lê</w:t>
      </w:r>
      <w:r>
        <w:t xml:space="preserve"> </w:t>
      </w:r>
      <w:r>
        <w:t xml:space="preserve">“</w:t>
      </w:r>
      <w:r>
        <w:t xml:space="preserve">p &lt; 0,001</w:t>
      </w:r>
      <w:r>
        <w:t xml:space="preserve">”</w:t>
      </w:r>
      <w:r>
        <w:t xml:space="preserve">, quer</w:t>
      </w:r>
      <w:r>
        <w:t xml:space="preserve"> </w:t>
      </w:r>
      <w:r>
        <w:t xml:space="preserve">dizer que a chance de ser acaso é menor que 1 em 1.000 — ou seja, um resultado muito</w:t>
      </w:r>
      <w:r>
        <w:t xml:space="preserve"> </w:t>
      </w:r>
      <w:r>
        <w:t xml:space="preserve">sólido.</w:t>
      </w:r>
      <w:r>
        <w:t xml:space="preserve"> </w:t>
      </w:r>
      <w:r>
        <w:rPr>
          <w:b/>
        </w:rPr>
        <w:t xml:space="preserve">Importante:</w:t>
      </w:r>
      <w:r>
        <w:t xml:space="preserve"> </w:t>
      </w:r>
      <w:r>
        <w:t xml:space="preserve">p &lt; 0,05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quer dizer que o efeito é grande, só que ele</w:t>
      </w:r>
      <w:r>
        <w:t xml:space="preserve"> </w:t>
      </w:r>
      <w:r>
        <w:t xml:space="preserve">provavelmente existe.</w:t>
      </w:r>
    </w:p>
    <w:p>
      <w:pPr>
        <w:pStyle w:val="Heading3"/>
      </w:pPr>
      <w:bookmarkStart w:id="34" w:name="Xec9b7aac97f1635037e3cafa4e6815110629ba6"/>
      <w:r>
        <w:t xml:space="preserve">7.3 Qui-quadrado de Pearson e teste exato de Fisher (comparar proporções)</w:t>
      </w:r>
      <w:bookmarkEnd w:id="34"/>
    </w:p>
    <w:p>
      <w:pPr>
        <w:pStyle w:val="FirstParagraph"/>
      </w:pPr>
      <w:r>
        <w:t xml:space="preserve">Usados quando as duas variáveis são</w:t>
      </w:r>
      <w:r>
        <w:t xml:space="preserve"> </w:t>
      </w:r>
      <w:r>
        <w:rPr>
          <w:b/>
        </w:rPr>
        <w:t xml:space="preserve">categorias</w:t>
      </w:r>
      <w:r>
        <w:t xml:space="preserve"> </w:t>
      </w:r>
      <w:r>
        <w:t xml:space="preserve">(ex.: faixa etária × tipo de parto).</w:t>
      </w:r>
      <w:r>
        <w:t xml:space="preserve"> </w:t>
      </w:r>
      <w:r>
        <w:t xml:space="preserve">A pergunta: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proporção de cesárea é diferente entre adolescentes e adultas?</w:t>
      </w:r>
      <w:r>
        <w:rPr>
          <w:i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Qui-quadrado de Pearson:</w:t>
      </w:r>
      <w:r>
        <w:t xml:space="preserve"> </w:t>
      </w:r>
      <w:r>
        <w:t xml:space="preserve">compara o que você</w:t>
      </w:r>
      <w:r>
        <w:t xml:space="preserve"> </w:t>
      </w:r>
      <w:r>
        <w:rPr>
          <w:b/>
        </w:rPr>
        <w:t xml:space="preserve">observou</w:t>
      </w:r>
      <w:r>
        <w:t xml:space="preserve"> </w:t>
      </w:r>
      <w:r>
        <w:t xml:space="preserve">com o que seria</w:t>
      </w:r>
      <w:r>
        <w:t xml:space="preserve"> </w:t>
      </w:r>
      <w:r>
        <w:rPr>
          <w:b/>
        </w:rPr>
        <w:t xml:space="preserve">esperado se não houvesse associação</w:t>
      </w:r>
      <w:r>
        <w:t xml:space="preserve">. Se a diferença observado-vs-esperado for</w:t>
      </w:r>
      <w:r>
        <w:t xml:space="preserve"> </w:t>
      </w:r>
      <w:r>
        <w:t xml:space="preserve">grande, o p fica pequeno e concluímos que há associação.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Teste exato de Fisher:</w:t>
      </w:r>
      <w:r>
        <w:t xml:space="preserve"> </w:t>
      </w:r>
      <w:r>
        <w:t xml:space="preserve">faz o mesmo, mas é usado quando alguma</w:t>
      </w:r>
      <w:r>
        <w:t xml:space="preserve"> </w:t>
      </w:r>
      <w:r>
        <w:rPr>
          <w:b/>
        </w:rPr>
        <w:t xml:space="preserve">casela tem poucos</w:t>
      </w:r>
      <w:r>
        <w:rPr>
          <w:b/>
        </w:rPr>
        <w:t xml:space="preserve"> </w:t>
      </w:r>
      <w:r>
        <w:rPr>
          <w:b/>
        </w:rPr>
        <w:t xml:space="preserve">casos</w:t>
      </w:r>
      <w:r>
        <w:t xml:space="preserve"> </w:t>
      </w:r>
      <w:r>
        <w:t xml:space="preserve">(regra prática: contagens esperadas &lt; 5). Nesses casos o qui-quadrado fica</w:t>
      </w:r>
      <w:r>
        <w:t xml:space="preserve"> </w:t>
      </w:r>
      <w:r>
        <w:t xml:space="preserve">pouco confiável e o Fisher é mais correto. Por isso o texto diz</w:t>
      </w:r>
      <w:r>
        <w:t xml:space="preserve"> </w:t>
      </w:r>
      <w:r>
        <w:t xml:space="preserve">“</w:t>
      </w:r>
      <w:r>
        <w:t xml:space="preserve">qui-quadrado</w:t>
      </w:r>
      <w:r>
        <w:t xml:space="preserve"> </w:t>
      </w:r>
      <w:r>
        <w:rPr>
          <w:b/>
        </w:rPr>
        <w:t xml:space="preserve">ou</w:t>
      </w:r>
      <w:r>
        <w:t xml:space="preserve"> </w:t>
      </w:r>
      <w:r>
        <w:t xml:space="preserve">Fisher, conforme apropriado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Como ler:</w:t>
      </w:r>
      <w:r>
        <w:t xml:space="preserve"> </w:t>
      </w:r>
      <w:r>
        <w:t xml:space="preserve">“</w:t>
      </w:r>
      <w:r>
        <w:t xml:space="preserve">associação significativa entre faixa etária e via de parto (p &lt; 0,001)</w:t>
      </w:r>
      <w:r>
        <w:t xml:space="preserve">”</w:t>
      </w:r>
      <w:r>
        <w:t xml:space="preserve"> </w:t>
      </w:r>
      <w:r>
        <w:t xml:space="preserve">= a distribuição de partos realmente difere entre os grupos etários.</w:t>
      </w:r>
    </w:p>
    <w:p>
      <w:pPr>
        <w:pStyle w:val="Heading3"/>
      </w:pPr>
      <w:bookmarkStart w:id="35" w:name="Xeb06825302fcdda630901183f6da8b4e8656a19"/>
      <w:r>
        <w:t xml:space="preserve">7.4 Teste de Kolmogorov-Smirnov (a variável é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?)</w:t>
      </w:r>
      <w:bookmarkEnd w:id="35"/>
    </w:p>
    <w:p>
      <w:pPr>
        <w:pStyle w:val="FirstParagraph"/>
      </w:pPr>
      <w:r>
        <w:t xml:space="preserve">Para variáveis</w:t>
      </w:r>
      <w:r>
        <w:t xml:space="preserve"> </w:t>
      </w:r>
      <w:r>
        <w:rPr>
          <w:b/>
        </w:rPr>
        <w:t xml:space="preserve">numéricas</w:t>
      </w:r>
      <w:r>
        <w:t xml:space="preserve"> </w:t>
      </w:r>
      <w:r>
        <w:t xml:space="preserve">(ex.: idade, número de consultas, idade gestacional),</w:t>
      </w:r>
      <w:r>
        <w:t xml:space="preserve"> </w:t>
      </w:r>
      <w:r>
        <w:t xml:space="preserve">antes de resumir os dados precisamos saber se eles seguem a</w:t>
      </w:r>
      <w:r>
        <w:t xml:space="preserve"> </w:t>
      </w:r>
      <w:r>
        <w:rPr>
          <w:b/>
        </w:rPr>
        <w:t xml:space="preserve">curva normal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sino</w:t>
      </w:r>
      <w:r>
        <w:t xml:space="preserve">”</w:t>
      </w:r>
      <w:r>
        <w:t xml:space="preserve"> </w:t>
      </w:r>
      <w:r>
        <w:t xml:space="preserve">simétrico). O</w:t>
      </w:r>
      <w:r>
        <w:t xml:space="preserve"> </w:t>
      </w:r>
      <w:r>
        <w:rPr>
          <w:b/>
        </w:rPr>
        <w:t xml:space="preserve">Kolmogorov-Smirnov</w:t>
      </w:r>
      <w:r>
        <w:t xml:space="preserve"> </w:t>
      </w:r>
      <w:r>
        <w:t xml:space="preserve">testa exatamente isso.</w:t>
      </w:r>
    </w:p>
    <w:p>
      <w:pPr>
        <w:numPr>
          <w:ilvl w:val="0"/>
          <w:numId w:val="1008"/>
        </w:numPr>
        <w:pStyle w:val="Compact"/>
      </w:pPr>
      <w:r>
        <w:t xml:space="preserve">Se</w:t>
      </w:r>
      <w:r>
        <w:t xml:space="preserve"> </w:t>
      </w:r>
      <w:r>
        <w:rPr>
          <w:b/>
        </w:rPr>
        <w:t xml:space="preserve">é normal</w:t>
      </w:r>
      <w:r>
        <w:t xml:space="preserve"> </w:t>
      </w:r>
      <w:r>
        <w:t xml:space="preserve">→ resumimos com</w:t>
      </w:r>
      <w:r>
        <w:t xml:space="preserve"> </w:t>
      </w:r>
      <w:r>
        <w:rPr>
          <w:b/>
        </w:rPr>
        <w:t xml:space="preserve">média ± desvio-padrão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Se</w:t>
      </w:r>
      <w:r>
        <w:t xml:space="preserve"> </w:t>
      </w:r>
      <w:r>
        <w:rPr>
          <w:b/>
        </w:rPr>
        <w:t xml:space="preserve">não é normal</w:t>
      </w:r>
      <w:r>
        <w:t xml:space="preserve"> </w:t>
      </w:r>
      <w:r>
        <w:t xml:space="preserve">→ resumimos com</w:t>
      </w:r>
      <w:r>
        <w:t xml:space="preserve"> </w:t>
      </w:r>
      <w:r>
        <w:rPr>
          <w:b/>
        </w:rPr>
        <w:t xml:space="preserve">mediana e intervalo interquartil (IIQ)</w:t>
      </w:r>
      <w:r>
        <w:t xml:space="preserve">, que</w:t>
      </w:r>
      <w:r>
        <w:t xml:space="preserve"> </w:t>
      </w:r>
      <w:r>
        <w:t xml:space="preserve">são mais honestos quando há valores extremos.</w:t>
      </w:r>
    </w:p>
    <w:p>
      <w:pPr>
        <w:pStyle w:val="FirstParagraph"/>
      </w:pPr>
      <w:r>
        <w:t xml:space="preserve">É só um teste de</w:t>
      </w:r>
      <w:r>
        <w:t xml:space="preserve"> </w:t>
      </w:r>
      <w:r>
        <w:t xml:space="preserve">“</w:t>
      </w:r>
      <w:r>
        <w:t xml:space="preserve">qual resumo usar</w:t>
      </w:r>
      <w:r>
        <w:t xml:space="preserve">”</w:t>
      </w:r>
      <w:r>
        <w:t xml:space="preserve">, não um achado clínico em si.</w:t>
      </w:r>
    </w:p>
    <w:p>
      <w:pPr>
        <w:pStyle w:val="Heading3"/>
      </w:pPr>
      <w:bookmarkStart w:id="36" w:name="Xddf26cca5774e45ad76ecf425e3d298df2d9cfe"/>
      <w:r>
        <w:t xml:space="preserve">7.5 Comparar um número entre 3 grupos: os testes da Seção 5.1.6 (Número de consultas)</w:t>
      </w:r>
      <w:bookmarkEnd w:id="36"/>
    </w:p>
    <w:p>
      <w:pPr>
        <w:pStyle w:val="FirstParagraph"/>
      </w:pPr>
      <w:r>
        <w:t xml:space="preserve">A análise do</w:t>
      </w:r>
      <w:r>
        <w:t xml:space="preserve"> </w:t>
      </w:r>
      <w:r>
        <w:rPr>
          <w:b/>
        </w:rPr>
        <w:t xml:space="preserve">número de consultas de pré-natal</w:t>
      </w:r>
      <w:r>
        <w:t xml:space="preserve"> </w:t>
      </w:r>
      <w:r>
        <w:t xml:space="preserve">por faixa etária (Seção 5.1.6) usa um</w:t>
      </w:r>
      <w:r>
        <w:t xml:space="preserve"> </w:t>
      </w:r>
      <w:r>
        <w:t xml:space="preserve">conjunto específico de testes, porque a variável é</w:t>
      </w:r>
      <w:r>
        <w:t xml:space="preserve"> </w:t>
      </w:r>
      <w:r>
        <w:rPr>
          <w:b/>
        </w:rPr>
        <w:t xml:space="preserve">numérica</w:t>
      </w:r>
      <w:r>
        <w:t xml:space="preserve">, comparada entre</w:t>
      </w:r>
      <w:r>
        <w:t xml:space="preserve"> </w:t>
      </w:r>
      <w:r>
        <w:rPr>
          <w:b/>
        </w:rPr>
        <w:t xml:space="preserve">três</w:t>
      </w:r>
      <w:r>
        <w:rPr>
          <w:b/>
        </w:rPr>
        <w:t xml:space="preserve"> </w:t>
      </w:r>
      <w:r>
        <w:rPr>
          <w:b/>
        </w:rPr>
        <w:t xml:space="preserve">grupos</w:t>
      </w:r>
      <w:r>
        <w:t xml:space="preserve"> </w:t>
      </w:r>
      <w:r>
        <w:t xml:space="preserve">(precoces, tardias e adultas) e</w:t>
      </w:r>
      <w:r>
        <w:t xml:space="preserve"> </w:t>
      </w:r>
      <w:r>
        <w:rPr>
          <w:b/>
        </w:rPr>
        <w:t xml:space="preserve">não segue a curva normal</w:t>
      </w:r>
      <w:r>
        <w:t xml:space="preserve">. Esta é a</w:t>
      </w:r>
      <w:r>
        <w:t xml:space="preserve"> </w:t>
      </w:r>
      <w:r>
        <w:t xml:space="preserve">“</w:t>
      </w:r>
      <w:r>
        <w:t xml:space="preserve">caixa de ferramentas não-paramétrica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/>
        </w:rPr>
        <w:t xml:space="preserve">a) Shapiro-Wilk — a variável é normal?</w:t>
      </w:r>
      <w:r>
        <w:t xml:space="preserve"> </w:t>
      </w:r>
      <w:r>
        <w:t xml:space="preserve">Mesmo papel do Kolmogorov-Smirnov (Seção 7.4): testa se os dados seguem o</w:t>
      </w:r>
      <w:r>
        <w:t xml:space="preserve"> </w:t>
      </w:r>
      <w:r>
        <w:t xml:space="preserve">“</w:t>
      </w:r>
      <w:r>
        <w:t xml:space="preserve">sino</w:t>
      </w:r>
      <w:r>
        <w:t xml:space="preserve">”</w:t>
      </w:r>
      <w:r>
        <w:t xml:space="preserve">. Aqui</w:t>
      </w:r>
      <w:r>
        <w:t xml:space="preserve"> </w:t>
      </w:r>
      <w:r>
        <w:t xml:space="preserve">deu</w:t>
      </w:r>
      <w:r>
        <w:t xml:space="preserve"> </w:t>
      </w:r>
      <w:r>
        <w:rPr>
          <w:b/>
        </w:rPr>
        <w:t xml:space="preserve">p &lt; 0,001 nos três grupos</w:t>
      </w:r>
      <w:r>
        <w:t xml:space="preserve">, ou seja,</w:t>
      </w:r>
      <w:r>
        <w:t xml:space="preserve"> </w:t>
      </w:r>
      <w:r>
        <w:rPr>
          <w:b/>
        </w:rPr>
        <w:t xml:space="preserve">não são normais</w:t>
      </w:r>
      <w:r>
        <w:t xml:space="preserve">. Por isso usamos a</w:t>
      </w:r>
      <w:r>
        <w:t xml:space="preserve"> </w:t>
      </w:r>
      <w:r>
        <w:t xml:space="preserve">mediana (não a média) e testes não-paramétricos. (Os dois testes de normalidade são</w:t>
      </w:r>
      <w:r>
        <w:t xml:space="preserve"> </w:t>
      </w:r>
      <w:r>
        <w:t xml:space="preserve">intercambiáveis; o Shapiro-Wilk costuma ser preferido em amostras menores.)</w:t>
      </w:r>
    </w:p>
    <w:p>
      <w:pPr>
        <w:pStyle w:val="BodyText"/>
      </w:pPr>
      <w:r>
        <w:rPr>
          <w:b/>
        </w:rPr>
        <w:t xml:space="preserve">b) Kruskal-Wallis — há diferença entre os 3 grupos?</w:t>
      </w:r>
      <w:r>
        <w:t xml:space="preserve"> </w:t>
      </w:r>
      <w:r>
        <w:t xml:space="preserve">É a versão não-paramétrica da comparação de médias entre vários grupos. Em vez de</w:t>
      </w:r>
      <w:r>
        <w:t xml:space="preserve"> </w:t>
      </w:r>
      <w:r>
        <w:t xml:space="preserve">comparar médias, ele compara a</w:t>
      </w:r>
      <w:r>
        <w:t xml:space="preserve"> </w:t>
      </w:r>
      <w:r>
        <w:rPr>
          <w:b/>
        </w:rPr>
        <w:t xml:space="preserve">posição (os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postos</w:t>
      </w:r>
      <w:r>
        <w:rPr>
          <w:b/>
        </w:rPr>
        <w:t xml:space="preserve">”</w:t>
      </w:r>
      <w:r>
        <w:rPr>
          <w:b/>
        </w:rPr>
        <w:t xml:space="preserve">) das observações</w:t>
      </w:r>
      <w:r>
        <w:t xml:space="preserve"> </w:t>
      </w:r>
      <w:r>
        <w:t xml:space="preserve">entre os</w:t>
      </w:r>
      <w:r>
        <w:t xml:space="preserve"> </w:t>
      </w:r>
      <w:r>
        <w:t xml:space="preserve">grupos. Responde: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 número de consultas difere entre pelo menos um par de faixas</w:t>
      </w:r>
      <w:r>
        <w:rPr>
          <w:i/>
        </w:rPr>
        <w:t xml:space="preserve"> </w:t>
      </w:r>
      <w:r>
        <w:rPr>
          <w:i/>
        </w:rPr>
        <w:t xml:space="preserve">etárias?</w:t>
      </w:r>
      <w:r>
        <w:rPr>
          <w:i/>
        </w:rPr>
        <w:t xml:space="preserve">”</w:t>
      </w:r>
      <w:r>
        <w:t xml:space="preserve"> </w:t>
      </w:r>
      <w:r>
        <w:t xml:space="preserve">Resultado:</w:t>
      </w:r>
      <w:r>
        <w:t xml:space="preserve"> </w:t>
      </w:r>
      <w:r>
        <w:rPr>
          <w:b/>
        </w:rPr>
        <w:t xml:space="preserve">H = 18,52; gl = 2; p &lt; 0,001</w:t>
      </w:r>
      <w:r>
        <w:t xml:space="preserve"> </w:t>
      </w:r>
      <w:r>
        <w:t xml:space="preserve">→ sim, existe diferença global.</w:t>
      </w:r>
      <w:r>
        <w:t xml:space="preserve"> </w:t>
      </w:r>
      <w:r>
        <w:t xml:space="preserve">É o</w:t>
      </w:r>
      <w:r>
        <w:t xml:space="preserve"> </w:t>
      </w:r>
      <w:r>
        <w:t xml:space="preserve">“</w:t>
      </w:r>
      <w:r>
        <w:t xml:space="preserve">irmão</w:t>
      </w:r>
      <w:r>
        <w:t xml:space="preserve">”</w:t>
      </w:r>
      <w:r>
        <w:t xml:space="preserve"> </w:t>
      </w:r>
      <w:r>
        <w:t xml:space="preserve">do qui-quadrado, mas para variáveis numéricas em vez de categorias.</w:t>
      </w:r>
    </w:p>
    <w:p>
      <w:pPr>
        <w:pStyle w:val="BodyText"/>
      </w:pPr>
      <w:r>
        <w:rPr>
          <w:b/>
        </w:rPr>
        <w:t xml:space="preserve">c) ε² (epsilon-quadrado) — a diferença é grande ou pequena?</w:t>
      </w:r>
      <w:r>
        <w:t xml:space="preserve"> </w:t>
      </w:r>
      <w:r>
        <w:t xml:space="preserve">O Kruskal-Wallis só diz que</w:t>
      </w:r>
      <w:r>
        <w:t xml:space="preserve"> </w:t>
      </w:r>
      <w:r>
        <w:rPr>
          <w:b/>
        </w:rPr>
        <w:t xml:space="preserve">existe</w:t>
      </w:r>
      <w:r>
        <w:t xml:space="preserve"> </w:t>
      </w:r>
      <w:r>
        <w:t xml:space="preserve">diferença, não o</w:t>
      </w:r>
      <w:r>
        <w:t xml:space="preserve"> </w:t>
      </w:r>
      <w:r>
        <w:rPr>
          <w:b/>
        </w:rPr>
        <w:t xml:space="preserve">tamanho</w:t>
      </w:r>
      <w:r>
        <w:t xml:space="preserve"> </w:t>
      </w:r>
      <w:r>
        <w:t xml:space="preserve">dela. O ε² mede isso:</w:t>
      </w:r>
      <w:r>
        <w:t xml:space="preserve"> </w:t>
      </w:r>
      <w:r>
        <w:t xml:space="preserve">vai de 0 a 1. Aqui</w:t>
      </w:r>
      <w:r>
        <w:t xml:space="preserve"> </w:t>
      </w:r>
      <w:r>
        <w:rPr>
          <w:b/>
        </w:rPr>
        <w:t xml:space="preserve">ε² = 0,003</w:t>
      </w:r>
      <w:r>
        <w:t xml:space="preserve">, um valor</w:t>
      </w:r>
      <w:r>
        <w:t xml:space="preserve"> </w:t>
      </w:r>
      <w:r>
        <w:rPr>
          <w:b/>
        </w:rPr>
        <w:t xml:space="preserve">praticamente nulo</w:t>
      </w:r>
      <w:r>
        <w:t xml:space="preserve"> </w:t>
      </w:r>
      <w:r>
        <w:t xml:space="preserve">— ou seja, a diferença</w:t>
      </w:r>
      <w:r>
        <w:t xml:space="preserve"> </w:t>
      </w:r>
      <w:r>
        <w:t xml:space="preserve">é real (não é acaso), mas tão pequena que tem pouca relevância prática.</w:t>
      </w:r>
      <w:r>
        <w:t xml:space="preserve"> </w:t>
      </w:r>
      <w:r>
        <w:rPr>
          <w:b/>
        </w:rPr>
        <w:t xml:space="preserve">Esse contraste</w:t>
      </w:r>
      <w:r>
        <w:rPr>
          <w:b/>
        </w:rPr>
        <w:t xml:space="preserve"> </w:t>
      </w:r>
      <w:r>
        <w:rPr>
          <w:b/>
        </w:rPr>
        <w:t xml:space="preserve">é importante de mencionar:</w:t>
      </w:r>
      <w:r>
        <w:t xml:space="preserve"> </w:t>
      </w:r>
      <w:r>
        <w:t xml:space="preserve">com amostra grande, até diferenças minúsculas viram</w:t>
      </w:r>
      <w:r>
        <w:t xml:space="preserve"> </w:t>
      </w:r>
      <w:r>
        <w:t xml:space="preserve">“</w:t>
      </w:r>
      <w:r>
        <w:t xml:space="preserve">significativas</w:t>
      </w:r>
      <w:r>
        <w:t xml:space="preserve">”</w:t>
      </w:r>
      <w:r>
        <w:t xml:space="preserve">; o tamanho de efeito é que mostra se importam.</w:t>
      </w:r>
    </w:p>
    <w:p>
      <w:pPr>
        <w:pStyle w:val="BodyText"/>
      </w:pPr>
      <w:r>
        <w:rPr>
          <w:b/>
        </w:rPr>
        <w:t xml:space="preserve">d) Post-hoc de Dunn com correção de Holm — entre QUAIS grupos está a diferença?</w:t>
      </w:r>
      <w:r>
        <w:t xml:space="preserve"> </w:t>
      </w:r>
      <w:r>
        <w:t xml:space="preserve">O Kruskal-Wallis diz que há diferença em algum lugar, mas não onde. O</w:t>
      </w:r>
      <w:r>
        <w:t xml:space="preserve"> </w:t>
      </w:r>
      <w:r>
        <w:rPr>
          <w:b/>
        </w:rPr>
        <w:t xml:space="preserve">teste de Dunn</w:t>
      </w:r>
      <w:r>
        <w:t xml:space="preserve"> </w:t>
      </w:r>
      <w:r>
        <w:t xml:space="preserve">compara os grupos</w:t>
      </w:r>
      <w:r>
        <w:t xml:space="preserve"> </w:t>
      </w:r>
      <w:r>
        <w:rPr>
          <w:b/>
        </w:rPr>
        <w:t xml:space="preserve">dois a dois</w:t>
      </w:r>
      <w:r>
        <w:t xml:space="preserve"> </w:t>
      </w:r>
      <w:r>
        <w:t xml:space="preserve">(precoces vs. tardias, precoces vs. adultas, tardias</w:t>
      </w:r>
      <w:r>
        <w:t xml:space="preserve"> </w:t>
      </w:r>
      <w:r>
        <w:t xml:space="preserve">vs. adultas) para localizar a diferença. Como fazer várias comparações ao mesmo tempo</w:t>
      </w:r>
      <w:r>
        <w:t xml:space="preserve"> </w:t>
      </w:r>
      <w:r>
        <w:t xml:space="preserve">aumenta a chance de um</w:t>
      </w:r>
      <w:r>
        <w:t xml:space="preserve"> </w:t>
      </w:r>
      <w:r>
        <w:t xml:space="preserve">“</w:t>
      </w:r>
      <w:r>
        <w:t xml:space="preserve">falso positivo</w:t>
      </w:r>
      <w:r>
        <w:t xml:space="preserve">”</w:t>
      </w:r>
      <w:r>
        <w:t xml:space="preserve">, aplica-se a</w:t>
      </w:r>
      <w:r>
        <w:t xml:space="preserve"> </w:t>
      </w:r>
      <w:r>
        <w:rPr>
          <w:b/>
        </w:rPr>
        <w:t xml:space="preserve">correção de Holm</w:t>
      </w:r>
      <w:r>
        <w:t xml:space="preserve">, que torna o</w:t>
      </w:r>
      <w:r>
        <w:t xml:space="preserve"> </w:t>
      </w:r>
      <w:r>
        <w:t xml:space="preserve">critério mais rígido para compensar. Resultado: precoces fizeram menos consultas que</w:t>
      </w:r>
      <w:r>
        <w:t xml:space="preserve"> </w:t>
      </w:r>
      <w:r>
        <w:t xml:space="preserve">adultas (p &lt; 0,001) e que tardias (p = 0,045); entre tardias e adultas não houve</w:t>
      </w:r>
      <w:r>
        <w:t xml:space="preserve"> </w:t>
      </w:r>
      <w:r>
        <w:t xml:space="preserve">diferença (p = 0,131).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Ressalva que precisa aparecer no texto:</w:t>
      </w:r>
      <w:r>
        <w:t xml:space="preserve"> </w:t>
      </w:r>
      <w:r>
        <w:t xml:space="preserve">essa variável tem</w:t>
      </w:r>
      <w:r>
        <w:t xml:space="preserve"> </w:t>
      </w:r>
      <w:r>
        <w:rPr>
          <w:b/>
        </w:rPr>
        <w:t xml:space="preserve">muitos dados</w:t>
      </w:r>
      <w:r>
        <w:rPr>
          <w:b/>
        </w:rPr>
        <w:t xml:space="preserve"> </w:t>
      </w:r>
      <w:r>
        <w:rPr>
          <w:b/>
        </w:rPr>
        <w:t xml:space="preserve">ausentes e de forma desigual</w:t>
      </w:r>
      <w:r>
        <w:t xml:space="preserve"> </w:t>
      </w:r>
      <w:r>
        <w:t xml:space="preserve">— faltou em ~61% das adolescentes contra ~11% das</w:t>
      </w:r>
      <w:r>
        <w:t xml:space="preserve"> </w:t>
      </w:r>
      <w:r>
        <w:t xml:space="preserve">adultas. Então a comparação se apoia em poucas adolescentes (210 precoces, 322</w:t>
      </w:r>
      <w:r>
        <w:t xml:space="preserve"> </w:t>
      </w:r>
      <w:r>
        <w:t xml:space="preserve">tardias) e pode estar enviesada. Reporte sempre o</w:t>
      </w:r>
      <w:r>
        <w:t xml:space="preserve"> </w:t>
      </w:r>
      <w:r>
        <w:rPr>
          <w:b/>
        </w:rPr>
        <w:t xml:space="preserve">n válido e o % de ausência por</w:t>
      </w:r>
      <w:r>
        <w:rPr>
          <w:b/>
        </w:rPr>
        <w:t xml:space="preserve"> </w:t>
      </w:r>
      <w:r>
        <w:rPr>
          <w:b/>
        </w:rPr>
        <w:t xml:space="preserve">grupo</w:t>
      </w:r>
      <w:r>
        <w:t xml:space="preserve"> </w:t>
      </w:r>
      <w:r>
        <w:t xml:space="preserve">e trate o achado com cautela — ainda mais porque o efeito é desprezível</w:t>
      </w:r>
      <w:r>
        <w:t xml:space="preserve"> </w:t>
      </w:r>
      <w:r>
        <w:t xml:space="preserve">(ε² = 0,003). Texto pronto está em</w:t>
      </w:r>
      <w:r>
        <w:t xml:space="preserve"> </w:t>
      </w:r>
      <w:r>
        <w:rPr>
          <w:rStyle w:val="VerbatimChar"/>
        </w:rPr>
        <w:t xml:space="preserve">results/RESUMO_consultas_faixa_etaria.md</w:t>
      </w:r>
      <w:r>
        <w:t xml:space="preserve">.</w:t>
      </w:r>
    </w:p>
    <w:p>
      <w:pPr>
        <w:pStyle w:val="Heading3"/>
      </w:pPr>
      <w:bookmarkStart w:id="37" w:name="X7dcb6f2c494cb1a5223e3ce3b0c78c94c952538"/>
      <w:r>
        <w:t xml:space="preserve">7.6 A Classificação de Robson (organizar antes de comparar)</w:t>
      </w:r>
      <w:bookmarkEnd w:id="37"/>
    </w:p>
    <w:p>
      <w:pPr>
        <w:pStyle w:val="FirstParagraph"/>
      </w:pPr>
      <w:r>
        <w:t xml:space="preserve">Não é um teste estatístico, e sim uma</w:t>
      </w:r>
      <w:r>
        <w:t xml:space="preserve"> </w:t>
      </w:r>
      <w:r>
        <w:rPr>
          <w:b/>
        </w:rPr>
        <w:t xml:space="preserve">forma de agrupar</w:t>
      </w:r>
      <w:r>
        <w:t xml:space="preserve"> </w:t>
      </w:r>
      <w:r>
        <w:t xml:space="preserve">as gestantes em 10 grupos</w:t>
      </w:r>
      <w:r>
        <w:t xml:space="preserve"> </w:t>
      </w:r>
      <w:r>
        <w:t xml:space="preserve">segundo características objetivas (paridade, cesárea prévia, início do parto,</w:t>
      </w:r>
      <w:r>
        <w:t xml:space="preserve"> </w:t>
      </w:r>
      <w:r>
        <w:t xml:space="preserve">apresentação, número de fetos, idade gestacional). É o padrão da OMS.</w:t>
      </w:r>
    </w:p>
    <w:p>
      <w:pPr>
        <w:pStyle w:val="BodyText"/>
      </w:pPr>
      <w:r>
        <w:rPr>
          <w:b/>
        </w:rPr>
        <w:t xml:space="preserve">Por que importa:</w:t>
      </w:r>
      <w:r>
        <w:t xml:space="preserve"> </w:t>
      </w:r>
      <w:r>
        <w:t xml:space="preserve">comparar a taxa de cesárea</w:t>
      </w:r>
      <w:r>
        <w:t xml:space="preserve"> </w:t>
      </w:r>
      <w:r>
        <w:t xml:space="preserve">“</w:t>
      </w:r>
      <w:r>
        <w:t xml:space="preserve">crua</w:t>
      </w:r>
      <w:r>
        <w:t xml:space="preserve">”</w:t>
      </w:r>
      <w:r>
        <w:t xml:space="preserve"> </w:t>
      </w:r>
      <w:r>
        <w:t xml:space="preserve">entre adolescentes e adultas</w:t>
      </w:r>
      <w:r>
        <w:t xml:space="preserve"> </w:t>
      </w:r>
      <w:r>
        <w:t xml:space="preserve">seria injusto, porque as adultas têm mais cesárea prévia, mais gravidez múltipla, etc.</w:t>
      </w:r>
      <w:r>
        <w:t xml:space="preserve"> </w:t>
      </w:r>
      <w:r>
        <w:t xml:space="preserve">Ao comparar</w:t>
      </w:r>
      <w:r>
        <w:t xml:space="preserve"> </w:t>
      </w:r>
      <w:r>
        <w:rPr>
          <w:b/>
        </w:rPr>
        <w:t xml:space="preserve">dentro de cada grupo de Robson</w:t>
      </w:r>
      <w:r>
        <w:t xml:space="preserve">, você compara situações clínicas</w:t>
      </w:r>
      <w:r>
        <w:t xml:space="preserve"> </w:t>
      </w:r>
      <w:r>
        <w:t xml:space="preserve">parecidas — é como comparar</w:t>
      </w:r>
      <w:r>
        <w:t xml:space="preserve"> </w:t>
      </w:r>
      <w:r>
        <w:t xml:space="preserve">“</w:t>
      </w:r>
      <w:r>
        <w:t xml:space="preserve">laranja com laranja</w:t>
      </w:r>
      <w:r>
        <w:t xml:space="preserve">”</w:t>
      </w:r>
      <w:r>
        <w:t xml:space="preserve">. Foi isso que permitiu mostrar que a</w:t>
      </w:r>
      <w:r>
        <w:t xml:space="preserve"> </w:t>
      </w:r>
      <w:r>
        <w:t xml:space="preserve">diferença por idade não é só efeito da composição dos grupos.</w:t>
      </w:r>
    </w:p>
    <w:p>
      <w:pPr>
        <w:pStyle w:val="Heading3"/>
      </w:pPr>
      <w:bookmarkStart w:id="38" w:name="X7f6f8bd36d38d1184d91454d3ea64e4259b363b"/>
      <w:r>
        <w:t xml:space="preserve">7.7 A medida de efeito: Razão de Prevalência (PR) — a estrela da revisão</w:t>
      </w:r>
      <w:bookmarkEnd w:id="38"/>
    </w:p>
    <w:p>
      <w:pPr>
        <w:pStyle w:val="FirstParagraph"/>
      </w:pPr>
      <w:r>
        <w:t xml:space="preserve">Depois de saber que</w:t>
      </w:r>
      <w:r>
        <w:t xml:space="preserve"> </w:t>
      </w:r>
      <w:r>
        <w:rPr>
          <w:b/>
        </w:rPr>
        <w:t xml:space="preserve">existe</w:t>
      </w:r>
      <w:r>
        <w:t xml:space="preserve"> </w:t>
      </w:r>
      <w:r>
        <w:t xml:space="preserve">diferença (p-valor), queremos saber o</w:t>
      </w:r>
      <w:r>
        <w:t xml:space="preserve"> </w:t>
      </w:r>
      <w:r>
        <w:rPr>
          <w:b/>
        </w:rPr>
        <w:t xml:space="preserve">tamanho</w:t>
      </w:r>
      <w:r>
        <w:t xml:space="preserve"> </w:t>
      </w:r>
      <w:r>
        <w:t xml:space="preserve">dela.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Razão de Prevalência (PR)</w:t>
      </w:r>
      <w:r>
        <w:t xml:space="preserve"> </w:t>
      </w:r>
      <w:r>
        <w:t xml:space="preserve">faz isso de forma direta:</w:t>
      </w:r>
    </w:p>
    <w:p>
      <w:pPr>
        <w:pStyle w:val="BlockText"/>
      </w:pPr>
      <w:r>
        <w:rPr>
          <w:b/>
        </w:rPr>
        <w:t xml:space="preserve">PR = prevalência de cesárea no grupo exposto ÷ prevalência no grupo de referência.</w:t>
      </w:r>
    </w:p>
    <w:p>
      <w:pPr>
        <w:pStyle w:val="FirstParagraph"/>
      </w:pPr>
      <w:r>
        <w:t xml:space="preserve">Leitura por exemplos: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1,35</w:t>
      </w:r>
      <w:r>
        <w:t xml:space="preserve"> </w:t>
      </w:r>
      <w:r>
        <w:t xml:space="preserve">(adultas vs. adolescentes) → as adultas têm</w:t>
      </w:r>
      <w:r>
        <w:t xml:space="preserve"> </w:t>
      </w:r>
      <w:r>
        <w:rPr>
          <w:b/>
        </w:rPr>
        <w:t xml:space="preserve">35% mais</w:t>
      </w:r>
      <w:r>
        <w:t xml:space="preserve"> </w:t>
      </w:r>
      <w:r>
        <w:t xml:space="preserve">cesárea.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2,38</w:t>
      </w:r>
      <w:r>
        <w:t xml:space="preserve"> </w:t>
      </w:r>
      <w:r>
        <w:t xml:space="preserve">(Robson 5) → esse grupo tem</w:t>
      </w:r>
      <w:r>
        <w:t xml:space="preserve"> </w:t>
      </w:r>
      <w:r>
        <w:rPr>
          <w:b/>
        </w:rPr>
        <w:t xml:space="preserve">2,4 vezes</w:t>
      </w:r>
      <w:r>
        <w:t xml:space="preserve"> </w:t>
      </w:r>
      <w:r>
        <w:t xml:space="preserve">a prevalência de cesárea do</w:t>
      </w:r>
      <w:r>
        <w:t xml:space="preserve"> </w:t>
      </w:r>
      <w:r>
        <w:t xml:space="preserve">grupo de referência.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0,58</w:t>
      </w:r>
      <w:r>
        <w:t xml:space="preserve"> </w:t>
      </w:r>
      <w:r>
        <w:t xml:space="preserve">(Robson 3) → esse grupo tem</w:t>
      </w:r>
      <w:r>
        <w:t xml:space="preserve"> </w:t>
      </w:r>
      <w:r>
        <w:rPr>
          <w:b/>
        </w:rPr>
        <w:t xml:space="preserve">42% menos</w:t>
      </w:r>
      <w:r>
        <w:t xml:space="preserve"> </w:t>
      </w:r>
      <w:r>
        <w:t xml:space="preserve">cesárea (PR abaixo de 1 =</w:t>
      </w:r>
      <w:r>
        <w:t xml:space="preserve"> </w:t>
      </w:r>
      <w:r>
        <w:t xml:space="preserve">fator de proteção).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 = 1</w:t>
      </w:r>
      <w:r>
        <w:t xml:space="preserve"> </w:t>
      </w:r>
      <w:r>
        <w:t xml:space="preserve">→ nenhuma diferença.</w:t>
      </w:r>
    </w:p>
    <w:p>
      <w:pPr>
        <w:pStyle w:val="FirstParagraph"/>
      </w:pPr>
      <w:r>
        <w:t xml:space="preserve">A PR vem acompanhada de um</w:t>
      </w:r>
      <w:r>
        <w:t xml:space="preserve"> </w:t>
      </w:r>
      <w:r>
        <w:rPr>
          <w:b/>
        </w:rPr>
        <w:t xml:space="preserve">intervalo de confiança de 95% (IC 95%)</w:t>
      </w:r>
      <w:r>
        <w:t xml:space="preserve"> </w:t>
      </w:r>
      <w:r>
        <w:t xml:space="preserve">— a faixa de</w:t>
      </w:r>
      <w:r>
        <w:t xml:space="preserve"> </w:t>
      </w:r>
      <w:r>
        <w:t xml:space="preserve">valores plausíveis. Ex.: PR 1,35 (IC 1,23–1,48) significa</w:t>
      </w:r>
      <w:r>
        <w:t xml:space="preserve"> </w:t>
      </w:r>
      <w:r>
        <w:t xml:space="preserve">“</w:t>
      </w:r>
      <w:r>
        <w:t xml:space="preserve">o valor mais provável é 1,35,</w:t>
      </w:r>
      <w:r>
        <w:t xml:space="preserve"> </w:t>
      </w:r>
      <w:r>
        <w:t xml:space="preserve">e quase certamente está entre 1,23 e 1,48</w:t>
      </w:r>
      <w:r>
        <w:t xml:space="preserve">”</w:t>
      </w:r>
      <w:r>
        <w:t xml:space="preserve">.</w:t>
      </w:r>
      <w:r>
        <w:t xml:space="preserve"> </w:t>
      </w:r>
      <w:r>
        <w:rPr>
          <w:b/>
        </w:rPr>
        <w:t xml:space="preserve">Se o IC não cruza o 1, o efeito é</w:t>
      </w:r>
      <w:r>
        <w:rPr>
          <w:b/>
        </w:rPr>
        <w:t xml:space="preserve"> </w:t>
      </w:r>
      <w:r>
        <w:rPr>
          <w:b/>
        </w:rPr>
        <w:t xml:space="preserve">significativo.</w:t>
      </w:r>
    </w:p>
    <w:p>
      <w:pPr>
        <w:pStyle w:val="Heading3"/>
      </w:pPr>
      <w:bookmarkStart w:id="39" w:name="por-que-trocamos-o-odds-ratio-or-pela-pr"/>
      <w:r>
        <w:t xml:space="preserve">7.8 Por que trocamos o Odds Ratio (OR) pela PR</w:t>
      </w:r>
      <w:bookmarkEnd w:id="39"/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Odds Ratio (OR)</w:t>
      </w:r>
      <w:r>
        <w:t xml:space="preserve"> </w:t>
      </w:r>
      <w:r>
        <w:t xml:space="preserve">é uma</w:t>
      </w:r>
      <w:r>
        <w:t xml:space="preserve"> </w:t>
      </w:r>
      <w:r>
        <w:t xml:space="preserve">“</w:t>
      </w:r>
      <w:r>
        <w:t xml:space="preserve">razão de chances</w:t>
      </w:r>
      <w:r>
        <w:t xml:space="preserve">”</w:t>
      </w:r>
      <w:r>
        <w:t xml:space="preserve">. Ele é uma boa aproximação do risco</w:t>
      </w:r>
      <w:r>
        <w:t xml:space="preserve"> </w:t>
      </w:r>
      <w:r>
        <w:rPr>
          <w:b/>
        </w:rPr>
        <w:t xml:space="preserve">só quando o desfecho é raro</w:t>
      </w:r>
      <w:r>
        <w:t xml:space="preserve"> </w:t>
      </w:r>
      <w:r>
        <w:t xml:space="preserve">(&lt; ~10% dos casos). A cesárea aqui acontece em</w:t>
      </w:r>
      <w:r>
        <w:t xml:space="preserve"> </w:t>
      </w:r>
      <w:r>
        <w:rPr>
          <w:b/>
        </w:rPr>
        <w:t xml:space="preserve">~56%</w:t>
      </w:r>
      <w:r>
        <w:t xml:space="preserve"> </w:t>
      </w:r>
      <w:r>
        <w:t xml:space="preserve">das gestantes — está longe de ser rara. Nesse cenário, o</w:t>
      </w:r>
      <w:r>
        <w:t xml:space="preserve"> </w:t>
      </w:r>
      <w:r>
        <w:rPr>
          <w:b/>
        </w:rPr>
        <w:t xml:space="preserve">OR exagera</w:t>
      </w:r>
      <w:r>
        <w:t xml:space="preserve"> </w:t>
      </w:r>
      <w:r>
        <w:t xml:space="preserve">o tamanho do</w:t>
      </w:r>
      <w:r>
        <w:t xml:space="preserve"> </w:t>
      </w:r>
      <w:r>
        <w:t xml:space="preserve">efeito.</w:t>
      </w:r>
    </w:p>
    <w:p>
      <w:pPr>
        <w:pStyle w:val="BodyText"/>
      </w:pPr>
      <w:r>
        <w:t xml:space="preserve">Foi exatamente o que aconteceu: o OR dizia que o Robson 5 multiplicava o desfecho por</w:t>
      </w:r>
      <w:r>
        <w:t xml:space="preserve"> </w:t>
      </w:r>
      <w:r>
        <w:rPr>
          <w:b/>
        </w:rPr>
        <w:t xml:space="preserve">12,8</w:t>
      </w:r>
      <w:r>
        <w:t xml:space="preserve"> </w:t>
      </w:r>
      <w:r>
        <w:t xml:space="preserve">e a DHEG</w:t>
      </w:r>
      <w:r>
        <w:t xml:space="preserve"> </w:t>
      </w:r>
      <w:r>
        <w:t xml:space="preserve">“</w:t>
      </w:r>
      <w:r>
        <w:t xml:space="preserve">dobrava</w:t>
      </w:r>
      <w:r>
        <w:t xml:space="preserve">”</w:t>
      </w:r>
      <w:r>
        <w:t xml:space="preserve"> </w:t>
      </w:r>
      <w:r>
        <w:t xml:space="preserve">a chance; em PR, os efeitos reais são</w:t>
      </w:r>
      <w:r>
        <w:t xml:space="preserve"> </w:t>
      </w:r>
      <w:r>
        <w:rPr>
          <w:b/>
        </w:rPr>
        <w:t xml:space="preserve">2,4×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+25%</w:t>
      </w:r>
      <w:r>
        <w:t xml:space="preserve">.</w:t>
      </w:r>
      <w:r>
        <w:t xml:space="preserve"> </w:t>
      </w:r>
      <w:r>
        <w:t xml:space="preserve">A direção e a significância continuam as mesmas — só a magnitude ficou</w:t>
      </w:r>
      <w:r>
        <w:t xml:space="preserve"> </w:t>
      </w:r>
      <w:r>
        <w:rPr>
          <w:b/>
        </w:rPr>
        <w:t xml:space="preserve">realista</w:t>
      </w:r>
      <w:r>
        <w:t xml:space="preserve">.</w:t>
      </w:r>
      <w:r>
        <w:t xml:space="preserve"> </w:t>
      </w:r>
      <w:r>
        <w:t xml:space="preserve">Por isso a PR é a medida recomendada para desfechos comuns, e é a que vai na dissertação.</w:t>
      </w:r>
    </w:p>
    <w:p>
      <w:pPr>
        <w:pStyle w:val="Heading3"/>
      </w:pPr>
      <w:bookmarkStart w:id="40" w:name="X02e6d7cde0a91a94b324f32f77edf75562a4305"/>
      <w:r>
        <w:t xml:space="preserve">7.9 Como a PR foi calculada (regressão de Poisson com variância robusta)</w:t>
      </w:r>
      <w:bookmarkEnd w:id="40"/>
    </w:p>
    <w:p>
      <w:pPr>
        <w:pStyle w:val="FirstParagraph"/>
      </w:pPr>
      <w:r>
        <w:t xml:space="preserve">Para estimar a PR</w:t>
      </w:r>
      <w:r>
        <w:t xml:space="preserve"> </w:t>
      </w:r>
      <w:r>
        <w:rPr>
          <w:b/>
        </w:rPr>
        <w:t xml:space="preserve">ajustando várias variáveis ao mesmo tempo</w:t>
      </w:r>
      <w:r>
        <w:t xml:space="preserve"> </w:t>
      </w:r>
      <w:r>
        <w:t xml:space="preserve">(idade + DHEG + Robson),</w:t>
      </w:r>
      <w:r>
        <w:t xml:space="preserve"> </w:t>
      </w:r>
      <w:r>
        <w:t xml:space="preserve">usamos um método chamado</w:t>
      </w:r>
      <w:r>
        <w:t xml:space="preserve"> </w:t>
      </w:r>
      <w:r>
        <w:rPr>
          <w:b/>
        </w:rPr>
        <w:t xml:space="preserve">regressão de Poisson com variância robusta</w:t>
      </w:r>
      <w:r>
        <w:t xml:space="preserve"> </w:t>
      </w:r>
      <w:r>
        <w:t xml:space="preserve">— também</w:t>
      </w:r>
      <w:r>
        <w:t xml:space="preserve"> </w:t>
      </w:r>
      <w:r>
        <w:t xml:space="preserve">conhecido como</w:t>
      </w:r>
      <w:r>
        <w:t xml:space="preserve"> </w:t>
      </w:r>
      <w:r>
        <w:rPr>
          <w:i/>
        </w:rPr>
        <w:t xml:space="preserve">modified Poisson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Zou (2004)</w:t>
      </w:r>
      <w:r>
        <w:t xml:space="preserve">. Em termos simples:</w:t>
      </w:r>
    </w:p>
    <w:p>
      <w:pPr>
        <w:numPr>
          <w:ilvl w:val="0"/>
          <w:numId w:val="1010"/>
        </w:numPr>
        <w:pStyle w:val="Compact"/>
      </w:pPr>
      <w:r>
        <w:t xml:space="preserve">A regressão</w:t>
      </w:r>
      <w:r>
        <w:t xml:space="preserve"> </w:t>
      </w:r>
      <w:r>
        <w:t xml:space="preserve">“</w:t>
      </w:r>
      <w:r>
        <w:t xml:space="preserve">segura</w:t>
      </w:r>
      <w:r>
        <w:t xml:space="preserve">”</w:t>
      </w:r>
      <w:r>
        <w:t xml:space="preserve"> </w:t>
      </w:r>
      <w:r>
        <w:t xml:space="preserve">o efeito das outras variáveis, isolando o efeito</w:t>
      </w:r>
      <w:r>
        <w:t xml:space="preserve"> </w:t>
      </w:r>
      <w:r>
        <w:rPr>
          <w:b/>
        </w:rPr>
        <w:t xml:space="preserve">só da idade</w:t>
      </w:r>
      <w:r>
        <w:t xml:space="preserve"> </w:t>
      </w:r>
      <w:r>
        <w:t xml:space="preserve">(é o que chamamos de fator</w:t>
      </w:r>
      <w:r>
        <w:t xml:space="preserve"> </w:t>
      </w:r>
      <w:r>
        <w:rPr>
          <w:b/>
        </w:rPr>
        <w:t xml:space="preserve">independente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O ajuste</w:t>
      </w:r>
      <w:r>
        <w:t xml:space="preserve"> </w:t>
      </w:r>
      <w:r>
        <w:t xml:space="preserve">“</w:t>
      </w:r>
      <w:r>
        <w:t xml:space="preserve">robusto</w:t>
      </w:r>
      <w:r>
        <w:t xml:space="preserve">”</w:t>
      </w:r>
      <w:r>
        <w:t xml:space="preserve"> </w:t>
      </w:r>
      <w:r>
        <w:t xml:space="preserve">corrige um detalhe técnico para que os intervalos de confiança</w:t>
      </w:r>
      <w:r>
        <w:t xml:space="preserve"> </w:t>
      </w:r>
      <w:r>
        <w:t xml:space="preserve">fiquem corretos. O resultado já sai diretamente como PR.</w:t>
      </w:r>
    </w:p>
    <w:p>
      <w:pPr>
        <w:pStyle w:val="FirstParagraph"/>
      </w:pPr>
      <w:r>
        <w:t xml:space="preserve">Você não precisa calcular nada disso — está pronto no R. Basta saber dizer: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Razão de</w:t>
      </w:r>
      <w:r>
        <w:rPr>
          <w:i/>
        </w:rPr>
        <w:t xml:space="preserve"> </w:t>
      </w:r>
      <w:r>
        <w:rPr>
          <w:i/>
        </w:rPr>
        <w:t xml:space="preserve">Prevalência foi estimada por regressão de Poisson com variância robusta, indicada para</w:t>
      </w:r>
      <w:r>
        <w:rPr>
          <w:i/>
        </w:rPr>
        <w:t xml:space="preserve"> </w:t>
      </w:r>
      <w:r>
        <w:rPr>
          <w:i/>
        </w:rPr>
        <w:t xml:space="preserve">desfechos de alta prevalência.</w:t>
      </w:r>
      <w:r>
        <w:rPr>
          <w:i/>
        </w:rPr>
        <w:t xml:space="preserve">”</w:t>
      </w:r>
    </w:p>
    <w:p>
      <w:pPr>
        <w:pStyle w:val="Heading3"/>
      </w:pPr>
      <w:bookmarkStart w:id="41" w:name="X4aad35942ff8e9834842cd6edf1bb583e70b58a"/>
      <w:r>
        <w:t xml:space="preserve">7.10 Os modelos preditivos (objetivo 6) — como saber se</w:t>
      </w:r>
      <w:r>
        <w:t xml:space="preserve"> </w:t>
      </w:r>
      <w:r>
        <w:t xml:space="preserve">“</w:t>
      </w:r>
      <w:r>
        <w:t xml:space="preserve">preveem bem</w:t>
      </w:r>
      <w:r>
        <w:t xml:space="preserve">”</w:t>
      </w:r>
      <w:bookmarkEnd w:id="41"/>
    </w:p>
    <w:p>
      <w:pPr>
        <w:pStyle w:val="FirstParagraph"/>
      </w:pPr>
      <w:r>
        <w:t xml:space="preserve">Os três modelos (A, B e C) tentam</w:t>
      </w:r>
      <w:r>
        <w:t xml:space="preserve"> </w:t>
      </w:r>
      <w:r>
        <w:rPr>
          <w:b/>
        </w:rPr>
        <w:t xml:space="preserve">prever</w:t>
      </w:r>
      <w:r>
        <w:t xml:space="preserve"> </w:t>
      </w:r>
      <w:r>
        <w:t xml:space="preserve">quem terá cesárea. Para avaliar o quão bem</w:t>
      </w:r>
      <w:r>
        <w:t xml:space="preserve"> </w:t>
      </w:r>
      <w:r>
        <w:t xml:space="preserve">eles acertam, usamos: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AUC (área sob a curva ROC):</w:t>
      </w:r>
      <w:r>
        <w:t xml:space="preserve"> </w:t>
      </w:r>
      <w:r>
        <w:t xml:space="preserve">vai de 0,5 (chute) a 1,0 (perfeito). Mede a capacidade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distinguir</w:t>
      </w:r>
      <w:r>
        <w:t xml:space="preserve"> </w:t>
      </w:r>
      <w:r>
        <w:t xml:space="preserve">quem vai e quem não vai ter cesárea. Os nossos: A = 0,75, B = 0,78,</w:t>
      </w:r>
      <w:r>
        <w:t xml:space="preserve"> </w:t>
      </w:r>
      <w:r>
        <w:t xml:space="preserve">C = 0,80 →</w:t>
      </w:r>
      <w:r>
        <w:t xml:space="preserve"> </w:t>
      </w:r>
      <w:r>
        <w:t xml:space="preserve">“</w:t>
      </w:r>
      <w:r>
        <w:t xml:space="preserve">boa</w:t>
      </w:r>
      <w:r>
        <w:t xml:space="preserve">”</w:t>
      </w:r>
      <w:r>
        <w:t xml:space="preserve"> </w:t>
      </w:r>
      <w:r>
        <w:t xml:space="preserve">capacidade, crescendo do modelo mais simples para o mais completo.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AUC corrigida por otimismo:</w:t>
      </w:r>
      <w:r>
        <w:t xml:space="preserve"> </w:t>
      </w:r>
      <w:r>
        <w:t xml:space="preserve">como o modelo é testado nos mesmos dados em que foi</w:t>
      </w:r>
      <w:r>
        <w:t xml:space="preserve"> </w:t>
      </w:r>
      <w:r>
        <w:t xml:space="preserve">criado, ele tende a parecer melhor do que é. Uma técnica (</w:t>
      </w:r>
      <w:r>
        <w:rPr>
          <w:i/>
        </w:rPr>
        <w:t xml:space="preserve">bootstrap</w:t>
      </w:r>
      <w:r>
        <w:t xml:space="preserve">) desconta esse</w:t>
      </w:r>
      <w:r>
        <w:t xml:space="preserve"> </w:t>
      </w:r>
      <w:r>
        <w:t xml:space="preserve">“</w:t>
      </w:r>
      <w:r>
        <w:t xml:space="preserve">otimismo</w:t>
      </w:r>
      <w:r>
        <w:t xml:space="preserve">”</w:t>
      </w:r>
      <w:r>
        <w:t xml:space="preserve"> </w:t>
      </w:r>
      <w:r>
        <w:t xml:space="preserve">e dá um valor mais honesto.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Brier score:</w:t>
      </w:r>
      <w:r>
        <w:t xml:space="preserve"> </w:t>
      </w:r>
      <w:r>
        <w:t xml:space="preserve">erro médio das previsões —</w:t>
      </w:r>
      <w:r>
        <w:t xml:space="preserve"> </w:t>
      </w:r>
      <w:r>
        <w:rPr>
          <w:b/>
        </w:rPr>
        <w:t xml:space="preserve">quanto menor, melhor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R² de Nagelkerke:</w:t>
      </w:r>
      <w:r>
        <w:t xml:space="preserve"> </w:t>
      </w:r>
      <w:r>
        <w:t xml:space="preserve">quanto da variação do desfecho o modelo</w:t>
      </w:r>
      <w:r>
        <w:t xml:space="preserve"> </w:t>
      </w:r>
      <w:r>
        <w:t xml:space="preserve">“</w:t>
      </w:r>
      <w:r>
        <w:t xml:space="preserve">explica</w:t>
      </w:r>
      <w:r>
        <w:t xml:space="preserve">”</w:t>
      </w:r>
      <w:r>
        <w:t xml:space="preserve"> </w:t>
      </w:r>
      <w:r>
        <w:t xml:space="preserve">(0 a 1).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Calibração:</w:t>
      </w:r>
      <w:r>
        <w:t xml:space="preserve"> </w:t>
      </w:r>
      <w:r>
        <w:t xml:space="preserve">verifica se, quando o modelo diz</w:t>
      </w:r>
      <w:r>
        <w:t xml:space="preserve"> </w:t>
      </w:r>
      <w:r>
        <w:t xml:space="preserve">“</w:t>
      </w:r>
      <w:r>
        <w:t xml:space="preserve">60% de risco</w:t>
      </w:r>
      <w:r>
        <w:t xml:space="preserve">”</w:t>
      </w:r>
      <w:r>
        <w:t xml:space="preserve">, de fato ~60% têm</w:t>
      </w:r>
      <w:r>
        <w:t xml:space="preserve"> </w:t>
      </w:r>
      <w:r>
        <w:t xml:space="preserve">cesárea. O</w:t>
      </w:r>
      <w:r>
        <w:t xml:space="preserve"> </w:t>
      </w:r>
      <w:r>
        <w:rPr>
          <w:b/>
        </w:rPr>
        <w:t xml:space="preserve">teste de Hosmer-Lemeshow</w:t>
      </w:r>
      <w:r>
        <w:t xml:space="preserve"> </w:t>
      </w:r>
      <w:r>
        <w:t xml:space="preserve">mede isso: aqui um</w:t>
      </w:r>
      <w:r>
        <w:t xml:space="preserve"> </w:t>
      </w:r>
      <w:r>
        <w:rPr>
          <w:b/>
        </w:rPr>
        <w:t xml:space="preserve">p alto (0,517) é bom</w:t>
      </w:r>
      <w:r>
        <w:t xml:space="preserve"> </w:t>
      </w:r>
      <w:r>
        <w:t xml:space="preserve">—</w:t>
      </w:r>
      <w:r>
        <w:t xml:space="preserve"> </w:t>
      </w:r>
      <w:r>
        <w:t xml:space="preserve">significa que não há desencontro entre previsto e observado. (Atenção: é o oposto da</w:t>
      </w:r>
      <w:r>
        <w:t xml:space="preserve"> </w:t>
      </w:r>
      <w:r>
        <w:t xml:space="preserve">leitura usual do p-valor!)</w:t>
      </w:r>
    </w:p>
    <w:p>
      <w:pPr>
        <w:pStyle w:val="Heading3"/>
      </w:pPr>
      <w:bookmarkStart w:id="42" w:name="Xac56932bbd75b4e7f6132df10212f21b0504f11"/>
      <w:r>
        <w:t xml:space="preserve">7.11 Imputação múltipla (MICE) e regras de Rubin — o que fazer com dados faltantes</w:t>
      </w:r>
      <w:bookmarkEnd w:id="42"/>
    </w:p>
    <w:p>
      <w:pPr>
        <w:pStyle w:val="FirstParagraph"/>
      </w:pPr>
      <w:r>
        <w:t xml:space="preserve">Alguns prontuários têm campos em branco. Apagar essas pacientes desperdiçaria informação</w:t>
      </w:r>
      <w:r>
        <w:t xml:space="preserve"> </w:t>
      </w:r>
      <w:r>
        <w:t xml:space="preserve">e poderia enviesar o resultado. A</w:t>
      </w:r>
      <w:r>
        <w:t xml:space="preserve"> </w:t>
      </w:r>
      <w:r>
        <w:rPr>
          <w:b/>
        </w:rPr>
        <w:t xml:space="preserve">imputação múltipla (MICE)</w:t>
      </w:r>
      <w:r>
        <w:t xml:space="preserve"> </w:t>
      </w:r>
      <w:r>
        <w:t xml:space="preserve">preenche os vazios com</w:t>
      </w:r>
      <w:r>
        <w:t xml:space="preserve"> </w:t>
      </w:r>
      <w:r>
        <w:t xml:space="preserve">estimativas plausíveis, e faz isso</w:t>
      </w:r>
      <w:r>
        <w:t xml:space="preserve"> </w:t>
      </w:r>
      <w:r>
        <w:rPr>
          <w:b/>
        </w:rPr>
        <w:t xml:space="preserve">5 vezes</w:t>
      </w:r>
      <w:r>
        <w:t xml:space="preserve"> </w:t>
      </w:r>
      <w:r>
        <w:t xml:space="preserve">(gerando 5 versões dos dados) para</w:t>
      </w:r>
      <w:r>
        <w:t xml:space="preserve"> </w:t>
      </w:r>
      <w:r>
        <w:t xml:space="preserve">refletir a incerteza. As</w:t>
      </w:r>
      <w:r>
        <w:t xml:space="preserve"> </w:t>
      </w:r>
      <w:r>
        <w:rPr>
          <w:b/>
        </w:rPr>
        <w:t xml:space="preserve">regras de Rubin</w:t>
      </w:r>
      <w:r>
        <w:t xml:space="preserve"> </w:t>
      </w:r>
      <w:r>
        <w:t xml:space="preserve">combinam os 5 resultados em um só, já</w:t>
      </w:r>
      <w:r>
        <w:t xml:space="preserve"> </w:t>
      </w:r>
      <w:r>
        <w:t xml:space="preserve">incorporando essa incerteza nos intervalos de confiança. Em uma frase: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dados faltantes</w:t>
      </w:r>
      <w:r>
        <w:rPr>
          <w:i/>
        </w:rPr>
        <w:t xml:space="preserve"> </w:t>
      </w:r>
      <w:r>
        <w:rPr>
          <w:i/>
        </w:rPr>
        <w:t xml:space="preserve">foram tratados por imputação múltipla (MICE), e as estimativas combinadas pelas regras</w:t>
      </w:r>
      <w:r>
        <w:rPr>
          <w:i/>
        </w:rPr>
        <w:t xml:space="preserve"> </w:t>
      </w:r>
      <w:r>
        <w:rPr>
          <w:i/>
        </w:rPr>
        <w:t xml:space="preserve">de Rubin.</w:t>
      </w:r>
      <w:r>
        <w:rPr>
          <w:i/>
        </w:rPr>
        <w:t xml:space="preserve">”</w:t>
      </w:r>
    </w:p>
    <w:p>
      <w:pPr>
        <w:pStyle w:val="Heading3"/>
      </w:pPr>
      <w:bookmarkStart w:id="43" w:name="resumo-de-bolso"/>
      <w:r>
        <w:t xml:space="preserve">7.12 Resumo de bolso</w:t>
      </w:r>
      <w:bookmarkEnd w:id="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Você quer saber…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Há diferença, ou é acaso?</w:t>
            </w:r>
          </w:p>
        </w:tc>
        <w:tc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p>
            <w:pPr>
              <w:pStyle w:val="Compact"/>
              <w:jc w:val="left"/>
            </w:pPr>
            <w:r>
              <w:t xml:space="preserve">&lt; 0,05 = diferença real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Proporções diferem entre grupos?</w:t>
            </w:r>
          </w:p>
        </w:tc>
        <w:tc>
          <w:p>
            <w:pPr>
              <w:pStyle w:val="Compact"/>
              <w:jc w:val="left"/>
            </w:pPr>
            <w:r>
              <w:t xml:space="preserve">Qui-quadrado / Fisher</w:t>
            </w:r>
          </w:p>
        </w:tc>
        <w:tc>
          <w:p>
            <w:pPr>
              <w:pStyle w:val="Compact"/>
              <w:jc w:val="left"/>
            </w:pPr>
            <w:r>
              <w:t xml:space="preserve">p &lt; 0,05 = sim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variável numérica é normal?</w:t>
            </w:r>
          </w:p>
        </w:tc>
        <w:tc>
          <w:p>
            <w:pPr>
              <w:pStyle w:val="Compact"/>
              <w:jc w:val="left"/>
            </w:pPr>
            <w:r>
              <w:t xml:space="preserve">Kolmogorov-Smirnov / Shapiro-Wilk</w:t>
            </w:r>
          </w:p>
        </w:tc>
        <w:tc>
          <w:p>
            <w:pPr>
              <w:pStyle w:val="Compact"/>
              <w:jc w:val="left"/>
            </w:pPr>
            <w:r>
              <w:t xml:space="preserve">decide média ou mediana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 número difere entre 3 grupos?</w:t>
            </w:r>
          </w:p>
        </w:tc>
        <w:tc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p &lt; 0,05 = sim (há diferença global)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Entre quais grupos está a diferença?</w:t>
            </w:r>
          </w:p>
        </w:tc>
        <w:tc>
          <w:p>
            <w:pPr>
              <w:pStyle w:val="Compact"/>
              <w:jc w:val="left"/>
            </w:pPr>
            <w:r>
              <w:t xml:space="preserve">Dunn + correção de Holm</w:t>
            </w:r>
          </w:p>
        </w:tc>
        <w:tc>
          <w:p>
            <w:pPr>
              <w:pStyle w:val="Compact"/>
              <w:jc w:val="left"/>
            </w:pPr>
            <w:r>
              <w:t xml:space="preserve">compara par a par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Essa diferença é grande?</w:t>
            </w:r>
          </w:p>
        </w:tc>
        <w:tc>
          <w:p>
            <w:pPr>
              <w:pStyle w:val="Compact"/>
              <w:jc w:val="left"/>
            </w:pPr>
            <w:r>
              <w:t xml:space="preserve">ε² (epsilon-quadrado)</w:t>
            </w:r>
          </w:p>
        </w:tc>
        <w:tc>
          <w:p>
            <w:pPr>
              <w:pStyle w:val="Compact"/>
              <w:jc w:val="left"/>
            </w:pPr>
            <w:r>
              <w:t xml:space="preserve">0 = nula; perto de 1 = grande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 o tamanho do efeito (cesárea)?</w:t>
            </w:r>
          </w:p>
        </w:tc>
        <w:tc>
          <w:p>
            <w:pPr>
              <w:pStyle w:val="Compact"/>
              <w:jc w:val="left"/>
            </w:pPr>
            <w:r>
              <w:t xml:space="preserve">Razão de Prevalência (PR)</w:t>
            </w:r>
          </w:p>
        </w:tc>
        <w:tc>
          <w:p>
            <w:pPr>
              <w:pStyle w:val="Compact"/>
              <w:jc w:val="left"/>
            </w:pPr>
            <w:r>
              <w:t xml:space="preserve">1,35 = +35%; 0,58 = −42%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efeito é confiável?</w:t>
            </w:r>
          </w:p>
        </w:tc>
        <w:tc>
          <w:p>
            <w:pPr>
              <w:pStyle w:val="Compact"/>
              <w:jc w:val="left"/>
            </w:pPr>
            <w:r>
              <w:t xml:space="preserve">IC 95% da PR</w:t>
            </w:r>
          </w:p>
        </w:tc>
        <w:tc>
          <w:p>
            <w:pPr>
              <w:pStyle w:val="Compact"/>
              <w:jc w:val="left"/>
            </w:pPr>
            <w:r>
              <w:t xml:space="preserve">não cruzou o 1 =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modelo prevê bem?</w:t>
            </w:r>
          </w:p>
        </w:tc>
        <w:tc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p>
            <w:pPr>
              <w:pStyle w:val="Compact"/>
              <w:jc w:val="left"/>
            </w:pPr>
            <w:r>
              <w:t xml:space="preserve">0,5 ruim → 1,0 ótimo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modelo está calibrado?</w:t>
            </w:r>
          </w:p>
        </w:tc>
        <w:tc>
          <w:p>
            <w:pPr>
              <w:pStyle w:val="Compact"/>
              <w:jc w:val="left"/>
            </w:pPr>
            <w:r>
              <w:t xml:space="preserve">Hosmer-Lemeshow</w:t>
            </w:r>
          </w:p>
        </w:tc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rPr>
                <w:b/>
              </w:rPr>
              <w:t xml:space="preserve">alto</w:t>
            </w:r>
            <w:r>
              <w:t xml:space="preserve"> </w:t>
            </w:r>
            <w:r>
              <w:t xml:space="preserve">= bom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f9cedb9dbfc86692616350217ade293bf591d68"/>
      <w:r>
        <w:t xml:space="preserve">8. Seção 5.4 — Indicações de parto operatório (atualização dos dados)</w:t>
      </w:r>
      <w:bookmarkEnd w:id="44"/>
    </w:p>
    <w:p>
      <w:pPr>
        <w:pStyle w:val="FirstParagraph"/>
      </w:pPr>
      <w:r>
        <w:rPr>
          <w:b/>
        </w:rPr>
        <w:t xml:space="preserve">O que mudou e por quê.</w:t>
      </w:r>
      <w:r>
        <w:t xml:space="preserve"> </w:t>
      </w:r>
      <w:r>
        <w:t xml:space="preserve">As indicações de</w:t>
      </w:r>
      <w:r>
        <w:t xml:space="preserve"> </w:t>
      </w:r>
      <w:r>
        <w:rPr>
          <w:b/>
        </w:rPr>
        <w:t xml:space="preserve">cesárea</w:t>
      </w:r>
      <w:r>
        <w:t xml:space="preserve"> </w:t>
      </w:r>
      <w:r>
        <w:t xml:space="preserve">passaram a ser agrupadas pela</w:t>
      </w:r>
      <w:r>
        <w:t xml:space="preserve"> </w:t>
      </w:r>
      <w:r>
        <w:t xml:space="preserve">variável hierárquica</w:t>
      </w:r>
      <w:r>
        <w:t xml:space="preserve"> </w:t>
      </w:r>
      <w:r>
        <w:rPr>
          <w:rStyle w:val="VerbatimChar"/>
          <w:b/>
        </w:rPr>
        <w:t xml:space="preserve">Indicacao_final</w:t>
      </w:r>
      <w:r>
        <w:t xml:space="preserve"> </w:t>
      </w:r>
      <w:r>
        <w:t xml:space="preserve">(banco</w:t>
      </w:r>
      <w:r>
        <w:t xml:space="preserve"> </w:t>
      </w:r>
      <w:r>
        <w:rPr>
          <w:rStyle w:val="VerbatimChar"/>
        </w:rPr>
        <w:t xml:space="preserve">BD_completo_corrigido_13-05-2026.xls</w:t>
      </w:r>
      <w:r>
        <w:t xml:space="preserve">,</w:t>
      </w:r>
      <w:r>
        <w:t xml:space="preserve"> </w:t>
      </w:r>
      <w:r>
        <w:t xml:space="preserve">aba</w:t>
      </w:r>
      <w:r>
        <w:t xml:space="preserve"> </w:t>
      </w:r>
      <w:r>
        <w:rPr>
          <w:rStyle w:val="VerbatimChar"/>
        </w:rPr>
        <w:t xml:space="preserve">BD_leticia_08-05</w:t>
      </w:r>
      <w:r>
        <w:t xml:space="preserve">), que organiza em categorias clínicas os motivos antes dispersos</w:t>
      </w:r>
      <w:r>
        <w:t xml:space="preserve"> </w:t>
      </w:r>
      <w:r>
        <w:t xml:space="preserve">ou ausentes em</w:t>
      </w:r>
      <w:r>
        <w:t xml:space="preserve"> </w:t>
      </w:r>
      <w:r>
        <w:rPr>
          <w:rStyle w:val="VerbatimChar"/>
        </w:rPr>
        <w:t xml:space="preserve">indicacao_cat</w:t>
      </w:r>
      <w:r>
        <w:t xml:space="preserve">. O ganho é grande: na versão anterior,</w:t>
      </w:r>
      <w:r>
        <w:t xml:space="preserve"> </w:t>
      </w:r>
      <w:r>
        <w:rPr>
          <w:b/>
        </w:rPr>
        <w:t xml:space="preserve">68,4% das</w:t>
      </w:r>
      <w:r>
        <w:rPr>
          <w:b/>
        </w:rPr>
        <w:t xml:space="preserve"> </w:t>
      </w:r>
      <w:r>
        <w:rPr>
          <w:b/>
        </w:rPr>
        <w:t xml:space="preserve">cesáreas de adolescentes</w:t>
      </w:r>
      <w:r>
        <w:t xml:space="preserve"> </w:t>
      </w:r>
      <w:r>
        <w:t xml:space="preserve">apareciam como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Não informada</w:t>
      </w:r>
      <w:r>
        <w:rPr>
          <w:i/>
        </w:rPr>
        <w:t xml:space="preserve">”</w:t>
      </w:r>
      <w:r>
        <w:t xml:space="preserve">; com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, essa</w:t>
      </w:r>
      <w:r>
        <w:t xml:space="preserve"> </w:t>
      </w:r>
      <w:r>
        <w:t xml:space="preserve">lacuna</w:t>
      </w:r>
      <w:r>
        <w:t xml:space="preserve"> </w:t>
      </w:r>
      <w:r>
        <w:rPr>
          <w:b/>
        </w:rPr>
        <w:t xml:space="preserve">praticamente desaparece</w:t>
      </w:r>
      <w:r>
        <w:t xml:space="preserve"> </w:t>
      </w:r>
      <w:r>
        <w:t xml:space="preserve">e as indicações ficam classificadas.</w:t>
      </w:r>
    </w:p>
    <w:p>
      <w:pPr>
        <w:pStyle w:val="BlockText"/>
      </w:pPr>
      <w:r>
        <w:rPr>
          <w:b/>
        </w:rPr>
        <w:t xml:space="preserve">Fórcipe:</w:t>
      </w:r>
      <w:r>
        <w:t xml:space="preserve"> </w:t>
      </w:r>
      <w:r>
        <w:rPr>
          <w:b/>
        </w:rPr>
        <w:t xml:space="preserve">todos</w:t>
      </w:r>
      <w:r>
        <w:t xml:space="preserve"> </w:t>
      </w:r>
      <w:r>
        <w:t xml:space="preserve">os partos a fórcipe têm</w:t>
      </w:r>
      <w:r>
        <w:t xml:space="preserve"> </w:t>
      </w:r>
      <w:r>
        <w:rPr>
          <w:rStyle w:val="VerbatimChar"/>
        </w:rPr>
        <w:t xml:space="preserve">Indicacao_final = 888</w:t>
      </w:r>
      <w:r>
        <w:t xml:space="preserve"> </w:t>
      </w:r>
      <w:r>
        <w:t xml:space="preserve">(a variável não</w:t>
      </w:r>
      <w:r>
        <w:t xml:space="preserve"> </w:t>
      </w:r>
      <w:r>
        <w:t xml:space="preserve">subdivide o fórcipe). Por isso as indicações de fórcipe</w:t>
      </w:r>
      <w:r>
        <w:t xml:space="preserve"> </w:t>
      </w:r>
      <w:r>
        <w:rPr>
          <w:b/>
        </w:rPr>
        <w:t xml:space="preserve">continuam vindo de</w:t>
      </w:r>
      <w:r>
        <w:rPr>
          <w:b/>
        </w:rPr>
        <w:t xml:space="preserve"> </w:t>
      </w:r>
      <w:r>
        <w:rPr>
          <w:rStyle w:val="VerbatimChar"/>
          <w:b/>
        </w:rPr>
        <w:t xml:space="preserve">indicacao_cat</w:t>
      </w:r>
      <w:r>
        <w:t xml:space="preserve"> </w:t>
      </w:r>
      <w:r>
        <w:t xml:space="preserve">— a Tabela 9 mantém a mesma lógica de antes (apenas recalculada na</w:t>
      </w:r>
      <w:r>
        <w:t xml:space="preserve"> </w:t>
      </w:r>
      <w:r>
        <w:t xml:space="preserve">coorte unificada).</w:t>
      </w:r>
    </w:p>
    <w:p>
      <w:pPr>
        <w:pStyle w:val="FirstParagraph"/>
      </w:pPr>
      <w:r>
        <w:rPr>
          <w:b/>
        </w:rPr>
        <w:t xml:space="preserve">Coorte e procedimento (para os Métodos).</w:t>
      </w:r>
      <w:r>
        <w:t xml:space="preserve"> </w:t>
      </w:r>
      <w:r>
        <w:t xml:space="preserve">Para manter a consistência com o resto da</w:t>
      </w:r>
      <w:r>
        <w:t xml:space="preserve"> </w:t>
      </w:r>
      <w:r>
        <w:t xml:space="preserve">dissertação (coorte §3.3,</w:t>
      </w:r>
      <w:r>
        <w:t xml:space="preserve"> </w:t>
      </w:r>
      <w:r>
        <w:rPr>
          <w:b/>
        </w:rPr>
        <w:t xml:space="preserve">N = 6.650</w:t>
      </w:r>
      <w:r>
        <w:t xml:space="preserve">), os campos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indicacao_cat</w:t>
      </w:r>
      <w:r>
        <w:t xml:space="preserve"> </w:t>
      </w:r>
      <w:r>
        <w:t xml:space="preserve">do banco 13-05 foram</w:t>
      </w:r>
      <w:r>
        <w:t xml:space="preserve"> </w:t>
      </w:r>
      <w:r>
        <w:rPr>
          <w:b/>
        </w:rPr>
        <w:t xml:space="preserve">unidos por chave (RGHC + idade + tipo de parto)</w:t>
      </w:r>
      <w:r>
        <w:t xml:space="preserve"> </w:t>
      </w:r>
      <w:r>
        <w:t xml:space="preserve">à coorte já</w:t>
      </w:r>
      <w:r>
        <w:t xml:space="preserve"> </w:t>
      </w:r>
      <w:r>
        <w:t xml:space="preserve">elegível. O pareamento cobriu</w:t>
      </w:r>
      <w:r>
        <w:t xml:space="preserve"> </w:t>
      </w:r>
      <w:r>
        <w:rPr>
          <w:b/>
        </w:rPr>
        <w:t xml:space="preserve">4.651 dos 4.653 partos operatórios</w:t>
      </w:r>
      <w:r>
        <w:t xml:space="preserve"> </w:t>
      </w:r>
      <w:r>
        <w:t xml:space="preserve">(2 casos sem</w:t>
      </w:r>
      <w:r>
        <w:t xml:space="preserve"> </w:t>
      </w:r>
      <w:r>
        <w:t xml:space="preserve">correspondência no banco novo →</w:t>
      </w:r>
      <w:r>
        <w:t xml:space="preserve"> </w:t>
      </w:r>
      <w:r>
        <w:t xml:space="preserve">“</w:t>
      </w:r>
      <w:r>
        <w:t xml:space="preserve">Não informada</w:t>
      </w:r>
      <w:r>
        <w:t xml:space="preserve">”</w:t>
      </w:r>
      <w:r>
        <w:t xml:space="preserve">). Cada código de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 </w:t>
      </w:r>
      <w:r>
        <w:t xml:space="preserve">foi</w:t>
      </w:r>
      <w:r>
        <w:t xml:space="preserve"> </w:t>
      </w:r>
      <w:r>
        <w:t xml:space="preserve">rotulado pelo seu</w:t>
      </w:r>
      <w:r>
        <w:t xml:space="preserve"> </w:t>
      </w:r>
      <w:r>
        <w:rPr>
          <w:rStyle w:val="VerbatimChar"/>
        </w:rPr>
        <w:t xml:space="preserve">indicacao_cat</w:t>
      </w:r>
      <w:r>
        <w:t xml:space="preserve"> </w:t>
      </w:r>
      <w:r>
        <w:t xml:space="preserve">predominante. Reprodução:</w:t>
      </w:r>
      <w:r>
        <w:t xml:space="preserve"> </w:t>
      </w:r>
      <w:r>
        <w:rPr>
          <w:rStyle w:val="VerbatimChar"/>
        </w:rPr>
        <w:t xml:space="preserve">analysis/03_indicacoes_parto.R</w:t>
      </w:r>
      <w:r>
        <w:t xml:space="preserve">.</w:t>
      </w:r>
    </w:p>
    <w:p>
      <w:pPr>
        <w:pStyle w:val="BlockText"/>
      </w:pPr>
      <w:r>
        <w:rPr>
          <w:b/>
        </w:rPr>
        <w:t xml:space="preserve">Frase sugerida para os Métodos:</w:t>
      </w:r>
      <w:r>
        <w:t xml:space="preserve"> </w:t>
      </w:r>
      <w:r>
        <w:t xml:space="preserve">“</w:t>
      </w:r>
      <w:r>
        <w:t xml:space="preserve">As indicações de cesárea foram agrupadas segundo</w:t>
      </w:r>
      <w:r>
        <w:t xml:space="preserve"> </w:t>
      </w:r>
      <w:r>
        <w:t xml:space="preserve">a variável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, que classifica hierarquicamente os motivos registrados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indicacao_cat</w:t>
      </w:r>
      <w:r>
        <w:t xml:space="preserve">. As indicações de parto a fórcipe foram descritas a partir de</w:t>
      </w:r>
      <w:r>
        <w:t xml:space="preserve"> </w:t>
      </w:r>
      <w:r>
        <w:rPr>
          <w:rStyle w:val="VerbatimChar"/>
        </w:rPr>
        <w:t xml:space="preserve">indicacao_cat</w:t>
      </w:r>
      <w:r>
        <w:t xml:space="preserve">. Os percentuais foram calculados sobre o total de cada via em cada</w:t>
      </w:r>
      <w:r>
        <w:t xml:space="preserve"> </w:t>
      </w:r>
      <w:r>
        <w:t xml:space="preserve">grupo etário.</w:t>
      </w:r>
      <w:r>
        <w:t xml:space="preserve">”</w:t>
      </w:r>
    </w:p>
    <w:p>
      <w:pPr>
        <w:pStyle w:val="Heading3"/>
      </w:pPr>
      <w:bookmarkStart w:id="45" w:name="X9e9f2093f3296f3c96c4983d3b7a875b7bd5e9c"/>
      <w:r>
        <w:t xml:space="preserve">8.1 Tabela 8 (NOVA) — Indicações de cesárea, top 5 por grupo</w:t>
      </w:r>
      <w:bookmarkEnd w:id="45"/>
    </w:p>
    <w:p>
      <w:pPr>
        <w:pStyle w:val="FirstParagraph"/>
      </w:pPr>
      <w:r>
        <w:t xml:space="preserve">Percentuais sobre o total de cesáreas do grupo (Adolescentes = 433; Adultas = 3.313).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Sofrimento fetal</w:t>
            </w:r>
          </w:p>
        </w:tc>
        <w:tc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p>
            <w:pPr>
              <w:pStyle w:val="Compact"/>
              <w:jc w:val="left"/>
            </w:pPr>
            <w:r>
              <w:t xml:space="preserve">28,2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Distocia funcional</w:t>
            </w:r>
          </w:p>
        </w:tc>
        <w:tc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18,0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Outras</w:t>
            </w:r>
          </w:p>
        </w:tc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17,1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Desproporção céfalo-pélvica</w:t>
            </w:r>
          </w:p>
        </w:tc>
        <w:tc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16,9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Apresentação pélvica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7,6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Sofrimento fetal</w:t>
            </w:r>
          </w:p>
        </w:tc>
        <w:tc>
          <w:p>
            <w:pPr>
              <w:pStyle w:val="Compact"/>
              <w:jc w:val="left"/>
            </w:pPr>
            <w:r>
              <w:t xml:space="preserve">728</w:t>
            </w:r>
          </w:p>
        </w:tc>
        <w:tc>
          <w:p>
            <w:pPr>
              <w:pStyle w:val="Compact"/>
              <w:jc w:val="left"/>
            </w:pPr>
            <w:r>
              <w:t xml:space="preserve">22,0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Patologia materna</w:t>
            </w:r>
          </w:p>
        </w:tc>
        <w:tc>
          <w:p>
            <w:pPr>
              <w:pStyle w:val="Compact"/>
              <w:jc w:val="left"/>
            </w:pPr>
            <w:r>
              <w:t xml:space="preserve">486</w:t>
            </w:r>
          </w:p>
        </w:tc>
        <w:tc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Distocia funcional</w:t>
            </w:r>
          </w:p>
        </w:tc>
        <w:tc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p>
            <w:pPr>
              <w:pStyle w:val="Compact"/>
              <w:jc w:val="left"/>
            </w:pPr>
            <w:r>
              <w:t xml:space="preserve">12,1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Iteratividade</w:t>
            </w:r>
          </w:p>
        </w:tc>
        <w:tc>
          <w:p>
            <w:pPr>
              <w:pStyle w:val="Compact"/>
              <w:jc w:val="left"/>
            </w:pPr>
            <w:r>
              <w:t xml:space="preserve">371</w:t>
            </w:r>
          </w:p>
        </w:tc>
        <w:tc>
          <w:p>
            <w:pPr>
              <w:pStyle w:val="Compact"/>
              <w:jc w:val="left"/>
            </w:pPr>
            <w:r>
              <w:t xml:space="preserve">11,2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Contraindicação de indução</w:t>
            </w:r>
          </w:p>
        </w:tc>
        <w:tc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p>
            <w:pPr>
              <w:pStyle w:val="Compact"/>
              <w:jc w:val="left"/>
            </w:pPr>
            <w:r>
              <w:t xml:space="preserve">10,3</w:t>
            </w:r>
          </w:p>
        </w:tc>
      </w:tr>
    </w:tbl>
    <w:p>
      <w:pPr>
        <w:pStyle w:val="BodyText"/>
      </w:pPr>
      <w:r>
        <w:t xml:space="preserve">Rodapé sugerido: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‘</w:t>
      </w:r>
      <w:r>
        <w:rPr>
          <w:i/>
        </w:rPr>
        <w:t xml:space="preserve">Outras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reúne o código</w:t>
      </w:r>
      <w:r>
        <w:rPr>
          <w:i/>
        </w:rPr>
        <w:t xml:space="preserve"> </w:t>
      </w:r>
      <w:r>
        <w:rPr>
          <w:rStyle w:val="VerbatimChar"/>
          <w:i/>
        </w:rPr>
        <w:t xml:space="preserve">Indicacao_final</w:t>
      </w:r>
      <w:r>
        <w:rPr>
          <w:i/>
        </w:rPr>
        <w:t xml:space="preserve"> </w:t>
      </w:r>
      <w:r>
        <w:rPr>
          <w:i/>
        </w:rPr>
        <w:t xml:space="preserve">999 (motivo não</w:t>
      </w:r>
      <w:r>
        <w:rPr>
          <w:i/>
        </w:rPr>
        <w:t xml:space="preserve"> </w:t>
      </w:r>
      <w:r>
        <w:rPr>
          <w:i/>
        </w:rPr>
        <w:t xml:space="preserve">especificado) e casos residuais. Percentuais sobre o total de cesáreas de cada grupo.</w:t>
      </w:r>
      <w:r>
        <w:rPr>
          <w:i/>
        </w:rPr>
        <w:t xml:space="preserve">”</w:t>
      </w:r>
    </w:p>
    <w:p>
      <w:pPr>
        <w:pStyle w:val="Heading3"/>
      </w:pPr>
      <w:bookmarkStart w:id="46" w:name="X1f48280d982d0d0f2745ef1ea8dddcb741fa022"/>
      <w:r>
        <w:t xml:space="preserve">8.2 Tabela 9 (atualizada) — Indicações de fórcipe, top 5 por grupo</w:t>
      </w:r>
      <w:bookmarkEnd w:id="46"/>
    </w:p>
    <w:p>
      <w:pPr>
        <w:pStyle w:val="FirstParagraph"/>
      </w:pPr>
      <w:r>
        <w:t xml:space="preserve">Percentuais sobre o total de fórcipes do grupo (Adolescentes = 363; Adultas = 544).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Não informada</w:t>
            </w:r>
          </w:p>
        </w:tc>
        <w:tc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p>
            <w:pPr>
              <w:pStyle w:val="Compact"/>
              <w:jc w:val="left"/>
            </w:pPr>
            <w:r>
              <w:t xml:space="preserve">59,5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Alívio materno-fetal</w:t>
            </w:r>
          </w:p>
        </w:tc>
        <w:tc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t xml:space="preserve">17,1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Abreviação do período expulsivo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Distocia de rotação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9,9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</w:t>
            </w:r>
          </w:p>
        </w:tc>
        <w:tc>
          <w:p>
            <w:pPr>
              <w:pStyle w:val="Compact"/>
              <w:jc w:val="left"/>
            </w:pPr>
            <w:r>
              <w:t xml:space="preserve">Mecônio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1,1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Alívio materno-fetal</w:t>
            </w:r>
          </w:p>
        </w:tc>
        <w:tc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p>
            <w:pPr>
              <w:pStyle w:val="Compact"/>
              <w:jc w:val="left"/>
            </w:pPr>
            <w:r>
              <w:t xml:space="preserve">38,2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Abreviação do período expulsivo</w:t>
            </w:r>
          </w:p>
        </w:tc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32,5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Distocia de rotação</w:t>
            </w:r>
          </w:p>
        </w:tc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17,5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Não informada</w:t>
            </w:r>
          </w:p>
        </w:tc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6,8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Sofrimento fetal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1,8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Limitação a registrar:</w:t>
      </w:r>
      <w:r>
        <w:t xml:space="preserve"> </w:t>
      </w:r>
      <w:r>
        <w:t xml:space="preserve">o fórcipe nas adolescentes tem</w:t>
      </w:r>
      <w:r>
        <w:t xml:space="preserve"> </w:t>
      </w:r>
      <w:r>
        <w:rPr>
          <w:b/>
        </w:rPr>
        <w:t xml:space="preserve">59,5% de indicação não</w:t>
      </w:r>
      <w:r>
        <w:rPr>
          <w:b/>
        </w:rPr>
        <w:t xml:space="preserve"> </w:t>
      </w:r>
      <w:r>
        <w:rPr>
          <w:b/>
        </w:rPr>
        <w:t xml:space="preserve">informada</w:t>
      </w:r>
      <w:r>
        <w:t xml:space="preserve"> </w:t>
      </w:r>
      <w:r>
        <w:t xml:space="preserve">(216 de 363). Isso precisa ser dito no texto — a leitura das indicações de</w:t>
      </w:r>
      <w:r>
        <w:t xml:space="preserve"> </w:t>
      </w:r>
      <w:r>
        <w:t xml:space="preserve">fórcipe nesse grupo é parcial. Diferente da cesárea, o fórcipe não dispõe da</w:t>
      </w:r>
      <w:r>
        <w:t xml:space="preserve"> </w:t>
      </w:r>
      <w:r>
        <w:t xml:space="preserve">classificação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 </w:t>
      </w:r>
      <w:r>
        <w:t xml:space="preserve">para recuperar esses motivos.</w:t>
      </w:r>
    </w:p>
    <w:p>
      <w:pPr>
        <w:pStyle w:val="Heading3"/>
      </w:pPr>
      <w:bookmarkStart w:id="47" w:name="figuras-regeneradas"/>
      <w:r>
        <w:t xml:space="preserve">8.3 Figuras (regeneradas)</w:t>
      </w:r>
      <w:bookmarkEnd w:id="47"/>
    </w:p>
    <w:p>
      <w:pPr>
        <w:pStyle w:val="FirstParagraph"/>
      </w:pPr>
      <w:r>
        <w:rPr>
          <w:rStyle w:val="VerbatimChar"/>
        </w:rPr>
        <w:t xml:space="preserve">results/figures/fig_obj3_indicacoes_cesarea.png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fig_obj3_indicacoes_forcipe.png</w:t>
      </w:r>
      <w:r>
        <w:t xml:space="preserve"> </w:t>
      </w:r>
      <w:r>
        <w:t xml:space="preserve">foram regeradas (barras horizontais, dodge por grupo etário; vermelho = adolescentes,</w:t>
      </w:r>
      <w:r>
        <w:t xml:space="preserve"> </w:t>
      </w:r>
      <w:r>
        <w:t xml:space="preserve">verde-azulado = adultas). Substituir as imagens das Figuras 5 e 6 da dissertação.</w:t>
      </w:r>
    </w:p>
    <w:p>
      <w:pPr>
        <w:pStyle w:val="Heading3"/>
      </w:pPr>
      <w:bookmarkStart w:id="48" w:name="texto-de-resultados-sugestões"/>
      <w:r>
        <w:t xml:space="preserve">8.4 Texto de resultados — sugestões</w:t>
      </w:r>
      <w:bookmarkEnd w:id="48"/>
    </w:p>
    <w:p>
      <w:pPr>
        <w:pStyle w:val="FirstParagraph"/>
      </w:pPr>
      <w:r>
        <w:rPr>
          <w:b/>
        </w:rPr>
        <w:t xml:space="preserve">5.4.1 Cesárea:</w:t>
      </w:r>
      <w:r>
        <w:t xml:space="preserve"> </w:t>
      </w:r>
      <w:r>
        <w:t xml:space="preserve">“</w:t>
      </w:r>
      <w:r>
        <w:t xml:space="preserve">Entre as adolescentes, as principais indicações de cesárea foram</w:t>
      </w:r>
      <w:r>
        <w:t xml:space="preserve"> </w:t>
      </w:r>
      <w:r>
        <w:t xml:space="preserve">sofrimento fetal (28,2%), distocia funcional (18,0%), desproporção céfalo-pélvica</w:t>
      </w:r>
      <w:r>
        <w:t xml:space="preserve"> </w:t>
      </w:r>
      <w:r>
        <w:t xml:space="preserve">(16,9%) e apresentação pélvica (7,6%). Entre as adultas predominaram sofrimento fetal</w:t>
      </w:r>
      <w:r>
        <w:t xml:space="preserve"> </w:t>
      </w:r>
      <w:r>
        <w:t xml:space="preserve">(22,0%), patologia materna (14,7%), distocia funcional (12,1%), iteratividade (11,2%) e</w:t>
      </w:r>
      <w:r>
        <w:t xml:space="preserve"> </w:t>
      </w:r>
      <w:r>
        <w:t xml:space="preserve">contraindicação de indução (10,3%). Destacam-se, nas adultas, a</w:t>
      </w:r>
      <w:r>
        <w:t xml:space="preserve"> </w:t>
      </w:r>
      <w:r>
        <w:rPr>
          <w:b/>
        </w:rPr>
        <w:t xml:space="preserve">iteratividade</w:t>
      </w:r>
      <w:r>
        <w:t xml:space="preserve"> </w:t>
      </w:r>
      <w:r>
        <w:t xml:space="preserve">e a</w:t>
      </w:r>
      <w:r>
        <w:t xml:space="preserve"> </w:t>
      </w:r>
      <w:r>
        <w:rPr>
          <w:b/>
        </w:rPr>
        <w:t xml:space="preserve">patologia materna</w:t>
      </w:r>
      <w:r>
        <w:t xml:space="preserve"> </w:t>
      </w:r>
      <w:r>
        <w:t xml:space="preserve">— praticamente ausentes entre as adolescentes —, coerentes com o</w:t>
      </w:r>
      <w:r>
        <w:t xml:space="preserve"> </w:t>
      </w:r>
      <w:r>
        <w:t xml:space="preserve">maior número de cesáreas prévias e de comorbidades nesse grupo. A desproporção</w:t>
      </w:r>
      <w:r>
        <w:t xml:space="preserve"> </w:t>
      </w:r>
      <w:r>
        <w:t xml:space="preserve">céfalo-pélvica e a apresentação pélvica tiveram peso proporcionalmente maior entre as</w:t>
      </w:r>
      <w:r>
        <w:t xml:space="preserve"> </w:t>
      </w:r>
      <w:r>
        <w:t xml:space="preserve">adolescentes.</w:t>
      </w:r>
      <w:r>
        <w:t xml:space="preserve">”</w:t>
      </w:r>
    </w:p>
    <w:p>
      <w:pPr>
        <w:pStyle w:val="BodyText"/>
      </w:pPr>
      <w:r>
        <w:rPr>
          <w:b/>
        </w:rPr>
        <w:t xml:space="preserve">5.4.2 Fórcipe:</w:t>
      </w:r>
      <w:r>
        <w:t xml:space="preserve"> </w:t>
      </w:r>
      <w:r>
        <w:t xml:space="preserve">“</w:t>
      </w:r>
      <w:r>
        <w:t xml:space="preserve">Entre as adultas, as indicações de fórcipe foram majoritariamente o</w:t>
      </w:r>
      <w:r>
        <w:t xml:space="preserve"> </w:t>
      </w:r>
      <w:r>
        <w:t xml:space="preserve">alívio materno-fetal (38,2%) e a abreviação do período expulsivo (32,5%), seguidas de</w:t>
      </w:r>
      <w:r>
        <w:t xml:space="preserve"> </w:t>
      </w:r>
      <w:r>
        <w:t xml:space="preserve">distocia de rotação (17,5%). O mesmo padrão apareceu nas adolescentes (alívio</w:t>
      </w:r>
      <w:r>
        <w:t xml:space="preserve"> </w:t>
      </w:r>
      <w:r>
        <w:t xml:space="preserve">materno-fetal 17,1%; abreviação do período expulsivo 11,3%; distocia de rotação 9,9%),</w:t>
      </w:r>
      <w:r>
        <w:t xml:space="preserve"> </w:t>
      </w:r>
      <w:r>
        <w:t xml:space="preserve">embora a maioria dos fórcipes nesse grupo não tivesse a indicação registrada (59,5%), o</w:t>
      </w:r>
      <w:r>
        <w:t xml:space="preserve"> </w:t>
      </w:r>
      <w:r>
        <w:t xml:space="preserve">que limita a interpretação.</w:t>
      </w:r>
      <w:r>
        <w:t xml:space="preserve">”</w:t>
      </w:r>
    </w:p>
    <w:p>
      <w:pPr>
        <w:pStyle w:val="Heading3"/>
      </w:pPr>
      <w:bookmarkStart w:id="49" w:name="checklist-da-seção-5.4"/>
      <w:r>
        <w:t xml:space="preserve">8.5 Checklist da Seção 5.4</w:t>
      </w:r>
      <w:bookmarkEnd w:id="49"/>
    </w:p>
    <w:p>
      <w:pPr>
        <w:numPr>
          <w:ilvl w:val="0"/>
          <w:numId w:val="1012"/>
        </w:numPr>
        <w:pStyle w:val="Compact"/>
      </w:pPr>
      <w:r>
        <w:t xml:space="preserve">☐ Substituir a Tabela 8 (cesárea) pela versão baseada em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☐ Atualizar a Tabela 9 (fórcipe) com os valores recalculados na coorte unificada.</w:t>
      </w:r>
    </w:p>
    <w:p>
      <w:pPr>
        <w:numPr>
          <w:ilvl w:val="0"/>
          <w:numId w:val="1012"/>
        </w:numPr>
        <w:pStyle w:val="Compact"/>
      </w:pPr>
      <w:r>
        <w:t xml:space="preserve">☐ Trocar as Figuras 5 e 6 pelas novas (</w:t>
      </w:r>
      <w:r>
        <w:rPr>
          <w:rStyle w:val="VerbatimChar"/>
        </w:rPr>
        <w:t xml:space="preserve">fig_obj3_*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☐ Acrescentar a frase de método (uso de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 </w:t>
      </w:r>
      <w:r>
        <w:t xml:space="preserve">+ união por RGHC).</w:t>
      </w:r>
    </w:p>
    <w:p>
      <w:pPr>
        <w:numPr>
          <w:ilvl w:val="0"/>
          <w:numId w:val="1012"/>
        </w:numPr>
        <w:pStyle w:val="Compact"/>
      </w:pPr>
      <w:r>
        <w:t xml:space="preserve">☐ Registrar a limitação do alto % de fórcipe sem indicação nas adolescentes.</w:t>
      </w:r>
    </w:p>
    <w:p>
      <w:pPr>
        <w:numPr>
          <w:ilvl w:val="0"/>
          <w:numId w:val="1012"/>
        </w:numPr>
        <w:pStyle w:val="Compact"/>
      </w:pPr>
      <w:r>
        <w:t xml:space="preserve">☐ Reescrever os parágrafos de 5.4.1 e 5.4.2 (sugestões acima).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2026-06-16T04:24:37Z</dcterms:created>
  <dcterms:modified xsi:type="dcterms:W3CDTF">2026-06-16T04:24:37Z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