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latório-de-revisão-numérica-cruzada"/>
      <w:r>
        <w:t xml:space="preserve">Relatório de Revisão Numérica Cruzada</w:t>
      </w:r>
      <w:bookmarkEnd w:id="20"/>
    </w:p>
    <w:p>
      <w:pPr>
        <w:pStyle w:val="FirstParagraph"/>
      </w:pPr>
      <w:r>
        <w:rPr>
          <w:b/>
        </w:rPr>
        <w:t xml:space="preserve">Dissertação de Mestrado — Letícia Schimidt Arruda (FMUSP)</w:t>
      </w:r>
      <w:r>
        <w:br/>
      </w:r>
      <w:r>
        <w:rPr>
          <w:b/>
        </w:rPr>
        <w:t xml:space="preserve">Revisor:</w:t>
      </w:r>
      <w:r>
        <w:t xml:space="preserve"> </w:t>
      </w:r>
      <w:r>
        <w:t xml:space="preserve">Sub-agente Sonnet (revisão automática)</w:t>
      </w:r>
      <w:r>
        <w:br/>
      </w:r>
      <w:r>
        <w:rPr>
          <w:b/>
        </w:rPr>
        <w:t xml:space="preserve">Data:</w:t>
      </w:r>
      <w:r>
        <w:t xml:space="preserve"> </w:t>
      </w:r>
      <w:r>
        <w:t xml:space="preserve">19 de maio de 2026 ·</w:t>
      </w:r>
      <w:r>
        <w:t xml:space="preserve"> </w:t>
      </w:r>
      <w:r>
        <w:rPr>
          <w:b/>
        </w:rPr>
        <w:t xml:space="preserve">Atualizado:</w:t>
      </w:r>
      <w:r>
        <w:t xml:space="preserve"> </w:t>
      </w:r>
      <w:r>
        <w:t xml:space="preserve">17 de junho de 2026</w:t>
      </w:r>
      <w:r>
        <w:br/>
      </w:r>
      <w:r>
        <w:rPr>
          <w:b/>
        </w:rPr>
        <w:t xml:space="preserve">Manuscrito mais recente revisado:</w:t>
      </w:r>
      <w:r>
        <w:t xml:space="preserve"> </w:t>
      </w:r>
      <w:r>
        <w:rPr>
          <w:rStyle w:val="VerbatimChar"/>
        </w:rPr>
        <w:t xml:space="preserve">manuscript/Dissertacao16_06_2026.pdf</w:t>
      </w:r>
      <w:r>
        <w:t xml:space="preserve"> </w:t>
      </w:r>
      <w:r>
        <w:t xml:space="preserve">(16/06/2026)</w:t>
      </w:r>
      <w:r>
        <w:br/>
      </w:r>
      <w:r>
        <w:rPr>
          <w:b/>
        </w:rPr>
        <w:t xml:space="preserve">Arquivos revisados: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manuscript/resultados_redacao.docx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results/tab_obj2_*.csv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 Analise SPSS.md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manuscript/Dissertação Maio_26.docx</w:t>
      </w:r>
      <w:r>
        <w:t xml:space="preserve"> </w:t>
      </w:r>
      <w:r>
        <w:rPr>
          <w:b/>
        </w:rPr>
        <w:t xml:space="preserve">Adicionados em 10/06/2026: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tab_modelo_{A,B,C}_PR.csv</w:t>
      </w:r>
      <w:r>
        <w:t xml:space="preserve"> </w:t>
      </w:r>
      <w:r>
        <w:t xml:space="preserve">(originalmente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; migrados para PR em 14/06/2026),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results/RELATORIO_RESULTADOS_MODELOS_PREDITIVOS.md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results/RELATORIO_MODELOS_PREDITIVOS_CESAREA.md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results/FERRAMENTA_CLINICA_ESCORE_PRE_NATAL.md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results/calculadora_risco_cesarea.html</w:t>
      </w:r>
      <w:r>
        <w:t xml:space="preserve"> </w:t>
      </w:r>
      <w:r>
        <w:rPr>
          <w:b/>
        </w:rPr>
        <w:t xml:space="preserve">Revisão em 14/06/2026 (OR → PR):</w:t>
      </w:r>
      <w:r>
        <w:t xml:space="preserve"> </w:t>
      </w:r>
      <w:r>
        <w:t xml:space="preserve">medida de efeito do Modelo 4 e dos modelos preditivos A/B/C migrada de Odds Ratio para</w:t>
      </w:r>
      <w:r>
        <w:t xml:space="preserve"> </w:t>
      </w:r>
      <w:r>
        <w:rPr>
          <w:b/>
        </w:rPr>
        <w:t xml:space="preserve">Razão de Prevalência</w:t>
      </w:r>
      <w:r>
        <w:t xml:space="preserve"> </w:t>
      </w:r>
      <w:r>
        <w:t xml:space="preserve">(Poisson robusto; Zou, 2004). As tabelas</w:t>
      </w:r>
      <w:r>
        <w:t xml:space="preserve"> </w:t>
      </w:r>
      <w:r>
        <w:rPr>
          <w:rStyle w:val="VerbatimChar"/>
        </w:rPr>
        <w:t xml:space="preserve">tab_modelo_{A,B,C}_*_OR.csv</w:t>
      </w:r>
      <w:r>
        <w:t xml:space="preserve"> </w:t>
      </w:r>
      <w:r>
        <w:t xml:space="preserve">foram substituídas por</w:t>
      </w:r>
      <w:r>
        <w:t xml:space="preserve"> </w:t>
      </w:r>
      <w:r>
        <w:rPr>
          <w:rStyle w:val="VerbatimChar"/>
        </w:rPr>
        <w:t xml:space="preserve">tab_modelo_{A,B,C}_PR.csv</w:t>
      </w:r>
      <w:r>
        <w:t xml:space="preserve">. Detalhes em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</w:t>
      </w:r>
    </w:p>
    <w:p>
      <w:pPr>
        <w:pStyle w:val="BodyText"/>
      </w:pPr>
      <w:r>
        <w:rPr>
          <w:b/>
        </w:rPr>
        <w:t xml:space="preserve">Revisão em 17/06/2026 (coerência de tamanhos amostrais — manuscrito 16/06):</w:t>
      </w:r>
      <w:r>
        <w:t xml:space="preserve"> </w:t>
      </w:r>
      <w:r>
        <w:t xml:space="preserve">verificação dos N de todo o capítulo de Resultados contra a</w:t>
      </w:r>
      <w:r>
        <w:t xml:space="preserve"> </w:t>
      </w:r>
      <w:r>
        <w:rPr>
          <w:b/>
        </w:rPr>
        <w:t xml:space="preserve">execução da coorte §3.3</w:t>
      </w:r>
      <w:r>
        <w:t xml:space="preserve"> </w:t>
      </w:r>
      <w:r>
        <w:t xml:space="preserve">e os</w:t>
      </w:r>
      <w:r>
        <w:t xml:space="preserve"> </w:t>
      </w:r>
      <w:r>
        <w:rPr>
          <w:b/>
        </w:rPr>
        <w:t xml:space="preserve">CSVs gerados pelos scripts</w:t>
      </w:r>
      <w:r>
        <w:t xml:space="preserve">. Resultado em §0 (abaixo). Método: o ambiente atual</w:t>
      </w:r>
      <w:r>
        <w:t xml:space="preserve"> </w:t>
      </w:r>
      <w:r>
        <w:rPr>
          <w:b/>
        </w:rPr>
        <w:t xml:space="preserve">não tem R</w:t>
      </w:r>
      <w:r>
        <w:t xml:space="preserve">; a coorte §3.3 foi reproduzida por uma réplica em Python do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 </w:t>
      </w:r>
      <w:r>
        <w:t xml:space="preserve">que</w:t>
      </w:r>
      <w:r>
        <w:t xml:space="preserve"> </w:t>
      </w:r>
      <w:r>
        <w:rPr>
          <w:b/>
        </w:rPr>
        <w:t xml:space="preserve">reproduz N = 6.650 exatamente</w:t>
      </w:r>
      <w:r>
        <w:t xml:space="preserve"> </w:t>
      </w:r>
      <w:r>
        <w:t xml:space="preserve">(538 / 829 / 5.283) e</w:t>
      </w:r>
      <w:r>
        <w:t xml:space="preserve"> </w:t>
      </w:r>
      <w:r>
        <w:rPr>
          <w:b/>
        </w:rPr>
        <w:t xml:space="preserve">bate com os CSVs versionados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tab04_vias_parto_geral.csv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) gerados pelo pipeline R. Nada foi estimado ou inventado: cada número abaixo foi recomputado a partir do dado bruto ou lido de um CSV de saída do script.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cf50c72950fb5b009fd878a2ca8159fa06178b5"/>
      <w:r>
        <w:t xml:space="preserve">0. Coerência dos tamanhos amostrais (manuscrito 16/06 — verificação por execução)</w:t>
      </w:r>
      <w:bookmarkEnd w:id="21"/>
    </w:p>
    <w:p>
      <w:pPr>
        <w:pStyle w:val="Heading3"/>
      </w:pPr>
      <w:bookmarkStart w:id="22" w:name="X2fafe24efeaf155235a19ff12a8a9d4d103bea7"/>
      <w:r>
        <w:t xml:space="preserve">0.1 Verificado e COERENTE (recomputado da coorte §3.3 / CSVs dos scripts)</w:t>
      </w:r>
      <w:bookmarkEnd w:id="22"/>
    </w:p>
    <w:p>
      <w:pPr>
        <w:pStyle w:val="FirstParagraph"/>
      </w:pPr>
      <w:r>
        <w:t xml:space="preserve">Todos os itens abaixo foram recomputados e</w:t>
      </w:r>
      <w:r>
        <w:t xml:space="preserve"> </w:t>
      </w:r>
      <w:r>
        <w:rPr>
          <w:b/>
        </w:rPr>
        <w:t xml:space="preserve">conferem exatamente</w:t>
      </w:r>
      <w:r>
        <w:t xml:space="preserve"> </w:t>
      </w:r>
      <w:r>
        <w:t xml:space="preserve">com o manuscrito: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Manuscrito 16/06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Recomputado (§3.3)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 final</w:t>
            </w:r>
          </w:p>
        </w:tc>
        <w:tc>
          <w:p>
            <w:pPr>
              <w:pStyle w:val="Compact"/>
              <w:jc w:val="left"/>
            </w:pPr>
            <w:r>
              <w:t xml:space="preserve">6.650</w:t>
            </w:r>
          </w:p>
        </w:tc>
        <w:tc>
          <w:p>
            <w:pPr>
              <w:pStyle w:val="Compact"/>
              <w:jc w:val="left"/>
            </w:pPr>
            <w:r>
              <w:t xml:space="preserve">6.650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Precoces / Tardias / Adultas</w:t>
            </w:r>
          </w:p>
        </w:tc>
        <w:tc>
          <w:p>
            <w:pPr>
              <w:pStyle w:val="Compact"/>
              <w:jc w:val="left"/>
            </w:pPr>
            <w:r>
              <w:t xml:space="preserve">538 / 829 / 5.283</w:t>
            </w:r>
          </w:p>
        </w:tc>
        <w:tc>
          <w:p>
            <w:pPr>
              <w:pStyle w:val="Compact"/>
              <w:jc w:val="left"/>
            </w:pPr>
            <w:r>
              <w:t xml:space="preserve">538 / 829 / 5.283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Adolescentes (total)</w:t>
            </w:r>
          </w:p>
        </w:tc>
        <w:tc>
          <w:p>
            <w:pPr>
              <w:pStyle w:val="Compact"/>
              <w:jc w:val="left"/>
            </w:pPr>
            <w:r>
              <w:t xml:space="preserve">1.367</w:t>
            </w:r>
          </w:p>
        </w:tc>
        <w:tc>
          <w:p>
            <w:pPr>
              <w:pStyle w:val="Compact"/>
              <w:jc w:val="left"/>
            </w:pPr>
            <w:r>
              <w:t xml:space="preserve">1.367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Vias de parto — precoces (V/C/F)</w:t>
            </w:r>
          </w:p>
        </w:tc>
        <w:tc>
          <w:p>
            <w:pPr>
              <w:pStyle w:val="Compact"/>
              <w:jc w:val="left"/>
            </w:pPr>
            <w:r>
              <w:t xml:space="preserve">238 / 166 / 134</w:t>
            </w:r>
          </w:p>
        </w:tc>
        <w:tc>
          <w:p>
            <w:pPr>
              <w:pStyle w:val="Compact"/>
              <w:jc w:val="left"/>
            </w:pPr>
            <w:r>
              <w:t xml:space="preserve">238 / 166 / 134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Vias de parto — tardias (V/C/F)</w:t>
            </w:r>
          </w:p>
        </w:tc>
        <w:tc>
          <w:p>
            <w:pPr>
              <w:pStyle w:val="Compact"/>
              <w:jc w:val="left"/>
            </w:pPr>
            <w:r>
              <w:t xml:space="preserve">333 / 267 / 229</w:t>
            </w:r>
          </w:p>
        </w:tc>
        <w:tc>
          <w:p>
            <w:pPr>
              <w:pStyle w:val="Compact"/>
              <w:jc w:val="left"/>
            </w:pPr>
            <w:r>
              <w:t xml:space="preserve">333 / 267 / 229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Vias de parto — adultas (V/C/F)</w:t>
            </w:r>
          </w:p>
        </w:tc>
        <w:tc>
          <w:p>
            <w:pPr>
              <w:pStyle w:val="Compact"/>
              <w:jc w:val="left"/>
            </w:pPr>
            <w:r>
              <w:t xml:space="preserve">1.426 / 3.313 / 544</w:t>
            </w:r>
          </w:p>
        </w:tc>
        <w:tc>
          <w:p>
            <w:pPr>
              <w:pStyle w:val="Compact"/>
              <w:jc w:val="left"/>
            </w:pPr>
            <w:r>
              <w:t xml:space="preserve">1.426 / 3.313 / 544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Vias de parto — total (V/C/F)</w:t>
            </w:r>
          </w:p>
        </w:tc>
        <w:tc>
          <w:p>
            <w:pPr>
              <w:pStyle w:val="Compact"/>
              <w:jc w:val="left"/>
            </w:pPr>
            <w:r>
              <w:t xml:space="preserve">1.997 / 3.746 / 907</w:t>
            </w:r>
          </w:p>
        </w:tc>
        <w:tc>
          <w:p>
            <w:pPr>
              <w:pStyle w:val="Compact"/>
              <w:jc w:val="left"/>
            </w:pPr>
            <w:r>
              <w:t xml:space="preserve">1.997 / 3.746 / 907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Tamanhos dos grupos de Robson × faixa</w:t>
            </w:r>
          </w:p>
        </w:tc>
        <w:tc>
          <w:p>
            <w:pPr>
              <w:pStyle w:val="Compact"/>
              <w:jc w:val="left"/>
            </w:pPr>
            <w:r>
              <w:t xml:space="preserve">(todos os 9 grupos)</w:t>
            </w:r>
          </w:p>
        </w:tc>
        <w:tc>
          <w:p>
            <w:pPr>
              <w:pStyle w:val="Compact"/>
              <w:jc w:val="left"/>
            </w:pPr>
            <w:r>
              <w:t xml:space="preserve">idem</w:t>
            </w:r>
            <w:r>
              <w:t xml:space="preserve"> </w:t>
            </w:r>
            <w:r>
              <w:rPr>
                <w:rStyle w:val="VerbatimChar"/>
              </w:rPr>
              <w:t xml:space="preserve">tab06</w:t>
            </w:r>
          </w:p>
        </w:tc>
        <w:tc>
          <w:p>
            <w:pPr>
              <w:pStyle w:val="Compact"/>
              <w:jc w:val="left"/>
            </w:pPr>
            <w:r>
              <w:t xml:space="preserve">✓ (14/14 células conferidas)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Taxas de cesárea por Robson × faixa</w:t>
            </w:r>
          </w:p>
        </w:tc>
        <w:tc>
          <w:p>
            <w:pPr>
              <w:pStyle w:val="Compact"/>
              <w:jc w:val="left"/>
            </w:pPr>
            <w:r>
              <w:t xml:space="preserve">(todas)</w:t>
            </w:r>
          </w:p>
        </w:tc>
        <w:tc>
          <w:p>
            <w:pPr>
              <w:pStyle w:val="Compact"/>
              <w:jc w:val="left"/>
            </w:pPr>
            <w:r>
              <w:t xml:space="preserve">idem</w:t>
            </w:r>
            <w:r>
              <w:t xml:space="preserve"> </w:t>
            </w:r>
            <w:r>
              <w:rPr>
                <w:rStyle w:val="VerbatimChar"/>
              </w:rPr>
              <w:t xml:space="preserve">tab06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Grupos 4 e 5 (só adultas)</w:t>
            </w:r>
          </w:p>
        </w:tc>
        <w:tc>
          <w:p>
            <w:pPr>
              <w:pStyle w:val="Compact"/>
              <w:jc w:val="left"/>
            </w:pPr>
            <w:r>
              <w:t xml:space="preserve">424 / 1.175</w:t>
            </w:r>
          </w:p>
        </w:tc>
        <w:tc>
          <w:p>
            <w:pPr>
              <w:pStyle w:val="Compact"/>
              <w:jc w:val="left"/>
            </w:pPr>
            <w:r>
              <w:t xml:space="preserve">424 / 1.175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Nº de consultas com dado</w:t>
            </w:r>
          </w:p>
        </w:tc>
        <w:tc>
          <w:p>
            <w:pPr>
              <w:pStyle w:val="Compact"/>
              <w:jc w:val="left"/>
            </w:pPr>
            <w:r>
              <w:t xml:space="preserve">5.235</w:t>
            </w:r>
          </w:p>
        </w:tc>
        <w:tc>
          <w:p>
            <w:pPr>
              <w:pStyle w:val="Compact"/>
              <w:jc w:val="left"/>
            </w:pPr>
            <w:r>
              <w:t xml:space="preserve">5.235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Indicações de</w:t>
            </w:r>
            <w:r>
              <w:t xml:space="preserve"> </w:t>
            </w:r>
            <w:r>
              <w:rPr>
                <w:b/>
              </w:rPr>
              <w:t xml:space="preserve">fórcipe</w:t>
            </w:r>
            <w:r>
              <w:t xml:space="preserve"> </w:t>
            </w:r>
            <w:r>
              <w:t xml:space="preserve">(denominadores)</w:t>
            </w:r>
          </w:p>
        </w:tc>
        <w:tc>
          <w:p>
            <w:pPr>
              <w:pStyle w:val="Compact"/>
              <w:jc w:val="left"/>
            </w:pPr>
            <w:r>
              <w:t xml:space="preserve">363 (adol) / 544 (adultas)</w:t>
            </w:r>
          </w:p>
        </w:tc>
        <w:tc>
          <w:p>
            <w:pPr>
              <w:pStyle w:val="Compact"/>
              <w:jc w:val="left"/>
            </w:pPr>
            <w:r>
              <w:t xml:space="preserve">363 / 544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lockText"/>
      </w:pPr>
      <w:r>
        <w:t xml:space="preserve">Conclusão: o</w:t>
      </w:r>
      <w:r>
        <w:t xml:space="preserve"> </w:t>
      </w:r>
      <w:r>
        <w:t xml:space="preserve">“</w:t>
      </w:r>
      <w:r>
        <w:t xml:space="preserve">esqueleto</w:t>
      </w:r>
      <w:r>
        <w:t xml:space="preserve">”</w:t>
      </w:r>
      <w:r>
        <w:t xml:space="preserve"> </w:t>
      </w:r>
      <w:r>
        <w:t xml:space="preserve">de N do capítulo (coorte, vias de parto, Robson, consultas, fórcipe) está</w:t>
      </w:r>
      <w:r>
        <w:t xml:space="preserve"> </w:t>
      </w:r>
      <w:r>
        <w:rPr>
          <w:b/>
        </w:rPr>
        <w:t xml:space="preserve">estável e rastreável</w:t>
      </w:r>
      <w:r>
        <w:t xml:space="preserve"> </w:t>
      </w:r>
      <w:r>
        <w:t xml:space="preserve">ao filtro §3.3 e aos CSVs dos scripts.</w:t>
      </w:r>
    </w:p>
    <w:p>
      <w:pPr>
        <w:pStyle w:val="Heading3"/>
      </w:pPr>
      <w:bookmarkStart w:id="23" w:name="X97371596b5e65182f39581cd15f7fdafbc89b3d"/>
      <w:r>
        <w:t xml:space="preserve">0.2 INCONSISTÊNCIAS a corrigir (com a fonte correta indicada)</w:t>
      </w:r>
      <w:bookmarkEnd w:id="23"/>
    </w:p>
    <w:p>
      <w:pPr>
        <w:numPr>
          <w:ilvl w:val="0"/>
          <w:numId w:val="1001"/>
        </w:numPr>
      </w:pPr>
      <w:r>
        <w:rPr>
          <w:b/>
        </w:rPr>
        <w:t xml:space="preserve">Resumo/Abstract — nº de adultas.</w:t>
      </w:r>
      <w:r>
        <w:t xml:space="preserve"> </w:t>
      </w:r>
      <w:r>
        <w:t xml:space="preserve">O resumo (PT e EN) diz adultas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 = 5.279 / 5,279</w:t>
      </w:r>
      <w:r>
        <w:rPr>
          <w:b/>
        </w:rPr>
        <w:t xml:space="preserve">”</w:t>
      </w:r>
      <w:r>
        <w:t xml:space="preserve">, mas a coorte §3.3 e o próprio corpo dos Resultados dizem</w:t>
      </w:r>
      <w:r>
        <w:t xml:space="preserve"> </w:t>
      </w:r>
      <w:r>
        <w:rPr>
          <w:b/>
        </w:rPr>
        <w:t xml:space="preserve">5.283</w:t>
      </w:r>
      <w:r>
        <w:t xml:space="preserve">. Corrigir o resumo para</w:t>
      </w:r>
      <w:r>
        <w:t xml:space="preserve"> </w:t>
      </w:r>
      <w:r>
        <w:rPr>
          <w:b/>
        </w:rPr>
        <w:t xml:space="preserve">5.283</w:t>
      </w:r>
      <w:r>
        <w:t xml:space="preserve"> </w:t>
      </w:r>
      <w:r>
        <w:t xml:space="preserve">(Δ = 4). Fonte: filtro §3.3 (5.283 adultas).</w:t>
      </w:r>
    </w:p>
    <w:p>
      <w:pPr>
        <w:numPr>
          <w:ilvl w:val="0"/>
          <w:numId w:val="1001"/>
        </w:numPr>
      </w:pPr>
      <w:r>
        <w:rPr>
          <w:b/>
        </w:rPr>
        <w:t xml:space="preserve">Seção 5.4 / Tabela 8 — denominadores de cesárea não batem com o resto da dissertação.</w:t>
      </w:r>
      <w:r>
        <w:t xml:space="preserve"> </w:t>
      </w:r>
      <w:r>
        <w:t xml:space="preserve">A Tabela 8 (indicações de cesárea) usa a extração da estatística: precoces 138 + tardias 227 =</w:t>
      </w:r>
      <w:r>
        <w:t xml:space="preserve"> </w:t>
      </w:r>
      <w:r>
        <w:rPr>
          <w:b/>
        </w:rPr>
        <w:t xml:space="preserve">365 adolescentes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3.228 adultas</w:t>
      </w:r>
      <w:r>
        <w:t xml:space="preserve"> </w:t>
      </w:r>
      <w:r>
        <w:t xml:space="preserve">(total 3.593). Mas a</w:t>
      </w:r>
      <w:r>
        <w:t xml:space="preserve"> </w:t>
      </w:r>
      <w:r>
        <w:rPr>
          <w:b/>
        </w:rPr>
        <w:t xml:space="preserve">Tabela 4 (vias de parto) do mesmo manuscrito</w:t>
      </w:r>
      <w:r>
        <w:t xml:space="preserve"> </w:t>
      </w:r>
      <w:r>
        <w:t xml:space="preserve">— e a coorte §3.3 — têm</w:t>
      </w:r>
      <w:r>
        <w:t xml:space="preserve"> </w:t>
      </w:r>
      <w:r>
        <w:rPr>
          <w:b/>
        </w:rPr>
        <w:t xml:space="preserve">433 cesáreas em adolescentes</w:t>
      </w:r>
      <w:r>
        <w:t xml:space="preserve"> </w:t>
      </w:r>
      <w:r>
        <w:t xml:space="preserve">(166 + 267),</w:t>
      </w:r>
      <w:r>
        <w:t xml:space="preserve"> </w:t>
      </w:r>
      <w:r>
        <w:rPr>
          <w:b/>
        </w:rPr>
        <w:t xml:space="preserve">3.313 em adultas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3.746 no total</w:t>
      </w:r>
      <w:r>
        <w:t xml:space="preserve">. Ou seja, o número de cesáreas muda entre a Tabela 4 e a Tabela 8 (Δ: +68 adolescentes, +85 adultas, +153 no total). Os denominadores de</w:t>
      </w:r>
      <w:r>
        <w:t xml:space="preserve"> </w:t>
      </w:r>
      <w:r>
        <w:rPr>
          <w:b/>
        </w:rPr>
        <w:t xml:space="preserve">fórcipe</w:t>
      </w:r>
      <w:r>
        <w:t xml:space="preserve"> </w:t>
      </w:r>
      <w:r>
        <w:t xml:space="preserve">(363 / 544), em contraste, batem com a coorte.</w:t>
      </w:r>
      <w:r>
        <w:t xml:space="preserve"> </w:t>
      </w:r>
      <w:r>
        <w:rPr>
          <w:b/>
        </w:rPr>
        <w:t xml:space="preserve">Esta é a principal incoerência de tamanho amostral do manuscrito.</w:t>
      </w:r>
    </w:p>
    <w:p>
      <w:pPr>
        <w:numPr>
          <w:ilvl w:val="0"/>
          <w:numId w:val="1001"/>
        </w:numPr>
      </w:pPr>
      <w:r>
        <w:rPr>
          <w:b/>
        </w:rPr>
        <w:t xml:space="preserve">Tabela 8 — rodapé com terceiro valor.</w:t>
      </w:r>
      <w:r>
        <w:t xml:space="preserve"> </w:t>
      </w:r>
      <w:r>
        <w:t xml:space="preserve">O rodapé da Tabela 8 diz adultas</w:t>
      </w:r>
      <w:r>
        <w:t xml:space="preserve"> </w:t>
      </w:r>
      <w:r>
        <w:rPr>
          <w:b/>
        </w:rPr>
        <w:t xml:space="preserve">“</w:t>
      </w:r>
      <w:r>
        <w:rPr>
          <w:b/>
        </w:rPr>
        <w:t xml:space="preserve">n = 3.338 cesáreas</w:t>
      </w:r>
      <w:r>
        <w:rPr>
          <w:b/>
        </w:rPr>
        <w:t xml:space="preserve">”</w:t>
      </w:r>
      <w:r>
        <w:t xml:space="preserve">, que não bate nem com a coluna da própria tabela (</w:t>
      </w:r>
      <w:r>
        <w:rPr>
          <w:b/>
        </w:rPr>
        <w:t xml:space="preserve">3.228</w:t>
      </w:r>
      <w:r>
        <w:t xml:space="preserve">) nem com a coorte (</w:t>
      </w:r>
      <w:r>
        <w:rPr>
          <w:b/>
        </w:rPr>
        <w:t xml:space="preserve">3.313</w:t>
      </w:r>
      <w:r>
        <w:t xml:space="preserve">). É um erro de digitação e precisa ser corrigido.</w:t>
      </w:r>
    </w:p>
    <w:p>
      <w:pPr>
        <w:pStyle w:val="Heading3"/>
      </w:pPr>
      <w:bookmarkStart w:id="24" w:name="X23a7f56997f4395c1e2f6cae6d64d4402e19753"/>
      <w:r>
        <w:t xml:space="preserve">0.3 DÚVIDA registrada (não resolvível sem decisão de vocês)</w:t>
      </w:r>
      <w:bookmarkEnd w:id="24"/>
    </w:p>
    <w:p>
      <w:pPr>
        <w:pStyle w:val="FirstParagraph"/>
      </w:pPr>
      <w:r>
        <w:t xml:space="preserve">A extração de cesáreas da estatística usada na Seção 5.4 (</w:t>
      </w:r>
      <w:r>
        <w:rPr>
          <w:b/>
        </w:rPr>
        <w:t xml:space="preserve">total 3.593</w:t>
      </w:r>
      <w:r>
        <w:t xml:space="preserve">)</w:t>
      </w:r>
      <w:r>
        <w:t xml:space="preserve"> </w:t>
      </w:r>
      <w:r>
        <w:rPr>
          <w:b/>
        </w:rPr>
        <w:t xml:space="preserve">não é reproduzível</w:t>
      </w:r>
      <w:r>
        <w:t xml:space="preserve"> </w:t>
      </w:r>
      <w:r>
        <w:t xml:space="preserve">a partir da coorte §3.3 / dos scripts deste repositório (</w:t>
      </w:r>
      <w:r>
        <w:rPr>
          <w:b/>
        </w:rPr>
        <w:t xml:space="preserve">total 3.746</w:t>
      </w:r>
      <w:r>
        <w:t xml:space="preserve">). A diferença de</w:t>
      </w:r>
      <w:r>
        <w:t xml:space="preserve"> </w:t>
      </w:r>
      <w:r>
        <w:rPr>
          <w:b/>
        </w:rPr>
        <w:t xml:space="preserve">153 cesáreas</w:t>
      </w:r>
      <w:r>
        <w:t xml:space="preserve"> </w:t>
      </w:r>
      <w:r>
        <w:t xml:space="preserve">vem de critérios de filtragem distintos (a tabulação da estatística foi feita em ferramenta externa, sobre outra extração).</w:t>
      </w:r>
      <w:r>
        <w:t xml:space="preserve"> </w:t>
      </w:r>
      <w:r>
        <w:rPr>
          <w:b/>
        </w:rPr>
        <w:t xml:space="preserve">Não inventei nenhum valor para conciliar.</w:t>
      </w:r>
      <w:r>
        <w:t xml:space="preserve"> </w:t>
      </w:r>
      <w:r>
        <w:t xml:space="preserve">Duas saídas possíveis, a decidir com a estatística/orientador: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(a) Padronizar pela coorte §3.3 (recomendado para coerência interna):</w:t>
      </w:r>
      <w:r>
        <w:t xml:space="preserve"> </w:t>
      </w:r>
      <w:r>
        <w:t xml:space="preserve">usar</w:t>
      </w:r>
      <w:r>
        <w:t xml:space="preserve"> </w:t>
      </w:r>
      <w:r>
        <w:rPr>
          <w:rStyle w:val="VerbatimChar"/>
        </w:rPr>
        <w:t xml:space="preserve">analysis/03_indicacoes_parto.R</w:t>
      </w:r>
      <w:r>
        <w:t xml:space="preserve">, que recalcula as indicações de cesárea sobre os mesmos 6.650 casos (433 adol / 3.313 adultas / 3.746) — totalmente rastreável e coerente com a Tabela 4. O custo é abrir mão das categorias agregadas da estatística (que podem ser remapeadas no script).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(b) Manter a tabulação da estatística:</w:t>
      </w:r>
      <w:r>
        <w:t xml:space="preserve"> </w:t>
      </w:r>
      <w:r>
        <w:t xml:space="preserve">então é preciso</w:t>
      </w:r>
      <w:r>
        <w:t xml:space="preserve"> </w:t>
      </w:r>
      <w:r>
        <w:rPr>
          <w:b/>
        </w:rPr>
        <w:t xml:space="preserve">documentar o filtro dela</w:t>
      </w:r>
      <w:r>
        <w:t xml:space="preserve"> </w:t>
      </w:r>
      <w:r>
        <w:t xml:space="preserve">(por que 3.593 e não 3.746) e</w:t>
      </w:r>
      <w:r>
        <w:t xml:space="preserve"> </w:t>
      </w:r>
      <w:r>
        <w:rPr>
          <w:b/>
        </w:rPr>
        <w:t xml:space="preserve">assumir explicitamente</w:t>
      </w:r>
      <w:r>
        <w:t xml:space="preserve"> </w:t>
      </w:r>
      <w:r>
        <w:t xml:space="preserve">no texto que a base de indicações difere da base das vias de parto. Sem essa documentação, a divergência fica sem rastreabilidade.</w:t>
      </w:r>
    </w:p>
    <w:p>
      <w:pPr>
        <w:pStyle w:val="FirstParagraph"/>
      </w:pPr>
      <w:r>
        <w:t xml:space="preserve">Enquanto não houver decisão, os denominadores de cesárea da Seção 5.4 permanecem</w:t>
      </w:r>
      <w:r>
        <w:t xml:space="preserve"> </w:t>
      </w:r>
      <w:r>
        <w:rPr>
          <w:b/>
        </w:rPr>
        <w:t xml:space="preserve">inconsistentes</w:t>
      </w:r>
      <w:r>
        <w:t xml:space="preserve"> </w:t>
      </w:r>
      <w:r>
        <w:t xml:space="preserve">com a Tabela 4 e com a coorte §3.3.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sumário-executivo"/>
      <w:r>
        <w:t xml:space="preserve">Sumário Executivo</w:t>
      </w:r>
      <w:bookmarkEnd w:id="25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 10 (Modelo 4) — os OR do SPSS batem exatamente entre si (Relatorio Analise SPSS.md linhas 123–135 e docx).</w:t>
      </w:r>
      <w:r>
        <w:t xml:space="preserve"> </w:t>
      </w:r>
      <w:r>
        <w:rPr>
          <w:b/>
        </w:rPr>
        <w:t xml:space="preserve">Porém, desde 14/06/2026 a medida adotada é a PR</w:t>
      </w:r>
      <w:r>
        <w:t xml:space="preserve"> </w:t>
      </w:r>
      <w:r>
        <w:t xml:space="preserve">(Poisson robusto): a Tabela 10 e a Figura 7 da dissertação devem reportar o PR de</w:t>
      </w:r>
      <w:r>
        <w:t xml:space="preserve"> </w:t>
      </w:r>
      <w:r>
        <w:rPr>
          <w:rStyle w:val="VerbatimChar"/>
        </w:rPr>
        <w:t xml:space="preserve">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), tratando os OR do SPSS como histórico. O forest plot principal (</w:t>
      </w:r>
      <w:r>
        <w:rPr>
          <w:rStyle w:val="VerbatimChar"/>
        </w:rPr>
        <w:t xml:space="preserve">fig_obj5_forest_plot_modelo4.png</w:t>
      </w:r>
      <w:r>
        <w:t xml:space="preserve">) já foi regerado em PR.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Tabelas 5 e 6 são internamente consistentes — para cada célula,</w:t>
      </w:r>
      <w:r>
        <w:t xml:space="preserve"> </w:t>
      </w:r>
      <w:r>
        <w:rPr>
          <w:rStyle w:val="VerbatimChar"/>
        </w:rPr>
        <w:t xml:space="preserve">n_cesárea / n_total</w:t>
      </w:r>
      <w:r>
        <w:t xml:space="preserve"> </w:t>
      </w:r>
      <w:r>
        <w:t xml:space="preserve">coincide com a taxa percentual da Tabela 6 (verificado em todos os 12 grupos com dados disponíveis).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OK:</w:t>
      </w:r>
      <w:r>
        <w:t xml:space="preserve"> </w:t>
      </w:r>
      <w:r>
        <w:t xml:space="preserve">Todos os números de comorbidades (§4.2) e da análise multivariada (§4.5) na redação têm origem rastreável e conferem com a fonte.</w:t>
      </w:r>
      <w:r>
        <w:t xml:space="preserve"> </w:t>
      </w:r>
      <w:r>
        <w:rPr>
          <w:b/>
        </w:rPr>
        <w:t xml:space="preserve">Atenção:</w:t>
      </w:r>
      <w:r>
        <w:t xml:space="preserve"> </w:t>
      </w:r>
      <w:r>
        <w:t xml:space="preserve">a §4.5 deve passar a citar PR (Poisson robusto), não OR da logística — ver documento de revisão da dissertação.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RESOLVIDO (17/06):</w:t>
      </w:r>
      <w:r>
        <w:t xml:space="preserve"> </w:t>
      </w:r>
      <w:r>
        <w:t xml:space="preserve">o N total convergiu para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em todo o manuscrito 16/06, recomputado e validado contra o filtro §3.3 e os CSVs dos scripts (ver §0.1). Os valores antigos divergentes (6.646, 6.663, 6.830, 8.300/8.724) não aparecem mais no corpo dos Resultados.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CRÍTICO (coerência de N, 17/06):</w:t>
      </w:r>
      <w:r>
        <w:t xml:space="preserve"> </w:t>
      </w:r>
      <w:r>
        <w:t xml:space="preserve">a Seção 5.4 (indicações de cesárea, Tabela 8) usa</w:t>
      </w:r>
      <w:r>
        <w:t xml:space="preserve"> </w:t>
      </w:r>
      <w:r>
        <w:rPr>
          <w:b/>
        </w:rPr>
        <w:t xml:space="preserve">365 / 3.228</w:t>
      </w:r>
      <w:r>
        <w:t xml:space="preserve"> </w:t>
      </w:r>
      <w:r>
        <w:t xml:space="preserve">cesáreas (extração da estatística), enquanto a Tabela 4 e a coorte §3.3 têm</w:t>
      </w:r>
      <w:r>
        <w:t xml:space="preserve"> </w:t>
      </w:r>
      <w:r>
        <w:rPr>
          <w:b/>
        </w:rPr>
        <w:t xml:space="preserve">433 / 3.313</w:t>
      </w:r>
      <w:r>
        <w:t xml:space="preserve"> </w:t>
      </w:r>
      <w:r>
        <w:t xml:space="preserve">(total 3.746 vs 3.593). Há ainda um terceiro valor no rodapé (3.338). Além disso, o resumo cita adultas</w:t>
      </w:r>
      <w:r>
        <w:t xml:space="preserve"> </w:t>
      </w:r>
      <w:r>
        <w:rPr>
          <w:b/>
        </w:rPr>
        <w:t xml:space="preserve">5.279</w:t>
      </w:r>
      <w:r>
        <w:t xml:space="preserve"> </w:t>
      </w:r>
      <w:r>
        <w:t xml:space="preserve">em vez de</w:t>
      </w:r>
      <w:r>
        <w:t xml:space="preserve"> </w:t>
      </w:r>
      <w:r>
        <w:rPr>
          <w:b/>
        </w:rPr>
        <w:t xml:space="preserve">5.283</w:t>
      </w:r>
      <w:r>
        <w:t xml:space="preserve">. Detalhes e fontes em</w:t>
      </w:r>
      <w:r>
        <w:t xml:space="preserve"> </w:t>
      </w:r>
      <w:r>
        <w:rPr>
          <w:b/>
        </w:rPr>
        <w:t xml:space="preserve">§0.2/§0.3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IMPORTANTE:</w:t>
      </w:r>
      <w:r>
        <w:t xml:space="preserve"> </w:t>
      </w:r>
      <w:r>
        <w:t xml:space="preserve">CSVs derivados (</w:t>
      </w:r>
      <w:r>
        <w:rPr>
          <w:rStyle w:val="VerbatimChar"/>
        </w:rPr>
        <w:t xml:space="preserve">tab05/tab06_*.csv</w:t>
      </w:r>
      <w:r>
        <w:t xml:space="preserve">) têm valores diferentes dos CSVs primários (</w:t>
      </w:r>
      <w:r>
        <w:rPr>
          <w:rStyle w:val="VerbatimChar"/>
        </w:rPr>
        <w:t xml:space="preserve">tab_obj2_*.csv</w:t>
      </w:r>
      <w:r>
        <w:t xml:space="preserve">) em quatro células — as Tabelas 5–7 do docx foram construídas corretamente a partir dos primários, mas os derivados contêm um bug de recomputação.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RESOLVIDO (jun/2026):</w:t>
      </w:r>
      <w:r>
        <w:t xml:space="preserve"> </w:t>
      </w:r>
      <w:r>
        <w:t xml:space="preserve">as Figuras 5 e 6 (indicações de cesárea e fórcipe) foram geradas —</w:t>
      </w:r>
      <w:r>
        <w:t xml:space="preserve"> </w:t>
      </w:r>
      <w:r>
        <w:rPr>
          <w:rStyle w:val="VerbatimChar"/>
        </w:rPr>
        <w:t xml:space="preserve">results/figures/fig_obj3_indicacoes_cesarea.png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fig_obj3_indicacoes_forcipe.png</w:t>
      </w:r>
      <w:r>
        <w:t xml:space="preserve"> </w:t>
      </w:r>
      <w:r>
        <w:t xml:space="preserve">— agora com a cesárea agrupada por</w:t>
      </w:r>
      <w:r>
        <w:t xml:space="preserve"> </w:t>
      </w:r>
      <w:r>
        <w:rPr>
          <w:rStyle w:val="VerbatimChar"/>
        </w:rPr>
        <w:t xml:space="preserve">Indicacao_final</w:t>
      </w:r>
      <w:r>
        <w:t xml:space="preserve"> </w:t>
      </w:r>
      <w:r>
        <w:t xml:space="preserve">(ver documento de revisão da dissertação, §8). A Figura 7 (forest plot) existe e passou a ser referenciada (e está em PR).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NOVO (10/06/2026):</w:t>
      </w:r>
      <w:r>
        <w:t xml:space="preserve"> </w:t>
      </w:r>
      <w:r>
        <w:t xml:space="preserve">Acrescentada a estratégia de</w:t>
      </w:r>
      <w:r>
        <w:t xml:space="preserve"> </w:t>
      </w:r>
      <w:r>
        <w:rPr>
          <w:b/>
        </w:rPr>
        <w:t xml:space="preserve">três modelos preditivos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analysis/06_modelos_preditivos_cesarea.R</w:t>
      </w:r>
      <w:r>
        <w:t xml:space="preserve">). Coorte total N =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(filtro §3.3 codificado em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) — quinto valor de N em circulação, mas agora</w:t>
      </w:r>
      <w:r>
        <w:t xml:space="preserve"> </w:t>
      </w:r>
      <w:r>
        <w:rPr>
          <w:b/>
        </w:rPr>
        <w:t xml:space="preserve">determinístico e versionado</w:t>
      </w:r>
      <w:r>
        <w:t xml:space="preserve"> </w:t>
      </w:r>
      <w:r>
        <w:t xml:space="preserve">(ver §1.1). O script R foi</w:t>
      </w:r>
      <w:r>
        <w:t xml:space="preserve"> </w:t>
      </w:r>
      <w:r>
        <w:rPr>
          <w:b/>
        </w:rPr>
        <w:t xml:space="preserve">executado</w:t>
      </w:r>
      <w:r>
        <w:t xml:space="preserve"> </w:t>
      </w:r>
      <w:r>
        <w:t xml:space="preserve">e seus resultados</w:t>
      </w:r>
      <w:r>
        <w:t xml:space="preserve"> </w:t>
      </w:r>
      <w:r>
        <w:rPr>
          <w:b/>
        </w:rPr>
        <w:t xml:space="preserve">conferem com a validação em Python</w:t>
      </w:r>
      <w:r>
        <w:t xml:space="preserve"> </w:t>
      </w:r>
      <w:r>
        <w:t xml:space="preserve">(≤ 0,002 na AUC); coeficientes clinicamente coerentes e tabelas/figuras consistentes (ver §1.14). Pendência remanescente: validação externa + curva de decisão antes de uso clínico da ferramenta derivada.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inconsistências-encontradas"/>
      <w:r>
        <w:t xml:space="preserve">1. Inconsistências Encontradas</w:t>
      </w:r>
      <w:bookmarkEnd w:id="26"/>
    </w:p>
    <w:p>
      <w:pPr>
        <w:pStyle w:val="Heading3"/>
      </w:pPr>
      <w:bookmarkStart w:id="27" w:name="Xc66dfeba36c3940b5c5429df661e01837608ad3"/>
      <w:r>
        <w:t xml:space="preserve">1.1 N total da amostra — quatro valores em circulação (CRÍTICO)</w:t>
      </w:r>
      <w:bookmarkEnd w:id="27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tab01_sociodemografia.csv</w:t>
      </w:r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 pipeline —</w:t>
            </w:r>
            <w:r>
              <w:t xml:space="preserve"> </w:t>
            </w:r>
            <w:r>
              <w:rPr>
                <w:rStyle w:val="VerbatimChar"/>
              </w:rPr>
              <w:t xml:space="preserve">tab_obj2_vias_parto_geral.csv</w:t>
            </w:r>
            <w:r>
              <w:t xml:space="preserve"> </w:t>
            </w:r>
            <w:r>
              <w:t xml:space="preserve">(primário)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Tabelas 4–7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  <w:r>
              <w:t xml:space="preserve"> </w:t>
            </w:r>
            <w:r>
              <w:t xml:space="preserve">(rodapé Tab4)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Pipeline modular</w:t>
            </w:r>
            <w:r>
              <w:rPr>
                <w:b/>
              </w:rPr>
              <w:t xml:space="preserve"> </w:t>
            </w:r>
            <w:r>
              <w:rPr>
                <w:rStyle w:val="VerbatimChar"/>
                <w:b/>
              </w:rPr>
              <w:t xml:space="preserve">analysis/00–06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(</w:t>
            </w:r>
            <w:r>
              <w:rPr>
                <w:rStyle w:val="VerbatimChar"/>
                <w:b/>
              </w:rPr>
              <w:t xml:space="preserve">00_filtro_elegibilidade.R</w:t>
            </w:r>
            <w:r>
              <w:rPr>
                <w:b/>
              </w:rP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5.283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6.650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SPSS — cabeçalho da Tabela 1 no</w:t>
            </w:r>
            <w:r>
              <w:t xml:space="preserve"> </w:t>
            </w:r>
            <w:r>
              <w:rPr>
                <w:rStyle w:val="VerbatimChar"/>
              </w:rPr>
              <w:t xml:space="preserve">tabelas_dissertacao.docx</w:t>
            </w:r>
          </w:p>
        </w:tc>
        <w:tc>
          <w:p>
            <w:pPr>
              <w:pStyle w:val="Compact"/>
              <w:jc w:val="left"/>
            </w:pPr>
            <w:r>
              <w:t xml:space="preserve">551</w:t>
            </w:r>
          </w:p>
        </w:tc>
        <w:tc>
          <w:p>
            <w:pPr>
              <w:pStyle w:val="Compact"/>
              <w:jc w:val="left"/>
            </w:pPr>
            <w:r>
              <w:t xml:space="preserve">856</w:t>
            </w:r>
          </w:p>
        </w:tc>
        <w:tc>
          <w:p>
            <w:pPr>
              <w:pStyle w:val="Compact"/>
              <w:jc w:val="left"/>
            </w:pPr>
            <w:r>
              <w:t xml:space="preserve">5.423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6.830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§154 (texto corrido)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1.348 adol</w:t>
            </w:r>
          </w:p>
        </w:tc>
        <w:tc>
          <w:p>
            <w:pPr>
              <w:pStyle w:val="Compact"/>
              <w:jc w:val="left"/>
            </w:pPr>
            <w:r>
              <w:t xml:space="preserve">6.952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8.300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legenda Tabelas 1–2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1.677 adol</w:t>
            </w:r>
          </w:p>
        </w:tc>
        <w:tc>
          <w:p>
            <w:pPr>
              <w:pStyle w:val="Compact"/>
              <w:jc w:val="left"/>
            </w:pPr>
            <w:r>
              <w:t xml:space="preserve">7.047 adul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8.724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Há quatro valores de N distintos, cada um correspondendo a um escopo diferente de filtragem: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6.646</w:t>
      </w:r>
      <w:r>
        <w:t xml:space="preserve"> </w:t>
      </w:r>
      <w:r>
        <w:t xml:space="preserve">= R com todos os critérios de elegibilidade aplicados (IG ≥ 22, Robson 1–10 exceto 8, idade 11–34, tipo_parto preenchido).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6.663</w:t>
      </w:r>
      <w:r>
        <w:t xml:space="preserve"> </w:t>
      </w:r>
      <w:r>
        <w:t xml:space="preserve">= Tabelas 5–7 do docx: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17 casos a mais que o primário, sugerindo que a tabela de taxa e a de vias usaram cortes de código diferentes no mesmo render.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=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(filtro §3.3 codificado), determinístico: o script</w:t>
      </w:r>
      <w:r>
        <w:t xml:space="preserve"> </w:t>
      </w:r>
      <w:r>
        <w:rPr>
          <w:rStyle w:val="VerbatimChar"/>
        </w:rPr>
        <w:t xml:space="preserve">00_filtro_elegibilidade.R</w:t>
      </w:r>
      <w:r>
        <w:t xml:space="preserve"> </w:t>
      </w:r>
      <w:r>
        <w:t xml:space="preserve">aplica os mesmos critérios e dispara</w:t>
      </w:r>
      <w:r>
        <w:t xml:space="preserve"> </w:t>
      </w:r>
      <w:r>
        <w:rPr>
          <w:rStyle w:val="VerbatimChar"/>
        </w:rPr>
        <w:t xml:space="preserve">stopifnot(nrow == 6650)</w:t>
      </w:r>
      <w:r>
        <w:t xml:space="preserve">. É a fonte recomendada para padronizar o N daqui em diante, pois é versionada, testada (</w:t>
      </w:r>
      <w:r>
        <w:rPr>
          <w:rStyle w:val="VerbatimChar"/>
        </w:rPr>
        <w:t xml:space="preserve">tests/testthat/</w:t>
      </w:r>
      <w:r>
        <w:t xml:space="preserve">) e replicável. A diferença para 6.646/6.663 (±4 a ±13 casos) vem de pequenas variações de corte entre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antigo e o pipeline novo — convém migrar as Tabelas 4–7 para o pipeline modular.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6.830</w:t>
      </w:r>
      <w:r>
        <w:t xml:space="preserve"> </w:t>
      </w:r>
      <w:r>
        <w:t xml:space="preserve">= SPSS: inclui os 184 casos que o R exclui por Robson ausente/inválido ou IG &lt; 22.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8.300</w:t>
      </w:r>
      <w:r>
        <w:t xml:space="preserve"> </w:t>
      </w:r>
      <w:r>
        <w:t xml:space="preserve">e</w:t>
      </w:r>
      <w:r>
        <w:t xml:space="preserve"> </w:t>
      </w:r>
      <w:r>
        <w:rPr>
          <w:b/>
        </w:rPr>
        <w:t xml:space="preserve">8.724</w:t>
      </w:r>
      <w:r>
        <w:t xml:space="preserve"> </w:t>
      </w:r>
      <w:r>
        <w:t xml:space="preserve">= dissertação original: inclui gestantes ≥ 35 anos (n ≈ 1.469 no SPSS) e casos pré-filtro; os dois valores são incompatíveis entre si (diferença de 424), indicando que §154 e as legendas das Tabelas 1–2 da dissertação usam cortes distintos.</w:t>
      </w:r>
    </w:p>
    <w:p>
      <w:pPr>
        <w:pStyle w:val="BodyText"/>
      </w:pPr>
      <w:r>
        <w:rPr>
          <w:b/>
        </w:rPr>
        <w:t xml:space="preserve">Correção sugerida (ATUALIZADA 17/06/2026):</w:t>
      </w:r>
      <w:r>
        <w:t xml:space="preserve"> </w:t>
      </w:r>
      <w:r>
        <w:t xml:space="preserve">a tabela acima reflete o estado</w:t>
      </w:r>
      <w:r>
        <w:t xml:space="preserve"> </w:t>
      </w:r>
      <w:r>
        <w:rPr>
          <w:i/>
        </w:rPr>
        <w:t xml:space="preserve">anterior</w:t>
      </w:r>
      <w:r>
        <w:t xml:space="preserve"> </w:t>
      </w:r>
      <w:r>
        <w:t xml:space="preserve">dos documentos. No manuscrito</w:t>
      </w:r>
      <w:r>
        <w:t xml:space="preserve"> </w:t>
      </w:r>
      <w:r>
        <w:rPr>
          <w:b/>
        </w:rPr>
        <w:t xml:space="preserve">16/06</w:t>
      </w:r>
      <w:r>
        <w:t xml:space="preserve">, o N convergiu para</w:t>
      </w:r>
      <w:r>
        <w:t xml:space="preserve"> </w:t>
      </w:r>
      <w:r>
        <w:rPr>
          <w:b/>
        </w:rPr>
        <w:t xml:space="preserve">6.650</w:t>
      </w:r>
      <w:r>
        <w:t xml:space="preserve"> </w:t>
      </w:r>
      <w:r>
        <w:t xml:space="preserve">(filtro §3.3) de forma consistente — ver §0.1, onde cada célula foi recomputada e validada.</w:t>
      </w:r>
      <w:r>
        <w:t xml:space="preserve"> </w:t>
      </w:r>
      <w:r>
        <w:rPr>
          <w:b/>
        </w:rPr>
        <w:t xml:space="preserve">A fonte definitiva é o pipeline modular</w:t>
      </w:r>
      <w:r>
        <w:rPr>
          <w:b/>
        </w:rPr>
        <w:t xml:space="preserve"> </w:t>
      </w:r>
      <w:r>
        <w:rPr>
          <w:rStyle w:val="VerbatimChar"/>
          <w:b/>
        </w:rPr>
        <w:t xml:space="preserve">analysis/00–06</w:t>
      </w:r>
      <w:r>
        <w:rPr>
          <w:b/>
        </w:rPr>
        <w:t xml:space="preserve"> </w:t>
      </w:r>
      <w:r>
        <w:rPr>
          <w:b/>
        </w:rPr>
        <w:t xml:space="preserve">(</w:t>
      </w:r>
      <w:r>
        <w:rPr>
          <w:rStyle w:val="VerbatimChar"/>
          <w:b/>
        </w:rPr>
        <w:t xml:space="preserve">00_filtro_elegibilidade.R</w:t>
      </w:r>
      <w:r>
        <w:rPr>
          <w:b/>
        </w:rPr>
        <w:t xml:space="preserve">), N = 6.650 (538 / 829 / 5.283)</w:t>
      </w:r>
      <w:r>
        <w:t xml:space="preserve">, versionado e testado. As Tabelas 4–7 do manuscrito 16/06 já batem com ele. Observações:</w:t>
      </w:r>
      <w:r>
        <w:t xml:space="preserve"> </w:t>
      </w:r>
      <w:r>
        <w:t xml:space="preserve">- O valor</w:t>
      </w:r>
      <w:r>
        <w:t xml:space="preserve"> </w:t>
      </w:r>
      <w:r>
        <w:rPr>
          <w:b/>
        </w:rPr>
        <w:t xml:space="preserve">5.279</w:t>
      </w:r>
      <w:r>
        <w:t xml:space="preserve"> </w:t>
      </w:r>
      <w:r>
        <w:t xml:space="preserve">que aparece no</w:t>
      </w:r>
      <w:r>
        <w:t xml:space="preserve"> </w:t>
      </w:r>
      <w:r>
        <w:rPr>
          <w:b/>
        </w:rPr>
        <w:t xml:space="preserve">resumo/abstract</w:t>
      </w:r>
      <w:r>
        <w:t xml:space="preserve"> </w:t>
      </w:r>
      <w:r>
        <w:t xml:space="preserve">não corresponde a 5.283 (§3.3) nem ao CSV atual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(que hoje traz adultas 5.295 / total 6.663, fruto de uma extração anterior). Recomenda-se</w:t>
      </w:r>
      <w:r>
        <w:t xml:space="preserve"> </w:t>
      </w:r>
      <w:r>
        <w:rPr>
          <w:b/>
        </w:rPr>
        <w:t xml:space="preserve">corrigir o resumo para 5.283</w:t>
      </w:r>
      <w:r>
        <w:t xml:space="preserve"> </w:t>
      </w:r>
      <w:r>
        <w:t xml:space="preserve">e, se ainda em uso,</w:t>
      </w:r>
      <w:r>
        <w:t xml:space="preserve"> </w:t>
      </w:r>
      <w:r>
        <w:rPr>
          <w:b/>
        </w:rPr>
        <w:t xml:space="preserve">regenerar</w:t>
      </w:r>
      <w:r>
        <w:rPr>
          <w:b/>
        </w:rPr>
        <w:t xml:space="preserve"> </w:t>
      </w:r>
      <w:r>
        <w:rPr>
          <w:rStyle w:val="VerbatimChar"/>
          <w:b/>
        </w:rPr>
        <w:t xml:space="preserve">tab_obj2_*</w:t>
      </w:r>
      <w:r>
        <w:rPr>
          <w:b/>
        </w:rPr>
        <w:t xml:space="preserve"> </w:t>
      </w:r>
      <w:r>
        <w:rPr>
          <w:b/>
        </w:rPr>
        <w:t xml:space="preserve">pelo pipeline §3.3</w:t>
      </w:r>
      <w:r>
        <w:t xml:space="preserve"> </w:t>
      </w:r>
      <w:r>
        <w:t xml:space="preserve">para eliminar o 6.663 residual.</w:t>
      </w:r>
      <w:r>
        <w:t xml:space="preserve"> </w:t>
      </w:r>
      <w:r>
        <w:t xml:space="preserve">- Para Tabelas 1–3 (sociodemografia, hábitos, comorbidades), manter o denominador §3.3 (6.650) e reportar por célula 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válido +</w:t>
      </w:r>
      <w:r>
        <w:t xml:space="preserve"> </w:t>
      </w:r>
      <w:r>
        <w:rPr>
          <w:rStyle w:val="VerbatimChar"/>
        </w:rPr>
        <w:t xml:space="preserve">% ausente</w:t>
      </w:r>
      <w:r>
        <w:t xml:space="preserve"> </w:t>
      </w:r>
      <w:r>
        <w:t xml:space="preserve">quando houver dado faltante, em vez de adotar o N do SPSS (6.830).</w:t>
      </w:r>
      <w:r>
        <w:t xml:space="preserve"> </w:t>
      </w:r>
      <w:r>
        <w:t xml:space="preserve">- Eliminar do texto as referências a 8.300 / 8.724 (totais brutos pré-critérios) ou marcá-las explicitamente como pré-filtro.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8" w:name="X5834b152b96cc10b72666f79cbd33d9a4ee7bed"/>
      <w:r>
        <w:t xml:space="preserve">1.2 Discrepância entre CSVs primários e CSVs derivados (Tabelas 5–7)</w:t>
      </w:r>
      <w:bookmarkEnd w:id="28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;</w:t>
      </w:r>
      <w:r>
        <w:t xml:space="preserve"> </w:t>
      </w:r>
      <w:r>
        <w:rPr>
          <w:rStyle w:val="VerbatimChar"/>
        </w:rPr>
        <w:t xml:space="preserve">tab_obj2_robson_x_parto_x_idade.csv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tab05_robson_faixa_via.csv</w:t>
      </w:r>
    </w:p>
    <w:p>
      <w:pPr>
        <w:pStyle w:val="BodyText"/>
      </w:pPr>
      <w:r>
        <w:t xml:space="preserve">Quatro células diferem entre os CSVs primários (</w:t>
      </w:r>
      <w:r>
        <w:rPr>
          <w:rStyle w:val="VerbatimChar"/>
        </w:rPr>
        <w:t xml:space="preserve">tab_obj2_*</w:t>
      </w:r>
      <w:r>
        <w:t xml:space="preserve">) e os derivados (</w:t>
      </w:r>
      <w:r>
        <w:rPr>
          <w:rStyle w:val="VerbatimChar"/>
        </w:rPr>
        <w:t xml:space="preserve">tab0X_*</w:t>
      </w:r>
      <w:r>
        <w:t xml:space="preserve">):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Célula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Primário (</w:t>
            </w:r>
            <w:r>
              <w:rPr>
                <w:rStyle w:val="VerbatimChar"/>
              </w:rPr>
              <w:t xml:space="preserve">tab_obj2_taxa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Derivado (</w:t>
            </w:r>
            <w:r>
              <w:rPr>
                <w:rStyle w:val="VerbatimChar"/>
              </w:rPr>
              <w:t xml:space="preserve">tab06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6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39, taxa = 94,9%</w:t>
            </w:r>
          </w:p>
        </w:tc>
        <w:tc>
          <w:p>
            <w:pPr>
              <w:pStyle w:val="Compact"/>
              <w:jc w:val="left"/>
            </w:pPr>
            <w:r>
              <w:t xml:space="preserve">n = 38, taxa = 94,7%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7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302, taxa = 90,4%</w:t>
            </w:r>
          </w:p>
        </w:tc>
        <w:tc>
          <w:p>
            <w:pPr>
              <w:pStyle w:val="Compact"/>
              <w:jc w:val="left"/>
            </w:pPr>
            <w:r>
              <w:t xml:space="preserve">n = 300, taxa = 90,7%</w:t>
            </w:r>
          </w:p>
        </w:tc>
        <w:tc>
          <w:p>
            <w:pPr>
              <w:pStyle w:val="Compact"/>
              <w:jc w:val="left"/>
            </w:pPr>
            <w:r>
              <w:t xml:space="preserve">−2 casos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Tardias</w:t>
            </w:r>
          </w:p>
        </w:tc>
        <w:tc>
          <w:p>
            <w:pPr>
              <w:pStyle w:val="Compact"/>
              <w:jc w:val="left"/>
            </w:pPr>
            <w:r>
              <w:t xml:space="preserve">n = 116, taxa = 31,0%</w:t>
            </w:r>
          </w:p>
        </w:tc>
        <w:tc>
          <w:p>
            <w:pPr>
              <w:pStyle w:val="Compact"/>
              <w:jc w:val="left"/>
            </w:pPr>
            <w:r>
              <w:t xml:space="preserve">n = 115, taxa = 31,3%</w:t>
            </w:r>
          </w:p>
        </w:tc>
        <w:tc>
          <w:p>
            <w:pPr>
              <w:pStyle w:val="Compact"/>
              <w:jc w:val="left"/>
            </w:pPr>
            <w:r>
              <w:t xml:space="preserve">−1 caso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Grupo 10 — Adultas</w:t>
            </w:r>
          </w:p>
        </w:tc>
        <w:tc>
          <w:p>
            <w:pPr>
              <w:pStyle w:val="Compact"/>
              <w:jc w:val="left"/>
            </w:pPr>
            <w:r>
              <w:t xml:space="preserve">n = 1.193, taxa = 62,0%</w:t>
            </w:r>
          </w:p>
        </w:tc>
        <w:tc>
          <w:p>
            <w:pPr>
              <w:pStyle w:val="Compact"/>
              <w:jc w:val="left"/>
            </w:pPr>
            <w:r>
              <w:t xml:space="preserve">n = 1.180, taxa = 62,5%</w:t>
            </w:r>
          </w:p>
        </w:tc>
        <w:tc>
          <w:p>
            <w:pPr>
              <w:pStyle w:val="Compact"/>
              <w:jc w:val="left"/>
            </w:pPr>
            <w:r>
              <w:t xml:space="preserve">−13 casos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Tabelas 5–7 do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foram construídas corretamente a partir dos CSVs primários (</w:t>
      </w:r>
      <w:r>
        <w:rPr>
          <w:rStyle w:val="VerbatimChar"/>
        </w:rPr>
        <w:t xml:space="preserve">tab_obj2_*</w:t>
      </w:r>
      <w:r>
        <w:t xml:space="preserve">). Os CSVs derivados (</w:t>
      </w:r>
      <w:r>
        <w:rPr>
          <w:rStyle w:val="VerbatimChar"/>
        </w:rPr>
        <w:t xml:space="preserve">tab05/tab06_*.csv</w:t>
      </w:r>
      <w:r>
        <w:t xml:space="preserve">) foram recomputados em um momento diferente e produziram valores levemente distintos — provavelmente por diferença de seed de simulação Monte Carlo, ordem de operações ou versão de pacote. A inconsistência está nos derivados, não no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Ignorar os CSVs derivados (</w:t>
      </w:r>
      <w:r>
        <w:rPr>
          <w:rStyle w:val="VerbatimChar"/>
        </w:rPr>
        <w:t xml:space="preserve">tab05/tab06</w:t>
      </w:r>
      <w:r>
        <w:t xml:space="preserve">) para a dissertação; usar exclusivamente os CSVs primários (</w:t>
      </w:r>
      <w:r>
        <w:rPr>
          <w:rStyle w:val="VerbatimChar"/>
        </w:rPr>
        <w:t xml:space="preserve">tab_obj2_*</w:t>
      </w:r>
      <w:r>
        <w:t xml:space="preserve">) como fonte de verdade para Tabelas 4–7. Deletar ou renomear os derivados para evitar confusão futura.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9" w:name="Xb45335f927c3f14321b2e1ad71ed428c852810b"/>
      <w:r>
        <w:t xml:space="preserve">1.3 Discrepância entre totais de Tabela 4 no docx e CSV primário</w:t>
      </w:r>
      <w:bookmarkEnd w:id="29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vs</w:t>
      </w:r>
      <w:r>
        <w:t xml:space="preserve"> </w:t>
      </w:r>
      <w:r>
        <w:rPr>
          <w:rStyle w:val="VerbatimChar"/>
        </w:rPr>
        <w:t xml:space="preserve">tab_obj2_vias_parto_geral.csv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CSV primário (</w:t>
            </w:r>
            <w:r>
              <w:rPr>
                <w:rStyle w:val="VerbatimChar"/>
              </w:rPr>
              <w:t xml:space="preserve">tab_obj2_vias</w:t>
            </w:r>
            <w:r>
              <w:t xml:space="preserve">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Tab4 docx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n = 829</w:t>
            </w:r>
          </w:p>
        </w:tc>
        <w:tc>
          <w:p>
            <w:pPr>
              <w:pStyle w:val="Compact"/>
              <w:jc w:val="left"/>
            </w:pPr>
            <w:r>
              <w:t xml:space="preserve">n = 830 (+1)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n = 5.279</w:t>
            </w:r>
          </w:p>
        </w:tc>
        <w:tc>
          <w:p>
            <w:pPr>
              <w:pStyle w:val="Compact"/>
              <w:jc w:val="left"/>
            </w:pPr>
            <w:r>
              <w:t xml:space="preserve">n = 5.295 (+16)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Total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4 no docx exibe totais diferentes dos totais no CSV primário de vias de parto. Isso indica que dois CSVs produzidos pelo mesmo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— não são perfeitamente concordantes. A soma dos n por Robson a partir de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 6.663, enquanto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produz 6.646. Ambos deveriam ser idênticos, pois derivam do mesmo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Rerodar 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verificar se os dois CSVs convergem para o mesmo total. Se não convergirem, identificar o chunk que produz cada um e garantir que ambos filtram a mesma base. O N definitivo para as Tabelas 4–7 deve ser um único número consistente.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0" w:name="dissertação-original-p-valor-de-corraça"/>
      <w:r>
        <w:t xml:space="preserve">1.4 Dissertação original — p-valor de cor/raça</w:t>
      </w:r>
      <w:bookmarkEnd w:id="30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  <w:r>
        <w:t xml:space="preserve"> </w:t>
      </w:r>
      <w:r>
        <w:t xml:space="preserve">§160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 vs</w:t>
      </w:r>
      <w:r>
        <w:t xml:space="preserve"> </w:t>
      </w:r>
      <w:r>
        <w:rPr>
          <w:rStyle w:val="VerbatimChar"/>
        </w:rPr>
        <w:t xml:space="preserve">Relatorio Analise SPSS.md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Conclusão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Dissertação original §160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0,06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Relatório SPSS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Nova redação (§4.1.2)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1 docx</w:t>
            </w:r>
          </w:p>
        </w:tc>
        <w:tc>
          <w:p>
            <w:pPr>
              <w:pStyle w:val="Compact"/>
              <w:jc w:val="left"/>
            </w:pPr>
            <w:r>
              <w:t xml:space="preserve">p =</w:t>
            </w:r>
            <w:r>
              <w:t xml:space="preserve"> </w:t>
            </w:r>
            <w:r>
              <w:rPr>
                <w:b/>
              </w:rPr>
              <w:t xml:space="preserve">0,337</w:t>
            </w:r>
          </w:p>
        </w:tc>
        <w:tc>
          <w:p>
            <w:pPr>
              <w:pStyle w:val="Compact"/>
              <w:jc w:val="left"/>
            </w:pPr>
            <w:r>
              <w:t xml:space="preserve">não significativo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texto original da dissertação (§160) cita p = 0,06, que diverge do valor do SPSS (0,337). Ambos apontam ausência de significância estatística, de modo que a conclusão clínica não muda. A nova redação e a Tabela 1 já foram corrigidas para 0,337. O problema residual é que §160 da dissertação original ainda contém o valor errado.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Na revisão do docx principal,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 </w:t>
      </w:r>
      <w:r>
        <w:t xml:space="preserve">em §160. O p definitivo é 0,337, proveniente do SPSS com a amostra conforme os critérios de elegibilidade.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1" w:name="X3b9dd0828b47bf3f4317eff57616ef33a0898e6"/>
      <w:r>
        <w:t xml:space="preserve">1.5 Dissertação original — incompatibilidade entre §154 e legendas das Tabelas 1–2</w:t>
      </w:r>
      <w:bookmarkEnd w:id="31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Dissertação Maio_26.docx</w:t>
      </w:r>
    </w:p>
    <w:p>
      <w:pPr>
        <w:numPr>
          <w:ilvl w:val="0"/>
          <w:numId w:val="1004"/>
        </w:numPr>
        <w:pStyle w:val="Compact"/>
      </w:pPr>
      <w:r>
        <w:t xml:space="preserve">§154 (texto):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8.300 participantes, sendo 1.348 parturientes adolescentes e 6.952 adultas</w:t>
      </w:r>
      <w:r>
        <w:rPr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Legenda Tabela 1: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parturientes adolescentes (11 a 19 anos) e 7.047 adultas</w:t>
      </w:r>
      <w:r>
        <w:rPr>
          <w:i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Legenda Tabela 2: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incluindo 1.677 adolescentes (de 11 a 19 anos) e 7.047 adultas</w:t>
      </w:r>
      <w:r>
        <w:rPr>
          <w:i/>
        </w:rPr>
        <w:t xml:space="preserve">”</w:t>
      </w:r>
    </w:p>
    <w:p>
      <w:pPr>
        <w:pStyle w:val="FirstParagraph"/>
      </w:pPr>
      <w:r>
        <w:rPr>
          <w:b/>
        </w:rPr>
        <w:t xml:space="preserve">Problema:</w:t>
      </w:r>
      <w:r>
        <w:t xml:space="preserve"> </w:t>
      </w:r>
      <w:r>
        <w:t xml:space="preserve">§154 e as legendas das Tabelas 1–2 referem-se ao mesmo estudo mas apresentam totais incompatíveis: 1.348 adol vs 1.677 adol (diferença de 329) e 6.952 adul vs 7.047 adul (diferença de 95). Nenhum desses valores corresponde aos números do pipeline do R (538+829=1.367 adol; 5.279–5.295 adul) nem ao SPSS filtrado (551+856=1.407 adol; 5.423 adul).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Eliminar ambas as versões do texto original; substituir pelo N definitivo pós-reconciliação (ver Seção 1.1 e Seção 3). Enquanto os placeholders não forem preenchidos, manter apenas a nova redação (</w:t>
      </w:r>
      <w:r>
        <w:rPr>
          <w:rStyle w:val="VerbatimChar"/>
        </w:rPr>
        <w:t xml:space="preserve">resultados_redacao.docx</w:t>
      </w:r>
      <w:r>
        <w:t xml:space="preserve">) e não colar nenhum parágrafo da versão original de §154 e legendas.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2" w:name="Xc998e19f1beb531f5104fc3fe83c7e7430e9a6e"/>
      <w:r>
        <w:t xml:space="preserve">1.6 Redação §4.1.2 — percentual de cor/raça pode não representar todas as adolescentes</w:t>
      </w:r>
      <w:bookmarkEnd w:id="32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§4.1.2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56,3% das adolescentes foram classificadas como brancas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 Tabela 1 do docx mostra precoces = 56,6% brancas e tardias = 56,3% brancas. O valor 56,3% coincide com as tardias isoladamente. O SPSS calcula a proporção com adolescentes unificadas (precoces + tardias combinadas), e pode produzir um valor diferente de 56,3% dependendo do peso de cada subgrupo. A redação não indica de qual fonte veio esse 56,3%.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Verificar no arquivo</w:t>
      </w:r>
      <w:r>
        <w:t xml:space="preserve"> </w:t>
      </w:r>
      <w:r>
        <w:rPr>
          <w:rStyle w:val="VerbatimChar"/>
        </w:rPr>
        <w:t xml:space="preserve">Resultados_finais.ods</w:t>
      </w:r>
      <w:r>
        <w:t xml:space="preserve"> </w:t>
      </w:r>
      <w:r>
        <w:t xml:space="preserve">o percentual combinado de brancas para o grupo adolescente (11–19 anos). Se diferir de 56,3%, corrigir na redação. Se for 56,3%, acrescentar nota de que é o valor agregado do SPSS, diferente dos 56,6% (precoces) e 56,3% (tardias) da Tabela 1.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3" w:name="Xfd1e3324d8dc0b66ab417b6b292a3e1e1f95157"/>
      <w:r>
        <w:t xml:space="preserve">1.7 Tabela 4 docx vs SPSS — diferença de percentuais de vias de parto</w:t>
      </w:r>
      <w:bookmarkEnd w:id="33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4 (fonte R) vs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§4 (tabela de via de parto)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Faixa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Normal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Fórcipe SPSS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Cesárea SPSS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Precoces</w:t>
            </w:r>
          </w:p>
        </w:tc>
        <w:tc>
          <w:p>
            <w:pPr>
              <w:pStyle w:val="Compact"/>
              <w:jc w:val="left"/>
            </w:pPr>
            <w:r>
              <w:t xml:space="preserve">44,2%</w:t>
            </w:r>
          </w:p>
        </w:tc>
        <w:tc>
          <w:p>
            <w:pPr>
              <w:pStyle w:val="Compact"/>
              <w:jc w:val="left"/>
            </w:pPr>
            <w:r>
              <w:t xml:space="preserve">45,4%</w:t>
            </w:r>
          </w:p>
        </w:tc>
        <w:tc>
          <w:p>
            <w:pPr>
              <w:pStyle w:val="Compact"/>
              <w:jc w:val="left"/>
            </w:pPr>
            <w:r>
              <w:t xml:space="preserve">24,9%</w:t>
            </w:r>
          </w:p>
        </w:tc>
        <w:tc>
          <w:p>
            <w:pPr>
              <w:pStyle w:val="Compact"/>
              <w:jc w:val="left"/>
            </w:pPr>
            <w:r>
              <w:t xml:space="preserve">24,5%</w:t>
            </w:r>
          </w:p>
        </w:tc>
        <w:tc>
          <w:p>
            <w:pPr>
              <w:pStyle w:val="Compact"/>
              <w:jc w:val="left"/>
            </w:pPr>
            <w:r>
              <w:t xml:space="preserve">30,9%</w:t>
            </w:r>
          </w:p>
        </w:tc>
        <w:tc>
          <w:p>
            <w:pPr>
              <w:pStyle w:val="Compact"/>
              <w:jc w:val="left"/>
            </w:pPr>
            <w:r>
              <w:t xml:space="preserve">30,1%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Tardias</w:t>
            </w:r>
          </w:p>
        </w:tc>
        <w:tc>
          <w:p>
            <w:pPr>
              <w:pStyle w:val="Compact"/>
              <w:jc w:val="left"/>
            </w:pPr>
            <w:r>
              <w:t xml:space="preserve">40,2%</w:t>
            </w:r>
          </w:p>
        </w:tc>
        <w:tc>
          <w:p>
            <w:pPr>
              <w:pStyle w:val="Compact"/>
              <w:jc w:val="left"/>
            </w:pPr>
            <w:r>
              <w:t xml:space="preserve">41,2%</w:t>
            </w:r>
          </w:p>
        </w:tc>
        <w:tc>
          <w:p>
            <w:pPr>
              <w:pStyle w:val="Compact"/>
              <w:jc w:val="left"/>
            </w:pPr>
            <w:r>
              <w:t xml:space="preserve">27,6%</w:t>
            </w:r>
          </w:p>
        </w:tc>
        <w:tc>
          <w:p>
            <w:pPr>
              <w:pStyle w:val="Compact"/>
              <w:jc w:val="left"/>
            </w:pPr>
            <w:r>
              <w:t xml:space="preserve">27,3%</w:t>
            </w:r>
          </w:p>
        </w:tc>
        <w:tc>
          <w:p>
            <w:pPr>
              <w:pStyle w:val="Compact"/>
              <w:jc w:val="left"/>
            </w:pPr>
            <w:r>
              <w:t xml:space="preserve">32,2%</w:t>
            </w:r>
          </w:p>
        </w:tc>
        <w:tc>
          <w:p>
            <w:pPr>
              <w:pStyle w:val="Compact"/>
              <w:jc w:val="left"/>
            </w:pPr>
            <w:r>
              <w:t xml:space="preserve">31,4%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Adultas</w:t>
            </w:r>
          </w:p>
        </w:tc>
        <w:tc>
          <w:p>
            <w:pPr>
              <w:pStyle w:val="Compact"/>
              <w:jc w:val="left"/>
            </w:pPr>
            <w:r>
              <w:t xml:space="preserve">27,1%</w:t>
            </w:r>
          </w:p>
        </w:tc>
        <w:tc>
          <w:p>
            <w:pPr>
              <w:pStyle w:val="Compact"/>
              <w:jc w:val="left"/>
            </w:pPr>
            <w:r>
              <w:t xml:space="preserve">27,5%</w:t>
            </w:r>
          </w:p>
        </w:tc>
        <w:tc>
          <w:p>
            <w:pPr>
              <w:pStyle w:val="Compact"/>
              <w:jc w:val="left"/>
            </w:pPr>
            <w:r>
              <w:t xml:space="preserve">10,3%</w:t>
            </w:r>
          </w:p>
        </w:tc>
        <w:tc>
          <w:p>
            <w:pPr>
              <w:pStyle w:val="Compact"/>
              <w:jc w:val="left"/>
            </w:pPr>
            <w:r>
              <w:t xml:space="preserve">10,2%</w:t>
            </w:r>
          </w:p>
        </w:tc>
        <w:tc>
          <w:p>
            <w:pPr>
              <w:pStyle w:val="Compact"/>
              <w:jc w:val="left"/>
            </w:pPr>
            <w:r>
              <w:t xml:space="preserve">62,6%</w:t>
            </w:r>
          </w:p>
        </w:tc>
        <w:tc>
          <w:p>
            <w:pPr>
              <w:pStyle w:val="Compact"/>
              <w:jc w:val="left"/>
            </w:pPr>
            <w:r>
              <w:t xml:space="preserve">62,3%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As diferenças são pequenas (&lt; 1,3 p.p.) mas sistemáticas, resultado esperado de amostras ligeiramente distintas: R aplica filtro de Robson e IG ≥ 22 semanas; SPSS usa apenas faixa etária 11–34 anos. Isso é documentado na nota de rodapé da Tabela 4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Não é erro — é diferença metodológica documentada. A dissertação deve citar os valores do R (Tabela 4) para a seção de resultados principal e, se mencionar os valores do SPSS, indicar explicitamente que a amostra é diferente. A redação atual cita os valores do R, que é a escolha correta.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4" w:name="X4a29ad09edd02bad39442919b79bd888147c470"/>
      <w:r>
        <w:t xml:space="preserve">1.8 Tabela 8 — cobertura muito baixa e desigual de ind_final para adolescentes</w:t>
      </w:r>
      <w:bookmarkEnd w:id="34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8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Somando cesáreas + fórcipes do R (Tabela 4): precoces = 300 partos operatórios, tardias = 496, adultas = 3.859. A Tabela 8 usa denominadores de 138 (precoces), 227 (tardias) e 3.228 (adultas) — cobertura de apenas ~46% para adolescentes versus ~84% para adultas. Isso significa que mais da metade dos partos operatórios de adolescentes não tem indicação registrada na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SPSS.</w:t>
      </w:r>
    </w:p>
    <w:p>
      <w:pPr>
        <w:pStyle w:val="BodyText"/>
      </w:pPr>
      <w:r>
        <w:rPr>
          <w:b/>
        </w:rPr>
        <w:t xml:space="preserve">Problema derivado:</w:t>
      </w:r>
      <w:r>
        <w:t xml:space="preserve"> </w:t>
      </w:r>
      <w:r>
        <w:t xml:space="preserve">Os percentuais da Tabela 8 (ex: 34,8% sofrimento fetal nas precoces) representam apenas os 46% com indicação preenchida — podem não ser representativos do total. A nota de rodapé da tabela no docx menciona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mas não explicita essa diferença de cobertura.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Acrescentar, no rodapé da Tabela 8, a informação de cobertura:</w:t>
      </w:r>
      <w:r>
        <w:t xml:space="preserve"> </w:t>
      </w:r>
      <w:r>
        <w:t xml:space="preserve">“</w:t>
      </w:r>
      <w:r>
        <w:t xml:space="preserve">Denominadores refletem apenas os partos operatórios com indicação registrada (precoces: 138/300 = 46%; tardias: 227/496 = 46%; adultas: 3.228/3.859 = 84%). Resultado: as proporções de adolescentes podem ser menos precisas que as das adultas.</w:t>
      </w:r>
      <w:r>
        <w:t xml:space="preserve">”</w:t>
      </w:r>
      <w:r>
        <w:t xml:space="preserve"> </w:t>
      </w:r>
      <w:r>
        <w:t xml:space="preserve">Considerar mencionar essa limitação também no texto de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5" w:name="X83ce683508834d417d4b559caa7f7d533f632a8"/>
      <w:r>
        <w:t xml:space="preserve">1.9 Tabela 9 — inteiramente ND (confirmado como limitação)</w:t>
      </w:r>
      <w:bookmarkEnd w:id="35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9;</w:t>
      </w:r>
      <w:r>
        <w:t xml:space="preserve"> </w:t>
      </w:r>
      <w:r>
        <w:rPr>
          <w:rStyle w:val="VerbatimChar"/>
        </w:rPr>
        <w:t xml:space="preserve">Relatorio Analise SPSS.md</w:t>
      </w:r>
    </w:p>
    <w:p>
      <w:pPr>
        <w:pStyle w:val="BodyText"/>
      </w:pPr>
      <w:r>
        <w:rPr>
          <w:b/>
        </w:rPr>
        <w:t xml:space="preserve">Trecho relevante:</w:t>
      </w:r>
      <w:r>
        <w:t xml:space="preserve"> </w:t>
      </w:r>
      <w:r>
        <w:t xml:space="preserve">A variável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do SPSS agrega indicações de cesárea e fórcipe sem estratificação por tipo de parto.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Não há como extrair indicações específicas de fórcipe do SPSS sem cruzar</w:t>
      </w:r>
      <w:r>
        <w:t xml:space="preserve"> </w:t>
      </w:r>
      <w:r>
        <w:rPr>
          <w:rStyle w:val="VerbatimChar"/>
        </w:rPr>
        <w:t xml:space="preserve">ind_final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tipo_parto</w:t>
      </w:r>
      <w:r>
        <w:t xml:space="preserve"> </w:t>
      </w:r>
      <w:r>
        <w:t xml:space="preserve">nos microdados brutos. Isso é confirmado pela nota técnica no rodapé do docx.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Isso é uma limitação genuína do dado, não um erro. A Tabela 9 pode ser mantida com ND e nota explicativa, ou substituída por texto descritivo em §4.4 reconhecendo a limitação. A Tabela 8 (indicações combinadas de partos operatórios) já cobre o assunto adequadamente. Se os microdados estiverem disponíveis, Eduardo pode rodar o cruzamento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 R para extrair as indicações específicas de fórcipe.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6" w:name="Xe00ddab75ef206d946732b7ee4d9e551b551d16"/>
      <w:r>
        <w:t xml:space="preserve">1.10 Figuras 5 e 6 — citadas na redação mas arquivos PNG inexistentes</w:t>
      </w:r>
      <w:bookmarkEnd w:id="36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§4.4 vs</w:t>
      </w:r>
      <w:r>
        <w:t xml:space="preserve"> </w:t>
      </w:r>
      <w:r>
        <w:rPr>
          <w:rStyle w:val="VerbatimChar"/>
        </w:rPr>
        <w:t xml:space="preserve">results/figures/</w:t>
      </w:r>
    </w:p>
    <w:p>
      <w:pPr>
        <w:pStyle w:val="BodyText"/>
      </w:pPr>
      <w:r>
        <w:rPr>
          <w:b/>
        </w:rPr>
        <w:t xml:space="preserve">Trecho: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são apresentadas nas Tabelas 8 e 9, com representação gráfica nas Figuras 5 e 6</w:t>
      </w:r>
      <w:r>
        <w:rPr>
          <w:i/>
        </w:rPr>
        <w:t xml:space="preserve">”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Apenas cinco arquivos existem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: os quatro</w:t>
      </w:r>
      <w:r>
        <w:t xml:space="preserve"> </w:t>
      </w:r>
      <w:r>
        <w:rPr>
          <w:rStyle w:val="VerbatimChar"/>
        </w:rPr>
        <w:t xml:space="preserve">fig_obj2_*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. Não existe nenhum PNG correspondente às Figuras 5 (indicações de cesárea) e 6 (indicações de fórcipe).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Eduardo deve gerar as Figuras 5 e 6 rodando o chunk correspondente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exportando com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 Se as figuras de indicações de fórcipe ficarem todas ND (por causa da Tabela 9), a Figura 6 deve ser suprimida e a referência removida da redação §4.4.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7" w:name="Xe5b38d69fe1e5d6013c809078753aac6a020b9e"/>
      <w:r>
        <w:t xml:space="preserve">1.11 Figura 7 (forest plot) — existe mas não é referenciada na redação</w:t>
      </w:r>
      <w:bookmarkEnd w:id="37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</w:t>
      </w:r>
    </w:p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arquivo</w:t>
      </w:r>
      <w:r>
        <w:t xml:space="preserve"> </w:t>
      </w:r>
      <w:r>
        <w:rPr>
          <w:rStyle w:val="VerbatimChar"/>
        </w:rPr>
        <w:t xml:space="preserve">fig_obj5_forest_plot_modelo4.png</w:t>
      </w:r>
      <w:r>
        <w:t xml:space="preserve"> </w:t>
      </w:r>
      <w:r>
        <w:t xml:space="preserve">foi gerado e existe. O §4.5 da redação não o referencia em nenhum momento.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Em §4.5, acrescentar uma referência à Figura 7 no parágrafo que introduz o Modelo 4. Exemplo: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Os resultados do Modelo 4 estão apresentados na Tabela 10 e ilustrados graficamente na Figura 7.</w:t>
      </w:r>
      <w:r>
        <w:rPr>
          <w:i/>
        </w:rPr>
        <w:t xml:space="preserve">”</w:t>
      </w:r>
      <w:r>
        <w:t xml:space="preserve"> </w:t>
      </w:r>
      <w:r>
        <w:t xml:space="preserve">Ajustar a numeração das figuras no docx principal conforme o plano (Figura 7 = forest plot).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8" w:name="Xc85eb833574c25da0143588705d8f1c76c1b874"/>
      <w:r>
        <w:t xml:space="preserve">1.12 Modelo 4 — verificação dos OR e IC 95% (resultado: SEM ERROS)</w:t>
      </w:r>
      <w:bookmarkEnd w:id="38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tab10_modelo4_spss.csv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10,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linhas 123–135</w:t>
      </w:r>
    </w:p>
    <w:p>
      <w:pPr>
        <w:pStyle w:val="BodyText"/>
      </w:pPr>
      <w:r>
        <w:t xml:space="preserve">Verificação completa de todos os 11 coeficientes: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SPSS (Relatorio)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10 docx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etária adulta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OR=1,79 [1,12–2,86] p=0,015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DHEG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OR=0,40 [0,32–0,50]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2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OR=4,38 [3,30–5,82]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3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OR=0,48 [0,35–0,66]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4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OR=1,86 [1,33–2,59]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5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OR=13,65 [9,88–18,85]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6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OR=23,65 [5,49–101,89]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7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OR=22,86 [13,05–40,08]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9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OR=27,66 [6,49–117,89]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Robson 10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OR=2,69 [2,05–3,52] p&lt;0,001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Constante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−0,384 / p=0,073 / OR=0,68</w:t>
            </w:r>
          </w:p>
        </w:tc>
        <w:tc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rPr>
          <w:b/>
        </w:rPr>
        <w:t xml:space="preserve">Conclusão:</w:t>
      </w:r>
      <w:r>
        <w:t xml:space="preserve"> </w:t>
      </w:r>
      <w:r>
        <w:t xml:space="preserve">A Tabela 10 do SPSS está internamente consistente (todos os OR batem entre</w:t>
      </w:r>
      <w:r>
        <w:t xml:space="preserve"> </w:t>
      </w:r>
      <w:r>
        <w:rPr>
          <w:rStyle w:val="VerbatimChar"/>
        </w:rPr>
        <w:t xml:space="preserve">Relatorio Analise SPSS.md</w:t>
      </w:r>
      <w:r>
        <w:t xml:space="preserve"> </w:t>
      </w:r>
      <w:r>
        <w:t xml:space="preserve">e o docx).</w:t>
      </w:r>
      <w:r>
        <w:t xml:space="preserve"> </w:t>
      </w:r>
      <w:r>
        <w:rPr>
          <w:b/>
        </w:rPr>
        <w:t xml:space="preserve">Atenção (migração OR → PR, 14/06/2026):</w:t>
      </w:r>
      <w:r>
        <w:t xml:space="preserve"> </w:t>
      </w:r>
      <w:r>
        <w:t xml:space="preserve">estes OR são da regressão logística do SPSS e passaram a ser tratados como</w:t>
      </w:r>
      <w:r>
        <w:t xml:space="preserve"> </w:t>
      </w:r>
      <w:r>
        <w:rPr>
          <w:b/>
        </w:rPr>
        <w:t xml:space="preserve">registro histórico</w:t>
      </w:r>
      <w:r>
        <w:t xml:space="preserve">. A medida adotada na dissertação é agora a</w:t>
      </w:r>
      <w:r>
        <w:t xml:space="preserve"> </w:t>
      </w:r>
      <w:r>
        <w:rPr>
          <w:b/>
        </w:rPr>
        <w:t xml:space="preserve">Razão de Prevalência (PR)</w:t>
      </w:r>
      <w:r>
        <w:t xml:space="preserve">, estimada por Poisson robusto (Zou, 2004) — ver</w:t>
      </w:r>
      <w:r>
        <w:t xml:space="preserve"> </w:t>
      </w:r>
      <w:r>
        <w:rPr>
          <w:rStyle w:val="VerbatimChar"/>
        </w:rPr>
        <w:t xml:space="preserve">tab10b_comparacao_modelo4_r_vs_spss.csv</w:t>
      </w:r>
      <w:r>
        <w:t xml:space="preserve"> </w:t>
      </w:r>
      <w:r>
        <w:t xml:space="preserve">(coluna</w:t>
      </w:r>
      <w:r>
        <w:t xml:space="preserve"> </w:t>
      </w:r>
      <w:r>
        <w:rPr>
          <w:rStyle w:val="VerbatimChar"/>
        </w:rPr>
        <w:t xml:space="preserve">PR_R</w:t>
      </w:r>
      <w:r>
        <w:t xml:space="preserve">) e</w:t>
      </w:r>
      <w:r>
        <w:t xml:space="preserve"> </w:t>
      </w:r>
      <w:r>
        <w:rPr>
          <w:rStyle w:val="VerbatimChar"/>
        </w:rPr>
        <w:t xml:space="preserve">COMPARACAO_OR_vs_PR.md</w:t>
      </w:r>
      <w:r>
        <w:t xml:space="preserve">. A Tabela 10 e a Figura 7 da dissertação devem reportar o PR, não estes OR.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39" w:name="Xd2137982ac88d65ddd591d7b936e1389f97d595"/>
      <w:r>
        <w:t xml:space="preserve">1.13 Tabela 7 — arredondamento do p-valor do Grupo 3</w:t>
      </w:r>
      <w:bookmarkEnd w:id="39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tab_obj2_testes_por_robson.csv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7 vs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§4.3.2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Grupo 3 p-valor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primário</w:t>
            </w:r>
          </w:p>
        </w:tc>
        <w:tc>
          <w:p>
            <w:pPr>
              <w:pStyle w:val="Compact"/>
              <w:jc w:val="left"/>
            </w:pPr>
            <w:r>
              <w:t xml:space="preserve">p = 0,0014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7 docx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Redação §4.3.2</w:t>
            </w:r>
          </w:p>
        </w:tc>
        <w:tc>
          <w:p>
            <w:pPr>
              <w:pStyle w:val="Compact"/>
              <w:jc w:val="left"/>
            </w:pPr>
            <w:r>
              <w:t xml:space="preserve">p = 0,001</w:t>
            </w:r>
          </w:p>
        </w:tc>
      </w:tr>
    </w:tbl>
    <w:p>
      <w:pPr>
        <w:pStyle w:val="BodyText"/>
      </w:pPr>
      <w:r>
        <w:rPr>
          <w:b/>
        </w:rPr>
        <w:t xml:space="preserve">Problema:</w:t>
      </w:r>
      <w:r>
        <w:t xml:space="preserve"> </w:t>
      </w:r>
      <w:r>
        <w:t xml:space="preserve">O CSV primário mostra p = 0,0014. O docx e a redação arredondam para p = 0,001. Não é erro, mas não é o valor exato. Segundo os critérios de elegibilidade estatística da dissertação (α = 5%), ambos estão acima de p = 0,001.</w:t>
      </w:r>
    </w:p>
    <w:p>
      <w:pPr>
        <w:pStyle w:val="BodyText"/>
      </w:pPr>
      <w:r>
        <w:rPr>
          <w:b/>
        </w:rPr>
        <w:t xml:space="preserve">Correção sugerida:</w:t>
      </w:r>
      <w:r>
        <w:t xml:space="preserve"> </w:t>
      </w:r>
      <w:r>
        <w:t xml:space="preserve">Padronizar para p = 0,001 ou reportar o valor exato p = 0,0014 em ambos. Para revistas científicas e banca de mestrado, reportar p = 0,001 é aceitável (arredondamento a 3 casas). Manter a consistência entre docx e redação — ambos já usam 0,001, então está OK.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40" w:name="X285a5b34e6b5e0c541bd85328c209baa5a4f2f2"/>
      <w:r>
        <w:t xml:space="preserve">1.14 Modelos preditivos de cesárea (NOVO — 10/06/2026)</w:t>
      </w:r>
      <w:bookmarkEnd w:id="40"/>
    </w:p>
    <w:p>
      <w:pPr>
        <w:pStyle w:val="FirstParagraph"/>
      </w:pPr>
      <w:r>
        <w:rPr>
          <w:b/>
        </w:rPr>
        <w:t xml:space="preserve">Arquivos:</w:t>
      </w:r>
      <w:r>
        <w:t xml:space="preserve"> </w:t>
      </w:r>
      <w:r>
        <w:rPr>
          <w:rStyle w:val="VerbatimChar"/>
        </w:rPr>
        <w:t xml:space="preserve">analysis/06_modelos_preditivos_cesarea.R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results/tabelas_dissertacao/tab_modelos_preditivos_desempenho.csv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tab_modelo_{A,B,C}_*_PR.csv</w:t>
      </w:r>
      <w:r>
        <w:t xml:space="preserve"> </w:t>
      </w:r>
      <w:r>
        <w:t xml:space="preserve">(antes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, removidos na migração de 14/06/2026),</w:t>
      </w:r>
      <w:r>
        <w:t xml:space="preserve"> </w:t>
      </w:r>
      <w:r>
        <w:rPr>
          <w:rStyle w:val="VerbatimChar"/>
        </w:rPr>
        <w:t xml:space="preserve">tab_escore_pre_natal_*.csv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results/figures/fig_obj6_*</w:t>
      </w:r>
      <w:r>
        <w:t xml:space="preserve">, relatórios em</w:t>
      </w:r>
      <w:r>
        <w:t xml:space="preserve"> </w:t>
      </w:r>
      <w:r>
        <w:rPr>
          <w:rStyle w:val="VerbatimChar"/>
        </w:rPr>
        <w:t xml:space="preserve">results/RELATORIO_*MODELOS_PREDITIVOS*.md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FERRAMENTA_CLINICA_ESCORE_PRE_NATAL.md</w:t>
      </w:r>
      <w:r>
        <w:t xml:space="preserve">.</w:t>
      </w:r>
    </w:p>
    <w:p>
      <w:pPr>
        <w:pStyle w:val="BodyText"/>
      </w:pPr>
      <w:r>
        <w:t xml:space="preserve">Acrescentou-se a estratégia de</w:t>
      </w:r>
      <w:r>
        <w:t xml:space="preserve"> </w:t>
      </w:r>
      <w:r>
        <w:rPr>
          <w:b/>
        </w:rPr>
        <w:t xml:space="preserve">três modelos</w:t>
      </w:r>
      <w:r>
        <w:t xml:space="preserve"> </w:t>
      </w:r>
      <w:r>
        <w:t xml:space="preserve">(A pré-natal, B pré-parto individual, C pré-parto com Robson), ajustados na coorte total (N = 6.650) com imputação múltipla (MICE) e comparados por AUC, Brier, R² de Nagelkerke e calibração.</w:t>
      </w:r>
    </w:p>
    <w:p>
      <w:pPr>
        <w:pStyle w:val="BodyText"/>
      </w:pPr>
      <w:r>
        <w:rPr>
          <w:b/>
        </w:rPr>
        <w:t xml:space="preserve">Verificações realizadas (consistência interna — OK):</w:t>
      </w:r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corrigida por otimismo (coorte total)</w:t>
            </w:r>
          </w:p>
        </w:tc>
        <w:tc>
          <w:p>
            <w:pPr>
              <w:pStyle w:val="Compact"/>
              <w:jc w:val="left"/>
            </w:pPr>
            <w:r>
              <w:t xml:space="preserve">A = 0,752; B = 0,782; C = 0,797 — gradiente coerente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AUC (subgrupo adolescente, n = 1.367)</w:t>
            </w:r>
          </w:p>
        </w:tc>
        <w:tc>
          <w:p>
            <w:pPr>
              <w:pStyle w:val="Compact"/>
              <w:jc w:val="left"/>
            </w:pPr>
            <w:r>
              <w:t xml:space="preserve">A = n/e (aparente 0,545); B = 0,621; C = 0,590 — hierarquia invertida, consistente com a baixa variação de Robson no grupo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Paridade R × Python</w:t>
            </w:r>
          </w:p>
        </w:tc>
        <w:tc>
          <w:p>
            <w:pPr>
              <w:pStyle w:val="Compact"/>
              <w:jc w:val="left"/>
            </w:pPr>
            <w:r>
              <w:t xml:space="preserve">Confirmada: diferenças ≤ 0,002 na AUC entre</w:t>
            </w:r>
            <w:r>
              <w:t xml:space="preserve"> </w:t>
            </w:r>
            <w:r>
              <w:rPr>
                <w:rStyle w:val="VerbatimChar"/>
              </w:rPr>
              <w:t xml:space="preserve">mice</w:t>
            </w:r>
            <w:r>
              <w:t xml:space="preserve"> </w:t>
            </w:r>
            <w:r>
              <w:t xml:space="preserve">(R) e</w:t>
            </w:r>
            <w:r>
              <w:t xml:space="preserve"> </w:t>
            </w:r>
            <w:r>
              <w:rPr>
                <w:rStyle w:val="VerbatimChar"/>
              </w:rPr>
              <w:t xml:space="preserve">miceforest</w:t>
            </w:r>
            <w:r>
              <w:t xml:space="preserve"> </w:t>
            </w:r>
            <w:r>
              <w:t xml:space="preserve">(Python)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Direção/magnitude da medida de efeito (agora</w:t>
            </w:r>
            <w:r>
              <w:t xml:space="preserve"> </w:t>
            </w:r>
            <w:r>
              <w:rPr>
                <w:b/>
              </w:rPr>
              <w:t xml:space="preserve">PR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Clinicamente coerentes: cesárea prévia PR ~2,2–2,3; Robson 5 PR ~2,4; Robson 6/7/9 PR ~2,4–2,6; adolescentes PR &lt; 1 vs. adultas em todos os modelos. Direção e significância idênticas às do OR; só a magnitude foi atenuada (desfecho de alta prevalência)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Escore de pontos × calculadora</w:t>
            </w:r>
          </w:p>
        </w:tc>
        <w:tc>
          <w:p>
            <w:pPr>
              <w:pStyle w:val="Compact"/>
              <w:jc w:val="left"/>
            </w:pPr>
            <w:r>
              <w:t xml:space="preserve">Concordância ≤ 3 p.p. (diferença esperada do arredondamento do escore de Sullivan)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Tabela de desempenho × figuras</w:t>
            </w:r>
            <w:r>
              <w:t xml:space="preserve"> </w:t>
            </w:r>
            <w:r>
              <w:rPr>
                <w:rStyle w:val="VerbatimChar"/>
              </w:rPr>
              <w:t xml:space="preserve">fig_obj6_*</w:t>
            </w:r>
          </w:p>
        </w:tc>
        <w:tc>
          <w:p>
            <w:pPr>
              <w:pStyle w:val="Compact"/>
              <w:jc w:val="left"/>
            </w:pPr>
            <w:r>
              <w:t xml:space="preserve">Valores das figuras batem com</w:t>
            </w:r>
            <w:r>
              <w:t xml:space="preserve"> </w:t>
            </w:r>
            <w:r>
              <w:rPr>
                <w:rStyle w:val="VerbatimChar"/>
              </w:rPr>
              <w:t xml:space="preserve">tab_modelos_preditivos_desempenho.csv</w:t>
            </w:r>
          </w:p>
        </w:tc>
      </w:tr>
    </w:tbl>
    <w:p>
      <w:pPr>
        <w:pStyle w:val="BodyText"/>
      </w:pPr>
      <w:r>
        <w:rPr>
          <w:b/>
        </w:rPr>
        <w:t xml:space="preserve">Pontos de atenção (não são erros, mas precisam de registro):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Origem dos números (RESOLVIDO em 10/06/2026).</w:t>
      </w:r>
      <w:r>
        <w:t xml:space="preserve"> </w:t>
      </w:r>
      <w:r>
        <w:t xml:space="preserve">O script R canônico (</w:t>
      </w:r>
      <w:r>
        <w:rPr>
          <w:rStyle w:val="VerbatimChar"/>
        </w:rPr>
        <w:t xml:space="preserve">06_modelos_preditivos_cesarea.R</w:t>
      </w:r>
      <w:r>
        <w:t xml:space="preserve">,</w:t>
      </w:r>
      <w:r>
        <w:t xml:space="preserve"> </w:t>
      </w:r>
      <w:r>
        <w:rPr>
          <w:rStyle w:val="VerbatimChar"/>
        </w:rPr>
        <w:t xml:space="preserve">mice</w:t>
      </w:r>
      <w:r>
        <w:t xml:space="preserve">/</w:t>
      </w:r>
      <w:r>
        <w:rPr>
          <w:rStyle w:val="VerbatimChar"/>
        </w:rPr>
        <w:t xml:space="preserve">pROC</w:t>
      </w:r>
      <w:r>
        <w:t xml:space="preserve">/</w:t>
      </w:r>
      <w:r>
        <w:rPr>
          <w:rStyle w:val="VerbatimChar"/>
        </w:rPr>
        <w:t xml:space="preserve">rms</w:t>
      </w:r>
      <w:r>
        <w:t xml:space="preserve">) foi executado e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reproduz os valores da validação em Python (</w:t>
      </w:r>
      <w:r>
        <w:rPr>
          <w:rStyle w:val="VerbatimChar"/>
        </w:rPr>
        <w:t xml:space="preserve">miceforest</w:t>
      </w:r>
      <w:r>
        <w:t xml:space="preserve">) dentro de ±0,002 na AUC. Os relatórios passam a citar os valores do R como canônicos. As tabelas de coeficientes foram migradas de OR para</w:t>
      </w:r>
      <w:r>
        <w:t xml:space="preserve"> </w:t>
      </w:r>
      <w:r>
        <w:rPr>
          <w:b/>
        </w:rPr>
        <w:t xml:space="preserve">PR</w:t>
      </w:r>
      <w:r>
        <w:t xml:space="preserve"> </w:t>
      </w:r>
      <w:r>
        <w:t xml:space="preserve">em 14/06/2026 (</w:t>
      </w:r>
      <w:r>
        <w:rPr>
          <w:rStyle w:val="VerbatimChar"/>
        </w:rPr>
        <w:t xml:space="preserve">tab_modelo_A_pre_natal_PR.csv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tab_modelo_B_pre_parto_PR.csv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tab_modelo_C_robson_PR.csv</w:t>
      </w:r>
      <w:r>
        <w:t xml:space="preserve">); as versões</w:t>
      </w:r>
      <w:r>
        <w:t xml:space="preserve"> </w:t>
      </w:r>
      <w:r>
        <w:rPr>
          <w:rStyle w:val="VerbatimChar"/>
        </w:rPr>
        <w:t xml:space="preserve">_OR.csv</w:t>
      </w:r>
      <w:r>
        <w:t xml:space="preserve"> </w:t>
      </w:r>
      <w:r>
        <w:t xml:space="preserve">e as duplicatas com nomes do Python foram removidas.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Calibração aparente.</w:t>
      </w:r>
      <w:r>
        <w:t xml:space="preserve"> </w:t>
      </w:r>
      <w:r>
        <w:t xml:space="preserve">As inclinações/intercepto de calibração</w:t>
      </w:r>
      <w:r>
        <w:t xml:space="preserve"> </w:t>
      </w:r>
      <w:r>
        <w:t xml:space="preserve">“</w:t>
      </w:r>
      <w:r>
        <w:t xml:space="preserve">perfeitos</w:t>
      </w:r>
      <w:r>
        <w:t xml:space="preserve">”</w:t>
      </w:r>
      <w:r>
        <w:t xml:space="preserve"> </w:t>
      </w:r>
      <w:r>
        <w:t xml:space="preserve">são triviais por construção (ajuste e avaliação na mesma base); por isso reporta-se AUC corrigida por otimismo (bootstrap) e calibração por decis (</w:t>
      </w:r>
      <w:r>
        <w:rPr>
          <w:rStyle w:val="VerbatimChar"/>
        </w:rPr>
        <w:t xml:space="preserve">fig_obj6_calibracao.png</w:t>
      </w:r>
      <w:r>
        <w:t xml:space="preserve">). Não confundir com validação.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Subgrupo adolescente — Modelo C.</w:t>
      </w:r>
      <w:r>
        <w:t xml:space="preserve"> </w:t>
      </w:r>
      <w:r>
        <w:t xml:space="preserve">Robson foi colapsado (6/7/9 →</w:t>
      </w:r>
      <w:r>
        <w:t xml:space="preserve"> </w:t>
      </w:r>
      <w:r>
        <w:t xml:space="preserve">“</w:t>
      </w:r>
      <w:r>
        <w:t xml:space="preserve">anômala</w:t>
      </w:r>
      <w:r>
        <w:t xml:space="preserve">”</w:t>
      </w:r>
      <w:r>
        <w:t xml:space="preserve">) e a AUC corrigida pode sair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por separação quase-perfeita; interpretar o PR desses termos com cautela.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Variáveis fora dos modelos</w:t>
      </w:r>
      <w:r>
        <w:t xml:space="preserve"> </w:t>
      </w:r>
      <w:r>
        <w:t xml:space="preserve">(IMC 74% ausente; pré-eclâmpsia 15 casos; gestação múltipla = Grupo 8 já excluído; renda/SUS ausente) — documentado nos relatórios; coerente com os critérios §3.3.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Ferramenta clínica</w:t>
      </w:r>
      <w:r>
        <w:t xml:space="preserve"> </w:t>
      </w:r>
      <w:r>
        <w:t xml:space="preserve">derivada do Modelo A — sem validação externa; enquadrar como apoio ao aconselhamento, não regra de decisão.</w:t>
      </w:r>
    </w:p>
    <w:p>
      <w:pPr>
        <w:pStyle w:val="FirstParagraph"/>
      </w:pPr>
      <w:r>
        <w:rPr>
          <w:b/>
        </w:rPr>
        <w:t xml:space="preserve">Conclusão:</w:t>
      </w:r>
      <w:r>
        <w:t xml:space="preserve"> </w:t>
      </w:r>
      <w:r>
        <w:t xml:space="preserve">Artefatos internamente consistentes e clinicamente plausíveis, com</w:t>
      </w:r>
      <w:r>
        <w:t xml:space="preserve"> </w:t>
      </w:r>
      <w:r>
        <w:rPr>
          <w:b/>
        </w:rPr>
        <w:t xml:space="preserve">paridade R × Python confirmada</w:t>
      </w:r>
      <w:r>
        <w:t xml:space="preserve"> </w:t>
      </w:r>
      <w:r>
        <w:t xml:space="preserve">(≤ 0,002 na AUC). Sem erros numéricos identificados; pendência remanescente é apenas externa ao dado atual — validação externa/temporal e curva de decisão antes de uso clínico da ferramenta.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itens-em-branco-nd-e-placeholders"/>
      <w:r>
        <w:t xml:space="preserve">2. Itens em Branco (ND e Placeholders)</w:t>
      </w:r>
      <w:bookmarkEnd w:id="41"/>
    </w:p>
    <w:p>
      <w:pPr>
        <w:pStyle w:val="Heading3"/>
      </w:pPr>
      <w:bookmarkStart w:id="42" w:name="Xd06dfb1679552e31459391b3b573570259831e4"/>
      <w:r>
        <w:t xml:space="preserve">2.1 Cinco placeholders na redação — ação obrigatória</w:t>
      </w:r>
      <w:bookmarkEnd w:id="42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§4.1 (parágrafo 2 e parágrafo de §4.1.1)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Fonte recomendada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provisório (R)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Total de partos analisados</w:t>
            </w:r>
          </w:p>
        </w:tc>
        <w:tc>
          <w:p>
            <w:pPr>
              <w:pStyle w:val="Compact"/>
              <w:jc w:val="left"/>
            </w:pPr>
            <w:r>
              <w:t xml:space="preserve">Tabela 4 rodapé —</w:t>
            </w:r>
            <w:r>
              <w:t xml:space="preserve"> </w:t>
            </w: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(soma de todos os grupos)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6.663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Total de adolescentes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 da mesma fonte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1.368</w:t>
            </w:r>
            <w:r>
              <w:t xml:space="preserve"> </w:t>
            </w:r>
            <w:r>
              <w:t xml:space="preserve">(538+830)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precoces (11–15)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precoces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538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Adolescentes tardias (16–19)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tardias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830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Adultas (20–34)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tab_obj2_taxa_cesarea.csv</w:t>
            </w:r>
            <w:r>
              <w:t xml:space="preserve"> </w:t>
            </w:r>
            <w:r>
              <w:t xml:space="preserve">soma Grupo 1-10 para adultas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5.295</w:t>
            </w:r>
          </w:p>
        </w:tc>
      </w:tr>
    </w:tbl>
    <w:p>
      <w:pPr>
        <w:pStyle w:val="BlockText"/>
      </w:pPr>
      <w:r>
        <w:rPr>
          <w:b/>
        </w:rPr>
        <w:t xml:space="preserve">Atenção:</w:t>
      </w:r>
      <w:r>
        <w:t xml:space="preserve"> </w:t>
      </w:r>
      <w:r>
        <w:t xml:space="preserve">Os valores acima são os valores do docx de tabelas (baseados em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). Se Eduardo revalidar o R e os dois CSVs primários convergirem para 6.646 (com tardias=829 e adultas=5.279), use esses valores menores. A decisão de qual N usar deve vir ANTES de colar qualquer número no docx principal.</w:t>
      </w:r>
    </w:p>
    <w:p>
      <w:pPr>
        <w:pStyle w:val="Heading3"/>
      </w:pPr>
      <w:bookmarkStart w:id="43" w:name="tabela-9-todas-as-células-nd"/>
      <w:r>
        <w:t xml:space="preserve">2.2 Tabela 9 — todas as células ND</w:t>
      </w:r>
      <w:bookmarkEnd w:id="43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Tabela 9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Duas opções: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A (recomendada):</w:t>
      </w:r>
      <w:r>
        <w:t xml:space="preserve"> </w:t>
      </w:r>
      <w:r>
        <w:t xml:space="preserve">Eduardo cruza</w:t>
      </w:r>
      <w:r>
        <w:t xml:space="preserve"> </w:t>
      </w:r>
      <w:r>
        <w:rPr>
          <w:rStyle w:val="VerbatimChar"/>
        </w:rPr>
        <w:t xml:space="preserve">ind_final × tipo_parto == 3</w:t>
      </w:r>
      <w:r>
        <w:t xml:space="preserve"> </w:t>
      </w:r>
      <w:r>
        <w:t xml:space="preserve">nos microdados brutos do R, extrai as indicações específicas de fórcipe e preenche a Tabela 9.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Opção B:</w:t>
      </w:r>
      <w:r>
        <w:t xml:space="preserve"> </w:t>
      </w:r>
      <w:r>
        <w:t xml:space="preserve">Suprimir a Tabela 9, transformar §4.4</w:t>
      </w:r>
      <w:r>
        <w:t xml:space="preserve"> </w:t>
      </w:r>
      <w:r>
        <w:t xml:space="preserve">“</w:t>
      </w:r>
      <w:r>
        <w:t xml:space="preserve">Indicações de fórcipe</w:t>
      </w:r>
      <w:r>
        <w:t xml:space="preserve">”</w:t>
      </w:r>
      <w:r>
        <w:t xml:space="preserve"> </w:t>
      </w:r>
      <w:r>
        <w:t xml:space="preserve">em um parágrafo descritivo que reconhece a limitação do dado e cita apenas a frequência global de fórcipe (já disponível na Tabela 4).</w:t>
      </w:r>
    </w:p>
    <w:p>
      <w:pPr>
        <w:pStyle w:val="Heading3"/>
      </w:pPr>
      <w:bookmarkStart w:id="44" w:name="Xaf70eecc6a823d106a0aba11c379b8b68e219b5"/>
      <w:r>
        <w:t xml:space="preserve">2.3 Tabela 11 (desfechos neonatais) — CSV existe, não está no docx</w:t>
      </w:r>
      <w:bookmarkEnd w:id="44"/>
    </w:p>
    <w:p>
      <w:pPr>
        <w:pStyle w:val="FirstParagraph"/>
      </w:pPr>
      <w:r>
        <w:rPr>
          <w:b/>
        </w:rPr>
        <w:t xml:space="preserve">Arquivo:</w:t>
      </w:r>
      <w:r>
        <w:t xml:space="preserve"> </w:t>
      </w:r>
      <w:r>
        <w:rPr>
          <w:rStyle w:val="VerbatimChar"/>
        </w:rPr>
        <w:t xml:space="preserve">tab11_desfechos_neonatais_spss.csv</w:t>
      </w:r>
      <w:r>
        <w:t xml:space="preserve"> </w:t>
      </w:r>
      <w:r>
        <w:t xml:space="preserve">existe;</w:t>
      </w:r>
      <w:r>
        <w:t xml:space="preserve"> </w:t>
      </w:r>
      <w:r>
        <w:rPr>
          <w:rStyle w:val="VerbatimChar"/>
        </w:rPr>
        <w:t xml:space="preserve">tabelas_dissertacao.docx</w:t>
      </w:r>
      <w:r>
        <w:t xml:space="preserve"> </w:t>
      </w:r>
      <w:r>
        <w:t xml:space="preserve">não contém Tabela 11.</w:t>
      </w:r>
    </w:p>
    <w:p>
      <w:pPr>
        <w:pStyle w:val="BodyText"/>
      </w:pPr>
      <w:r>
        <w:rPr>
          <w:b/>
        </w:rPr>
        <w:t xml:space="preserve">Ação recomendada:</w:t>
      </w:r>
      <w:r>
        <w:t xml:space="preserve"> </w:t>
      </w:r>
      <w:r>
        <w:t xml:space="preserve">Decisão pendente da Letícia (ver PLANO §3.6). Se desfechos neonatais forem incluídos como objetivo secundário, a Tabela 11 deve ser formatada e inserida no docx. O CSV de base existe, com quatro colunas de texto narrativo (Apgar e óbito fetal não têm valores numéricos precisos para tardias). Se for excluída da seção Resultados, levar os principais achados para a Discussão como</w:t>
      </w:r>
      <w:r>
        <w:t xml:space="preserve"> </w:t>
      </w:r>
      <w:r>
        <w:t xml:space="preserve">“</w:t>
      </w:r>
      <w:r>
        <w:t xml:space="preserve">elementos contextuais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recomendações-finais"/>
      <w:r>
        <w:t xml:space="preserve">3. Recomendações Finais</w:t>
      </w:r>
      <w:bookmarkEnd w:id="45"/>
    </w:p>
    <w:p>
      <w:pPr>
        <w:pStyle w:val="Heading3"/>
      </w:pPr>
      <w:bookmarkStart w:id="46" w:name="para-a-letícia"/>
      <w:r>
        <w:t xml:space="preserve">Para a Letícia</w:t>
      </w:r>
      <w:bookmarkEnd w:id="46"/>
    </w:p>
    <w:p>
      <w:pPr>
        <w:numPr>
          <w:ilvl w:val="0"/>
          <w:numId w:val="1006"/>
        </w:numPr>
      </w:pPr>
      <w:r>
        <w:rPr>
          <w:b/>
        </w:rPr>
        <w:t xml:space="preserve">Decisão prioritária — o N:</w:t>
      </w:r>
      <w:r>
        <w:t xml:space="preserve"> </w:t>
      </w:r>
      <w:r>
        <w:t xml:space="preserve">Antes de colar qualquer tabela ou parágrafo no docx principal, definir com Eduardo qual N usar para as tabelas de análise (Tabelas 4–7): 6.646 (CSV primário de vias) ou 6.663 (CSV primário de taxa/Robson). Essa diferença de 17 casos precisa ser investigada e resolvida, não contornada. Uma vez definido, preencher os cinco placeholders.</w:t>
      </w:r>
    </w:p>
    <w:p>
      <w:pPr>
        <w:numPr>
          <w:ilvl w:val="0"/>
          <w:numId w:val="1006"/>
        </w:numPr>
      </w:pPr>
      <w:r>
        <w:rPr>
          <w:b/>
        </w:rPr>
        <w:t xml:space="preserve">Substituições no texto original da dissertação:</w:t>
      </w:r>
    </w:p>
    <w:p>
      <w:pPr>
        <w:numPr>
          <w:ilvl w:val="1"/>
          <w:numId w:val="1007"/>
        </w:numPr>
        <w:pStyle w:val="Compact"/>
      </w:pPr>
      <w:r>
        <w:t xml:space="preserve">§154: substituir</w:t>
      </w:r>
      <w:r>
        <w:t xml:space="preserve"> </w:t>
      </w:r>
      <w:r>
        <w:t xml:space="preserve">“</w:t>
      </w:r>
      <w:r>
        <w:t xml:space="preserve">8.300 participantes, sendo 1.348 parturientes adolescentes e 6.952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7"/>
        </w:numPr>
        <w:pStyle w:val="Compact"/>
      </w:pPr>
      <w:r>
        <w:t xml:space="preserve">Legendas das Tabelas 1 e 2 originais: substituir</w:t>
      </w:r>
      <w:r>
        <w:t xml:space="preserve"> </w:t>
      </w:r>
      <w:r>
        <w:t xml:space="preserve">“</w:t>
      </w:r>
      <w:r>
        <w:t xml:space="preserve">1.677 adolescentes e 7.047 adultas</w:t>
      </w:r>
      <w:r>
        <w:t xml:space="preserve">”</w:t>
      </w:r>
      <w:r>
        <w:t xml:space="preserve"> </w:t>
      </w:r>
      <w:r>
        <w:t xml:space="preserve">pelos N definitivos.</w:t>
      </w:r>
    </w:p>
    <w:p>
      <w:pPr>
        <w:numPr>
          <w:ilvl w:val="1"/>
          <w:numId w:val="1007"/>
        </w:numPr>
        <w:pStyle w:val="Compact"/>
      </w:pPr>
      <w:r>
        <w:t xml:space="preserve">§160: substituir</w:t>
      </w:r>
      <w:r>
        <w:t xml:space="preserve"> </w:t>
      </w:r>
      <w:r>
        <w:t xml:space="preserve">“</w:t>
      </w:r>
      <w:r>
        <w:t xml:space="preserve">p valor neste caso é de 0,06</w:t>
      </w:r>
      <w:r>
        <w:t xml:space="preserve">”</w:t>
      </w:r>
      <w:r>
        <w:t xml:space="preserve"> </w:t>
      </w:r>
      <w:r>
        <w:t xml:space="preserve">por</w:t>
      </w:r>
      <w:r>
        <w:t xml:space="preserve"> </w:t>
      </w:r>
      <w:r>
        <w:t xml:space="preserve">“</w:t>
      </w:r>
      <w:r>
        <w:t xml:space="preserve">p = 0,337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</w:rPr>
        <w:t xml:space="preserve">Decisão sobre a Tabela 9 e os desfechos neonatais:</w:t>
      </w:r>
      <w:r>
        <w:t xml:space="preserve"> </w:t>
      </w:r>
      <w:r>
        <w:t xml:space="preserve">São duas decisões independentes que determinam se a dissertação terá 10 ou 11 tabelas. Recomendo tomar essas decisões antes de montar o docx final.</w:t>
      </w:r>
    </w:p>
    <w:p>
      <w:pPr>
        <w:numPr>
          <w:ilvl w:val="0"/>
          <w:numId w:val="1006"/>
        </w:numPr>
      </w:pPr>
      <w:r>
        <w:rPr>
          <w:b/>
        </w:rPr>
        <w:t xml:space="preserve">Verificar o valor de 56,3% (cor/raça):</w:t>
      </w:r>
      <w:r>
        <w:t xml:space="preserve"> </w:t>
      </w:r>
      <w:r>
        <w:t xml:space="preserve">Confirmar se o SPSS reporta exatamente 56,3% para o grupo adolescente combinado ou se o valor preciso é diferente. Ajustar §4.1.2 conforme necessário.</w:t>
      </w:r>
    </w:p>
    <w:p>
      <w:pPr>
        <w:numPr>
          <w:ilvl w:val="0"/>
          <w:numId w:val="1006"/>
        </w:numPr>
      </w:pPr>
      <w:r>
        <w:rPr>
          <w:b/>
        </w:rPr>
        <w:t xml:space="preserve">Estilo — itálico para</w:t>
      </w:r>
      <w:r>
        <w:rPr>
          <w:b/>
        </w:rPr>
        <w:t xml:space="preserve"> </w:t>
      </w:r>
      <w:r>
        <w:rPr>
          <w:i/>
          <w:b/>
        </w:rPr>
        <w:t xml:space="preserve">p</w:t>
      </w:r>
      <w:r>
        <w:rPr>
          <w:b/>
        </w:rPr>
        <w:t xml:space="preserve">:</w:t>
      </w:r>
      <w:r>
        <w:t xml:space="preserve"> </w:t>
      </w:r>
      <w:r>
        <w:t xml:space="preserve">Ao colar os parágrafos da nova redação no docx principal, aplicar itálico a toda ocorrência de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estatístico nos textos corridos (ex: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&lt; 0,001;</w:t>
      </w:r>
      <w:r>
        <w:t xml:space="preserve"> </w:t>
      </w:r>
      <w:r>
        <w:rPr>
          <w:i/>
        </w:rPr>
        <w:t xml:space="preserve">p</w:t>
      </w:r>
      <w:r>
        <w:t xml:space="preserve"> </w:t>
      </w:r>
      <w:r>
        <w:t xml:space="preserve">= 0,337). Verifique também que os números nas tabelas usam vírgula decimal de forma consistente — as tabelas do docx já estão corretas, mas ao formatar no Word pode ser que formatações automáticas convertam vírgula para ponto.</w:t>
      </w:r>
    </w:p>
    <w:p>
      <w:pPr>
        <w:pStyle w:val="Heading3"/>
      </w:pPr>
      <w:bookmarkStart w:id="47" w:name="para-o-eduardo"/>
      <w:r>
        <w:t xml:space="preserve">Para o Eduardo</w:t>
      </w:r>
      <w:bookmarkEnd w:id="47"/>
    </w:p>
    <w:p>
      <w:pPr>
        <w:numPr>
          <w:ilvl w:val="0"/>
          <w:numId w:val="1008"/>
        </w:numPr>
      </w:pPr>
      <w:r>
        <w:rPr>
          <w:b/>
        </w:rPr>
        <w:t xml:space="preserve">Causa raiz da divergência de N (6.646 vs 6.663):</w:t>
      </w:r>
      <w:r>
        <w:t xml:space="preserve"> </w:t>
      </w:r>
      <w:r>
        <w:t xml:space="preserve">Rerodar</w:t>
      </w:r>
      <w:r>
        <w:t xml:space="preserve"> </w:t>
      </w:r>
      <w:r>
        <w:rPr>
          <w:rStyle w:val="VerbatimChar"/>
        </w:rPr>
        <w:t xml:space="preserve">quarto render index.qmd</w:t>
      </w:r>
      <w:r>
        <w:t xml:space="preserve"> </w:t>
      </w:r>
      <w:r>
        <w:t xml:space="preserve">e verificar se</w:t>
      </w:r>
      <w:r>
        <w:t xml:space="preserve"> </w:t>
      </w:r>
      <w:r>
        <w:rPr>
          <w:rStyle w:val="VerbatimChar"/>
        </w:rPr>
        <w:t xml:space="preserve">tab_obj2_vias_parto_geral.csv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tab_obj2_taxa_cesarea.csv</w:t>
      </w:r>
      <w:r>
        <w:t xml:space="preserve"> </w:t>
      </w:r>
      <w:r>
        <w:t xml:space="preserve">produzem somas concordantes. Se divergirem, identificar o chunk com o filtro diferente. A hipótese mais provável é que um dos CSVs usa</w:t>
      </w:r>
      <w:r>
        <w:t xml:space="preserve"> </w:t>
      </w:r>
      <w:r>
        <w:rPr>
          <w:rStyle w:val="VerbatimChar"/>
        </w:rPr>
        <w:t xml:space="preserve">dados_analise</w:t>
      </w:r>
      <w:r>
        <w:t xml:space="preserve"> </w:t>
      </w:r>
      <w:r>
        <w:t xml:space="preserve">e o outro usa</w:t>
      </w:r>
      <w:r>
        <w:t xml:space="preserve"> </w:t>
      </w:r>
      <w:r>
        <w:rPr>
          <w:rStyle w:val="VerbatimChar"/>
        </w:rPr>
        <w:t xml:space="preserve">dados_s4</w:t>
      </w:r>
      <w:r>
        <w:t xml:space="preserve"> </w:t>
      </w:r>
      <w:r>
        <w:t xml:space="preserve">(antes de criar</w:t>
      </w:r>
      <w:r>
        <w:t xml:space="preserve"> </w:t>
      </w:r>
      <w:r>
        <w:rPr>
          <w:rStyle w:val="VerbatimChar"/>
        </w:rPr>
        <w:t xml:space="preserve">faixa_etaria</w:t>
      </w:r>
      <w:r>
        <w:t xml:space="preserve">), capturando casos com idade fora do range.</w:t>
      </w:r>
    </w:p>
    <w:p>
      <w:pPr>
        <w:numPr>
          <w:ilvl w:val="0"/>
          <w:numId w:val="1008"/>
        </w:numPr>
      </w:pPr>
      <w:r>
        <w:rPr>
          <w:b/>
        </w:rPr>
        <w:t xml:space="preserve">Deletar ou arquivar CSVs derivados conflitantes:</w:t>
      </w:r>
      <w:r>
        <w:t xml:space="preserve"> </w:t>
      </w:r>
      <w:r>
        <w:t xml:space="preserve">Os arquivos</w:t>
      </w:r>
      <w:r>
        <w:t xml:space="preserve"> </w:t>
      </w:r>
      <w:r>
        <w:rPr>
          <w:rStyle w:val="VerbatimChar"/>
        </w:rPr>
        <w:t xml:space="preserve">results/tabelas_dissertacao/tab05_robson_faixa_via.csv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tab06_taxa_cesarea_robson.csv</w:t>
      </w:r>
      <w:r>
        <w:t xml:space="preserve"> </w:t>
      </w:r>
      <w:r>
        <w:t xml:space="preserve">têm valores diferentes dos primários e podem causar confusão. Arquivar em subpasta</w:t>
      </w:r>
      <w:r>
        <w:t xml:space="preserve"> </w:t>
      </w:r>
      <w:r>
        <w:rPr>
          <w:rStyle w:val="VerbatimChar"/>
        </w:rPr>
        <w:t xml:space="preserve">_deprecated/</w:t>
      </w:r>
      <w:r>
        <w:t xml:space="preserve"> </w:t>
      </w:r>
      <w:r>
        <w:t xml:space="preserve">ou regenerar do zero garantindo que usam a mesma base.</w:t>
      </w:r>
    </w:p>
    <w:p>
      <w:pPr>
        <w:numPr>
          <w:ilvl w:val="0"/>
          <w:numId w:val="1008"/>
        </w:numPr>
      </w:pPr>
      <w:r>
        <w:rPr>
          <w:b/>
        </w:rPr>
        <w:t xml:space="preserve">Gerar Figuras 5 e 6:</w:t>
      </w:r>
      <w:r>
        <w:t xml:space="preserve"> </w:t>
      </w:r>
      <w:r>
        <w:t xml:space="preserve">Rodar os chunks de indicações do</w:t>
      </w:r>
      <w:r>
        <w:t xml:space="preserve"> </w:t>
      </w:r>
      <w:r>
        <w:rPr>
          <w:rStyle w:val="VerbatimChar"/>
        </w:rPr>
        <w:t xml:space="preserve">index.qmd</w:t>
      </w:r>
      <w:r>
        <w:t xml:space="preserve"> </w:t>
      </w:r>
      <w:r>
        <w:t xml:space="preserve">e exportar como PNG em</w:t>
      </w:r>
      <w:r>
        <w:t xml:space="preserve"> </w:t>
      </w:r>
      <w:r>
        <w:rPr>
          <w:rStyle w:val="VerbatimChar"/>
        </w:rPr>
        <w:t xml:space="preserve">results/figures/</w:t>
      </w:r>
      <w:r>
        <w:t xml:space="preserve"> </w:t>
      </w:r>
      <w:r>
        <w:t xml:space="preserve">com nomenclatura</w:t>
      </w:r>
      <w:r>
        <w:t xml:space="preserve"> </w:t>
      </w:r>
      <w:r>
        <w:rPr>
          <w:rStyle w:val="VerbatimChar"/>
        </w:rPr>
        <w:t xml:space="preserve">fig_obj3_indicacoes_cesarea.png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fig_obj3_indicacoes_forcipe.png</w:t>
      </w:r>
      <w:r>
        <w:t xml:space="preserve"> </w:t>
      </w:r>
      <w:r>
        <w:t xml:space="preserve">(ou similar). Se a Figura 6 depender de dados que resultam todos em ND, suprimi-la.</w:t>
      </w:r>
    </w:p>
    <w:p>
      <w:pPr>
        <w:numPr>
          <w:ilvl w:val="0"/>
          <w:numId w:val="1008"/>
        </w:numPr>
      </w:pPr>
      <w:r>
        <w:rPr>
          <w:b/>
        </w:rPr>
        <w:t xml:space="preserve">Adicionar Figura 7 na redação: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resultados_redacao.docx</w:t>
      </w:r>
      <w:r>
        <w:t xml:space="preserve"> </w:t>
      </w:r>
      <w:r>
        <w:t xml:space="preserve">§4.5, inserir referência à Figura 7 (forest plot do Modelo 4). O arquivo já existe em</w:t>
      </w:r>
      <w:r>
        <w:t xml:space="preserve"> </w:t>
      </w:r>
      <w:r>
        <w:rPr>
          <w:rStyle w:val="VerbatimChar"/>
        </w:rPr>
        <w:t xml:space="preserve">results/figures/fig_obj5_forest_plot_modelo4.png</w:t>
      </w:r>
      <w:r>
        <w:t xml:space="preserve">.</w:t>
      </w:r>
    </w:p>
    <w:p>
      <w:pPr>
        <w:numPr>
          <w:ilvl w:val="0"/>
          <w:numId w:val="1008"/>
        </w:numPr>
      </w:pPr>
      <w:r>
        <w:rPr>
          <w:b/>
        </w:rPr>
        <w:t xml:space="preserve">Tabela 9 (se Opção A):</w:t>
      </w:r>
      <w:r>
        <w:t xml:space="preserve"> </w:t>
      </w:r>
      <w:r>
        <w:t xml:space="preserve">Cruzar</w:t>
      </w:r>
      <w:r>
        <w:t xml:space="preserve"> </w:t>
      </w:r>
      <w:r>
        <w:rPr>
          <w:rStyle w:val="VerbatimChar"/>
        </w:rPr>
        <w:t xml:space="preserve">ind_final × tipo_parto</w:t>
      </w:r>
      <w:r>
        <w:t xml:space="preserve"> </w:t>
      </w:r>
      <w:r>
        <w:t xml:space="preserve">nos microdados para extrair indicações específicas de fórcipe. Isso resolve tanto a Tabela 9 quanto o detalhe de baixa cobertura da Tabela 8 para adolescentes.</w:t>
      </w:r>
    </w:p>
    <w:p>
      <w:pPr>
        <w:numPr>
          <w:ilvl w:val="0"/>
          <w:numId w:val="1008"/>
        </w:numPr>
      </w:pPr>
      <w:r>
        <w:rPr>
          <w:b/>
        </w:rPr>
        <w:t xml:space="preserve">Nota de rodapé na Tabela 8:</w:t>
      </w:r>
      <w:r>
        <w:t xml:space="preserve"> </w:t>
      </w:r>
      <w:r>
        <w:t xml:space="preserve">Acrescentar a informação de cobertura:</w:t>
      </w:r>
      <w:r>
        <w:t xml:space="preserve"> </w:t>
      </w:r>
      <w:r>
        <w:t xml:space="preserve">“</w:t>
      </w:r>
      <w:r>
        <w:t xml:space="preserve">Partos operatórios com indicação registrada: 138/300 (46%) precoces; 227/496 (46%) tardias; 3.228/3.859 (84%) adultas.</w:t>
      </w:r>
      <w:r>
        <w:t xml:space="preserve">”</w:t>
      </w:r>
    </w:p>
    <w:p>
      <w:pPr>
        <w:numPr>
          <w:ilvl w:val="0"/>
          <w:numId w:val="1008"/>
        </w:numPr>
      </w:pPr>
      <w:r>
        <w:rPr>
          <w:b/>
        </w:rPr>
        <w:t xml:space="preserve">(10/06/2026) Confirmar os modelos preditivos no R:</w:t>
      </w:r>
      <w:r>
        <w:t xml:space="preserve"> </w:t>
      </w:r>
      <w:r>
        <w:t xml:space="preserve">Rodar</w:t>
      </w:r>
      <w:r>
        <w:t xml:space="preserve"> </w:t>
      </w:r>
      <w:r>
        <w:rPr>
          <w:rStyle w:val="VerbatimChar"/>
        </w:rPr>
        <w:t xml:space="preserve">Rscript analysis/06_modelos_preditivos_cesarea.R</w:t>
      </w:r>
      <w:r>
        <w:t xml:space="preserve"> </w:t>
      </w:r>
      <w:r>
        <w:t xml:space="preserve">(requer</w:t>
      </w:r>
      <w:r>
        <w:t xml:space="preserve"> </w:t>
      </w:r>
      <w:r>
        <w:rPr>
          <w:rStyle w:val="VerbatimChar"/>
        </w:rPr>
        <w:t xml:space="preserve">mice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) e cotejar a</w:t>
      </w:r>
      <w:r>
        <w:t xml:space="preserve"> </w:t>
      </w:r>
      <w:r>
        <w:rPr>
          <w:rStyle w:val="VerbatimChar"/>
        </w:rPr>
        <w:t xml:space="preserve">tab_modelos_preditivos_desempenho.csv</w:t>
      </w:r>
      <w:r>
        <w:t xml:space="preserve"> </w:t>
      </w:r>
      <w:r>
        <w:t xml:space="preserve">resultante com os valores deste relatório (§1.14). Avaliar migrar as Tabelas 4–7 para o pipeline modular</w:t>
      </w:r>
      <w:r>
        <w:t xml:space="preserve"> </w:t>
      </w:r>
      <w:r>
        <w:rPr>
          <w:rStyle w:val="VerbatimChar"/>
        </w:rPr>
        <w:t xml:space="preserve">analysis/00–06</w:t>
      </w:r>
      <w:r>
        <w:t xml:space="preserve"> </w:t>
      </w:r>
      <w:r>
        <w:t xml:space="preserve">(N = 6.650) para encerrar a divergência de N. Considerar acrescentar uma</w:t>
      </w:r>
      <w:r>
        <w:t xml:space="preserve"> </w:t>
      </w:r>
      <w:r>
        <w:rPr>
          <w:b/>
        </w:rPr>
        <w:t xml:space="preserve">curva de decisão</w:t>
      </w:r>
      <w:r>
        <w:t xml:space="preserve"> </w:t>
      </w:r>
      <w:r>
        <w:t xml:space="preserve">para a ferramenta clínica.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854fb30dc90e75aaa72bb6b1fbbfb706ab72eb6"/>
      <w:r>
        <w:t xml:space="preserve">Apêndice — Rastreabilidade dos Placeholders</w:t>
      </w:r>
      <w:bookmarkEnd w:id="48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Placeholder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(6.663)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 R (6.646)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Tabela de origem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[N_TOTAL]</w:t>
            </w:r>
          </w:p>
        </w:tc>
        <w:tc>
          <w:p>
            <w:pPr>
              <w:pStyle w:val="Compact"/>
              <w:jc w:val="left"/>
            </w:pPr>
            <w:r>
              <w:t xml:space="preserve">6.663</w:t>
            </w:r>
          </w:p>
        </w:tc>
        <w:tc>
          <w:p>
            <w:pPr>
              <w:pStyle w:val="Compact"/>
              <w:jc w:val="left"/>
            </w:pPr>
            <w:r>
              <w:t xml:space="preserve">6.646</w:t>
            </w:r>
          </w:p>
        </w:tc>
        <w:tc>
          <w:p>
            <w:pPr>
              <w:pStyle w:val="Compact"/>
              <w:jc w:val="left"/>
            </w:pPr>
            <w:r>
              <w:t xml:space="preserve">Rodapé Tabela 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[N_ADOL]</w:t>
            </w:r>
          </w:p>
        </w:tc>
        <w:tc>
          <w:p>
            <w:pPr>
              <w:pStyle w:val="Compact"/>
              <w:jc w:val="left"/>
            </w:pPr>
            <w:r>
              <w:t xml:space="preserve">1.368</w:t>
            </w:r>
          </w:p>
        </w:tc>
        <w:tc>
          <w:p>
            <w:pPr>
              <w:pStyle w:val="Compact"/>
              <w:jc w:val="left"/>
            </w:pPr>
            <w:r>
              <w:t xml:space="preserve">1.367</w:t>
            </w:r>
          </w:p>
        </w:tc>
        <w:tc>
          <w:p>
            <w:pPr>
              <w:pStyle w:val="Compact"/>
              <w:jc w:val="left"/>
            </w:pPr>
            <w:r>
              <w:t xml:space="preserve">Soma precoces +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[N_PREC]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538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precoces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[N_TARD]</w:t>
            </w:r>
          </w:p>
        </w:tc>
        <w:tc>
          <w:p>
            <w:pPr>
              <w:pStyle w:val="Compact"/>
              <w:jc w:val="left"/>
            </w:pPr>
            <w:r>
              <w:t xml:space="preserve">830</w:t>
            </w:r>
          </w:p>
        </w:tc>
        <w:tc>
          <w:p>
            <w:pPr>
              <w:pStyle w:val="Compact"/>
              <w:jc w:val="left"/>
            </w:pPr>
            <w:r>
              <w:t xml:space="preserve">829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tardias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[N_ADUL]</w:t>
            </w:r>
          </w:p>
        </w:tc>
        <w:tc>
          <w:p>
            <w:pPr>
              <w:pStyle w:val="Compact"/>
              <w:jc w:val="left"/>
            </w:pPr>
            <w:r>
              <w:t xml:space="preserve">5.295</w:t>
            </w:r>
          </w:p>
        </w:tc>
        <w:tc>
          <w:p>
            <w:pPr>
              <w:pStyle w:val="Compact"/>
              <w:jc w:val="left"/>
            </w:pPr>
            <w:r>
              <w:t xml:space="preserve">5.279</w:t>
            </w:r>
          </w:p>
        </w:tc>
        <w:tc>
          <w:p>
            <w:pPr>
              <w:pStyle w:val="Compact"/>
              <w:jc w:val="left"/>
            </w:pPr>
            <w:r>
              <w:t xml:space="preserve">Tabela 4, coluna adultas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Relatório gerado automaticamente por revisão cruzada de 13 arquivos. Última atualização: 10/06/2026 (acréscimo da §1.14 — modelos preditivos e ferramenta clínica).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2026-06-17T03:48:06Z</dcterms:created>
  <dcterms:modified xsi:type="dcterms:W3CDTF">2026-06-17T03:48:06Z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