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4.png" ContentType="image/png"/>
  <Override PartName="/word/media/rId50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fce1d309c875109f494315ce3bbe05e5f0ca98"/>
      <w:r>
        <w:t xml:space="preserve">Revisão da dissertação — o que atualizar nos Métodos, Resultados e Discussão</w:t>
      </w:r>
      <w:bookmarkEnd w:id="20"/>
    </w:p>
    <w:p>
      <w:pPr>
        <w:pStyle w:val="FirstParagraph"/>
      </w:pPr>
      <w:r>
        <w:rPr>
          <w:b/>
        </w:rPr>
        <w:t xml:space="preserve">Versão revisada:</w:t>
      </w:r>
      <w:r>
        <w:t xml:space="preserve"> </w:t>
      </w:r>
      <w:r>
        <w:rPr>
          <w:rStyle w:val="VerbatimChar"/>
        </w:rPr>
        <w:t xml:space="preserve">manuscript/Dissertacao16_06_2026.pdf</w:t>
      </w:r>
      <w:r>
        <w:t xml:space="preserve"> </w:t>
      </w:r>
      <w:r>
        <w:t xml:space="preserve">(16/06/2026)</w:t>
      </w:r>
      <w:r>
        <w:t xml:space="preserve"> </w:t>
      </w:r>
      <w:r>
        <w:rPr>
          <w:b/>
        </w:rPr>
        <w:t xml:space="preserve">Atualizado:</w:t>
      </w:r>
      <w:r>
        <w:t xml:space="preserve"> </w:t>
      </w:r>
      <w:r>
        <w:t xml:space="preserve">17/06/2026</w:t>
      </w:r>
      <w:r>
        <w:t xml:space="preserve"> </w:t>
      </w:r>
      <w:r>
        <w:rPr>
          <w:b/>
        </w:rPr>
        <w:t xml:space="preserve">Motivo:</w:t>
      </w:r>
      <w:r>
        <w:t xml:space="preserve"> </w:t>
      </w:r>
      <w:r>
        <w:t xml:space="preserve">alinhar a dissertação à migração</w:t>
      </w:r>
      <w:r>
        <w:t xml:space="preserve"> </w:t>
      </w:r>
      <w:r>
        <w:rPr>
          <w:b/>
        </w:rPr>
        <w:t xml:space="preserve">Odds Ratio (OR) → Razão de Prevalência</w:t>
      </w:r>
      <w:r>
        <w:t xml:space="preserve"> </w:t>
      </w:r>
      <w:r>
        <w:t xml:space="preserve">decidida pelo orientador (ver</w:t>
      </w:r>
      <w:r>
        <w:t xml:space="preserve"> </w:t>
      </w:r>
      <w:r>
        <w:rPr>
          <w:rStyle w:val="VerbatimChar"/>
        </w:rPr>
        <w:t xml:space="preserve">COMPARACAO_OR_vs_PR.md</w:t>
      </w:r>
      <w:r>
        <w:t xml:space="preserve">). A análise multivariada já foi</w:t>
      </w:r>
      <w:r>
        <w:t xml:space="preserve"> </w:t>
      </w:r>
      <w:r>
        <w:t xml:space="preserve">reprocessada em PR (Poisson robusto; Zou, 2004);</w:t>
      </w:r>
      <w:r>
        <w:t xml:space="preserve"> </w:t>
      </w:r>
      <w:r>
        <w:rPr>
          <w:b/>
        </w:rPr>
        <w:t xml:space="preserve">falta refletir isso no texto da</w:t>
      </w:r>
      <w:r>
        <w:rPr>
          <w:b/>
        </w:rPr>
        <w:t xml:space="preserve"> </w:t>
      </w:r>
      <w:r>
        <w:rPr>
          <w:b/>
        </w:rPr>
        <w:t xml:space="preserve">dissertação.</w:t>
      </w:r>
    </w:p>
    <w:p>
      <w:pPr>
        <w:pStyle w:val="BlockText"/>
      </w:pPr>
      <w:r>
        <w:rPr>
          <w:b/>
        </w:rPr>
        <w:t xml:space="preserve">Resumo em uma frase:</w:t>
      </w:r>
      <w:r>
        <w:t xml:space="preserve"> </w:t>
      </w:r>
      <w:r>
        <w:t xml:space="preserve">a direção e a significância de todos os achados continuam</w:t>
      </w:r>
      <w:r>
        <w:t xml:space="preserve"> </w:t>
      </w:r>
      <w:r>
        <w:t xml:space="preserve">iguais — só muda a</w:t>
      </w:r>
      <w:r>
        <w:t xml:space="preserve"> </w:t>
      </w:r>
      <w:r>
        <w:rPr>
          <w:b/>
        </w:rPr>
        <w:t xml:space="preserve">medida</w:t>
      </w:r>
      <w:r>
        <w:t xml:space="preserve"> </w:t>
      </w:r>
      <w:r>
        <w:t xml:space="preserve">(de OR para PR) e, portanto, a</w:t>
      </w:r>
      <w:r>
        <w:t xml:space="preserve"> </w:t>
      </w:r>
      <w:r>
        <w:rPr>
          <w:b/>
        </w:rPr>
        <w:t xml:space="preserve">magnitude</w:t>
      </w:r>
      <w:r>
        <w:t xml:space="preserve"> </w:t>
      </w:r>
      <w:r>
        <w:t xml:space="preserve">e a</w:t>
      </w:r>
      <w:r>
        <w:t xml:space="preserve"> </w:t>
      </w:r>
      <w:r>
        <w:rPr>
          <w:b/>
        </w:rPr>
        <w:t xml:space="preserve">forma de descrever</w:t>
      </w:r>
      <w:r>
        <w:t xml:space="preserve"> </w:t>
      </w:r>
      <w:r>
        <w:t xml:space="preserve">os efeitos. O achado central (idade adulta = fator de risco</w:t>
      </w:r>
      <w:r>
        <w:t xml:space="preserve"> </w:t>
      </w:r>
      <w:r>
        <w:t xml:space="preserve">independente para cesárea) permanece intacto.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</w:rPr>
        <w:t xml:space="preserve">Estado no manuscrito 16/06 (conferido):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Métodos</w:t>
      </w:r>
      <w:r>
        <w:t xml:space="preserve"> </w:t>
      </w:r>
      <w:r>
        <w:t xml:space="preserve">— já incluem o parágrafo do Poisson com variância robusta para a razão</w:t>
      </w:r>
      <w:r>
        <w:t xml:space="preserve"> </w:t>
      </w:r>
      <w:r>
        <w:t xml:space="preserve">de prevalência (citando Zou, 10.1002/sim.7059).</w:t>
      </w:r>
      <w:r>
        <w:t xml:space="preserve"> </w:t>
      </w:r>
      <w:r>
        <w:rPr>
          <w:b/>
        </w:rPr>
        <w:t xml:space="preserve">Porém</w:t>
      </w:r>
      <w:r>
        <w:t xml:space="preserve"> </w:t>
      </w:r>
      <w:r>
        <w:t xml:space="preserve">o texto ainda menciona</w:t>
      </w:r>
      <w:r>
        <w:t xml:space="preserve"> </w:t>
      </w:r>
      <w:r>
        <w:t xml:space="preserve">também o Odds Ratio; ver §1 (precisa decidir entre as duas medidas e padronizar a</w:t>
      </w:r>
      <w:r>
        <w:t xml:space="preserve"> </w:t>
      </w:r>
      <w:r>
        <w:t xml:space="preserve">sigla — você usou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RP</w:t>
      </w:r>
      <w:r>
        <w:rPr>
          <w:b/>
        </w:rPr>
        <w:t xml:space="preserve">”</w:t>
      </w:r>
      <w:r>
        <w:t xml:space="preserve"> </w:t>
      </w:r>
      <w:r>
        <w:t xml:space="preserve">no manuscrito e o código/CSVs usam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PR</w:t>
      </w:r>
      <w:r>
        <w:rPr>
          <w:b/>
        </w:rPr>
        <w:t xml:space="preserve">”</w:t>
      </w:r>
      <w:r>
        <w:t xml:space="preserve">; escolha uma).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Resultados §5.5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ainda em OR</w:t>
      </w:r>
      <w:r>
        <w:t xml:space="preserve"> </w:t>
      </w:r>
      <w:r>
        <w:t xml:space="preserve">(Tabela 10, Figura 7 e texto). Você mesma</w:t>
      </w:r>
      <w:r>
        <w:t xml:space="preserve"> </w:t>
      </w:r>
      <w:r>
        <w:t xml:space="preserve">deixou o comentário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Retomar isso aqui para alterar OR</w:t>
      </w:r>
      <w:r>
        <w:rPr>
          <w:i/>
        </w:rPr>
        <w:t xml:space="preserve">”</w:t>
      </w:r>
      <w:r>
        <w:t xml:space="preserve"> </w:t>
      </w:r>
      <w:r>
        <w:t xml:space="preserve">(LA19). As mudanças da §2</w:t>
      </w:r>
      <w:r>
        <w:t xml:space="preserve"> </w:t>
      </w:r>
      <w:r>
        <w:t xml:space="preserve">deste documento continuam</w:t>
      </w:r>
      <w:r>
        <w:t xml:space="preserve"> </w:t>
      </w:r>
      <w:r>
        <w:rPr>
          <w:b/>
        </w:rPr>
        <w:t xml:space="preserve">pendentes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Seção 5.4</w:t>
      </w:r>
      <w:r>
        <w:t xml:space="preserve"> </w:t>
      </w:r>
      <w:r>
        <w:t xml:space="preserve">— já usa a tabulação da estatística (365/3.228 cesáreas). Há uma</w:t>
      </w:r>
      <w:r>
        <w:t xml:space="preserve"> </w:t>
      </w:r>
      <w:r>
        <w:rPr>
          <w:b/>
        </w:rPr>
        <w:t xml:space="preserve">incoerência de tamanho amostral</w:t>
      </w:r>
      <w:r>
        <w:t xml:space="preserve"> </w:t>
      </w:r>
      <w:r>
        <w:t xml:space="preserve">com a Tabela 4 (433/3.313): ver §8.7 e a</w:t>
      </w:r>
      <w:r>
        <w:t xml:space="preserve"> </w:t>
      </w:r>
      <w:r>
        <w:rPr>
          <w:b/>
        </w:rPr>
        <w:t xml:space="preserve">Seção 0 do</w:t>
      </w:r>
      <w:r>
        <w:rPr>
          <w:b/>
        </w:rPr>
        <w:t xml:space="preserve"> </w:t>
      </w:r>
      <w:r>
        <w:rPr>
          <w:rStyle w:val="VerbatimChar"/>
          <w:b/>
        </w:rPr>
        <w:t xml:space="preserve">RELATORIO_REVISAO_NUMERICA</w:t>
      </w:r>
      <w:r>
        <w:t xml:space="preserve">.</w:t>
      </w:r>
    </w:p>
    <w:p>
      <w:pPr>
        <w:pStyle w:val="FirstParagraph"/>
      </w:pPr>
      <w:r>
        <w:t xml:space="preserve">Fonte canônica dos números (oficial): arquivo da estatística</w:t>
      </w:r>
      <w:r>
        <w:t xml:space="preserve"> </w:t>
      </w:r>
      <w:r>
        <w:rPr>
          <w:rStyle w:val="VerbatimChar"/>
        </w:rPr>
        <w:t xml:space="preserve">modelagem_de Robson.xlsx</w:t>
      </w:r>
      <w:r>
        <w:t xml:space="preserve">,</w:t>
      </w:r>
      <w:r>
        <w:t xml:space="preserve"> </w:t>
      </w:r>
      <w:r>
        <w:t xml:space="preserve">exportado para</w:t>
      </w:r>
      <w:r>
        <w:t xml:space="preserve"> </w:t>
      </w:r>
      <w:r>
        <w:rPr>
          <w:rStyle w:val="VerbatimChar"/>
        </w:rPr>
        <w:t xml:space="preserve">results/tabelas_dissertacao/tab10_modelo4_PR.csv</w:t>
      </w:r>
      <w:r>
        <w:t xml:space="preserve"> </w:t>
      </w:r>
      <w:r>
        <w:t xml:space="preserve">(modelo principal) e</w:t>
      </w:r>
      <w:r>
        <w:t xml:space="preserve"> </w:t>
      </w:r>
      <w:r>
        <w:rPr>
          <w:rStyle w:val="VerbatimChar"/>
        </w:rPr>
        <w:t xml:space="preserve">tab10c_modelo4_interacao_PR.csv</w:t>
      </w:r>
      <w:r>
        <w:t xml:space="preserve"> </w:t>
      </w:r>
      <w:r>
        <w:t xml:space="preserve">(modelo de interação). Estes substituem as estimativas</w:t>
      </w:r>
      <w:r>
        <w:t xml:space="preserve"> </w:t>
      </w:r>
      <w:r>
        <w:t xml:space="preserve">anteriores em R.</w:t>
      </w:r>
    </w:p>
    <w:p>
      <w:pPr>
        <w:pStyle w:val="BlockText"/>
      </w:pPr>
      <w:r>
        <w:rPr>
          <w:b/>
        </w:rPr>
        <w:t xml:space="preserve">Nota de sigla:</w:t>
      </w:r>
      <w:r>
        <w:t xml:space="preserve"> </w:t>
      </w:r>
      <w:r>
        <w:t xml:space="preserve">neste documento uso</w:t>
      </w:r>
      <w:r>
        <w:t xml:space="preserve"> </w:t>
      </w:r>
      <w:r>
        <w:rPr>
          <w:b/>
        </w:rPr>
        <w:t xml:space="preserve">PR</w:t>
      </w:r>
      <w:r>
        <w:t xml:space="preserve"> </w:t>
      </w:r>
      <w:r>
        <w:t xml:space="preserve">(como no código). No manuscrito você</w:t>
      </w:r>
      <w:r>
        <w:t xml:space="preserve"> </w:t>
      </w:r>
      <w:r>
        <w:t xml:space="preserve">escreveu</w:t>
      </w:r>
      <w:r>
        <w:t xml:space="preserve"> </w:t>
      </w:r>
      <w:r>
        <w:rPr>
          <w:b/>
        </w:rPr>
        <w:t xml:space="preserve">RP</w:t>
      </w:r>
      <w:r>
        <w:t xml:space="preserve"> </w:t>
      </w:r>
      <w:r>
        <w:t xml:space="preserve">(razão de prevalência) — em português,</w:t>
      </w:r>
      <w:r>
        <w:t xml:space="preserve"> </w:t>
      </w:r>
      <w:r>
        <w:t xml:space="preserve">“</w:t>
      </w:r>
      <w:r>
        <w:t xml:space="preserve">RP</w:t>
      </w:r>
      <w:r>
        <w:t xml:space="preserve">”</w:t>
      </w:r>
      <w:r>
        <w:t xml:space="preserve"> </w:t>
      </w:r>
      <w:r>
        <w:t xml:space="preserve">é a sigla mais natural.</w:t>
      </w:r>
      <w:r>
        <w:t xml:space="preserve"> </w:t>
      </w:r>
      <w:r>
        <w:t xml:space="preserve">Tanto faz, desde que</w:t>
      </w:r>
      <w:r>
        <w:t xml:space="preserve"> </w:t>
      </w:r>
      <w:r>
        <w:rPr>
          <w:b/>
        </w:rPr>
        <w:t xml:space="preserve">a mesma sigla</w:t>
      </w:r>
      <w:r>
        <w:t xml:space="preserve"> </w:t>
      </w:r>
      <w:r>
        <w:t xml:space="preserve">apareça em Métodos, Tabela 10 e Figura 7.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</w:rPr>
        <w:t xml:space="preserve">Lê:</w:t>
      </w:r>
      <w:r>
        <w:t xml:space="preserve"> </w:t>
      </w:r>
      <w:r>
        <w:t xml:space="preserve">se quiser entender o que cada teste estatístico faz antes de mexer no</w:t>
      </w:r>
      <w:r>
        <w:t xml:space="preserve"> </w:t>
      </w:r>
      <w:r>
        <w:t xml:space="preserve">texto, comece pela</w:t>
      </w:r>
      <w:r>
        <w:t xml:space="preserve"> </w:t>
      </w:r>
      <w:r>
        <w:rPr>
          <w:b/>
        </w:rPr>
        <w:t xml:space="preserve">Seção 7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Para a Lê: os testes estatísticos em linguagem</w:t>
      </w:r>
      <w:r>
        <w:rPr>
          <w:b/>
        </w:rPr>
        <w:t xml:space="preserve"> </w:t>
      </w:r>
      <w:r>
        <w:rPr>
          <w:b/>
        </w:rPr>
        <w:t xml:space="preserve">simples</w:t>
      </w:r>
      <w:r>
        <w:rPr>
          <w:b/>
        </w:rPr>
        <w:t xml:space="preserve">”</w:t>
      </w:r>
      <w:r>
        <w:t xml:space="preserve"> </w:t>
      </w:r>
      <w:r>
        <w:t xml:space="preserve">(no fim deste documento).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étodos-seção-4-análise-estatística"/>
      <w:r>
        <w:t xml:space="preserve">1. Métodos (Seção 4 — Análise estatística)</w:t>
      </w:r>
      <w:bookmarkEnd w:id="21"/>
    </w:p>
    <w:p>
      <w:pPr>
        <w:pStyle w:val="FirstParagraph"/>
      </w:pPr>
      <w:r>
        <w:rPr>
          <w:b/>
        </w:rPr>
        <w:t xml:space="preserve">Trecho atual (parágrafo da análise multivariada):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fim de identificar os fatores independentemente associados à ocorrência de</w:t>
      </w:r>
      <w:r>
        <w:t xml:space="preserve"> </w:t>
      </w:r>
      <w:r>
        <w:t xml:space="preserve">&gt; nascimento por cesariana, foram construídos e avaliados quatro modelos de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regressão logística múltipla</w:t>
      </w:r>
      <w:r>
        <w:t xml:space="preserve">. (…) O Modelo 4 (Sugestão 4) ajustou</w:t>
      </w:r>
      <w:r>
        <w:t xml:space="preserve"> </w:t>
      </w:r>
      <w:r>
        <w:t xml:space="preserve">&gt; simultaneamente a faixa etária, síndromes hipertensivas obstétricas e os grupos</w:t>
      </w:r>
      <w:r>
        <w:t xml:space="preserve"> </w:t>
      </w:r>
      <w:r>
        <w:t xml:space="preserve">&gt; de Robson reduzidos, tendo como categoria de referência o Grupo 1.</w:t>
      </w:r>
      <w:r>
        <w:t xml:space="preserve">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Atualização (16/06):</w:t>
      </w:r>
      <w:r>
        <w:t xml:space="preserve"> </w:t>
      </w:r>
      <w:r>
        <w:t xml:space="preserve">o parágrafo do Poisson/RP</w:t>
      </w:r>
      <w:r>
        <w:t xml:space="preserve"> </w:t>
      </w:r>
      <w:r>
        <w:rPr>
          <w:b/>
        </w:rPr>
        <w:t xml:space="preserve">já foi inserido</w:t>
      </w:r>
      <w:r>
        <w:t xml:space="preserve"> </w:t>
      </w:r>
      <w:r>
        <w:t xml:space="preserve">nos Métodos</w:t>
      </w:r>
      <w:r>
        <w:t xml:space="preserve"> </w:t>
      </w:r>
      <w:r>
        <w:t xml:space="preserve">(</w:t>
      </w:r>
      <w:r>
        <w:t xml:space="preserve">“</w:t>
      </w:r>
      <w:r>
        <w:t xml:space="preserve">…análise de Poisson, com variância robusta e função log-linear, para estimar as</w:t>
      </w:r>
      <w:r>
        <w:t xml:space="preserve"> </w:t>
      </w:r>
      <w:r>
        <w:t xml:space="preserve">razões de prevalência (RP)… 10.1002/sim.7059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Ação pendente:</w:t>
      </w:r>
      <w:r>
        <w:t xml:space="preserve"> </w:t>
      </w:r>
      <w:r>
        <w:t xml:space="preserve">o mesmo parágrafo</w:t>
      </w:r>
      <w:r>
        <w:t xml:space="preserve"> </w:t>
      </w:r>
      <w:r>
        <w:t xml:space="preserve">ainda menciona estimar</w:t>
      </w:r>
      <w:r>
        <w:t xml:space="preserve"> </w:t>
      </w:r>
      <w:r>
        <w:rPr>
          <w:b/>
        </w:rPr>
        <w:t xml:space="preserve">Odds Ratios (OR)</w:t>
      </w:r>
      <w:r>
        <w:t xml:space="preserve"> </w:t>
      </w:r>
      <w:r>
        <w:t xml:space="preserve">— como a medida adotada passou a ser a RP,</w:t>
      </w:r>
      <w:r>
        <w:t xml:space="preserve"> </w:t>
      </w:r>
      <w:r>
        <w:rPr>
          <w:b/>
        </w:rPr>
        <w:t xml:space="preserve">remova (ou reposicione como histórico) a menção ao OR</w:t>
      </w:r>
      <w:r>
        <w:t xml:space="preserve"> </w:t>
      </w:r>
      <w:r>
        <w:t xml:space="preserve">para não dar a impressão de</w:t>
      </w:r>
      <w:r>
        <w:t xml:space="preserve"> </w:t>
      </w:r>
      <w:r>
        <w:t xml:space="preserve">que as duas medidas foram reportadas em paralelo. A redação sugerida abaixo serve de</w:t>
      </w:r>
      <w:r>
        <w:t xml:space="preserve"> </w:t>
      </w:r>
      <w:r>
        <w:t xml:space="preserve">referência para o texto final.</w:t>
      </w:r>
    </w:p>
    <w:p>
      <w:pPr>
        <w:pStyle w:val="FirstParagraph"/>
      </w:pPr>
      <w:r>
        <w:rPr>
          <w:b/>
        </w:rPr>
        <w:t xml:space="preserve">O que mudar:</w:t>
      </w:r>
      <w:r>
        <w:t xml:space="preserve"> </w:t>
      </w:r>
      <w:r>
        <w:t xml:space="preserve">deixar claro que a</w:t>
      </w:r>
      <w:r>
        <w:t xml:space="preserve"> </w:t>
      </w:r>
      <w:r>
        <w:rPr>
          <w:b/>
        </w:rPr>
        <w:t xml:space="preserve">medida de efeito reportada é a Razão de</w:t>
      </w:r>
      <w:r>
        <w:rPr>
          <w:b/>
        </w:rPr>
        <w:t xml:space="preserve"> </w:t>
      </w:r>
      <w:r>
        <w:rPr>
          <w:b/>
        </w:rPr>
        <w:t xml:space="preserve">Prevalência</w:t>
      </w:r>
      <w:r>
        <w:t xml:space="preserve">, não o Odds Ratio, e por quê. Sugestão de redação (consolidando o que já</w:t>
      </w:r>
      <w:r>
        <w:t xml:space="preserve"> </w:t>
      </w:r>
      <w:r>
        <w:t xml:space="preserve">está no texto):</w:t>
      </w:r>
    </w:p>
    <w:p>
      <w:pPr>
        <w:pStyle w:val="BlockText"/>
      </w:pPr>
      <w:r>
        <w:t xml:space="preserve">“</w:t>
      </w:r>
      <w:r>
        <w:t xml:space="preserve">Como a cesárea é um desfecho de</w:t>
      </w:r>
      <w:r>
        <w:t xml:space="preserve"> </w:t>
      </w:r>
      <w:r>
        <w:rPr>
          <w:b/>
        </w:rPr>
        <w:t xml:space="preserve">alta prevalência</w:t>
      </w:r>
      <w:r>
        <w:t xml:space="preserve"> </w:t>
      </w:r>
      <w:r>
        <w:t xml:space="preserve">nesta coorte (~56%), o Odds</w:t>
      </w:r>
      <w:r>
        <w:t xml:space="preserve"> </w:t>
      </w:r>
      <w:r>
        <w:t xml:space="preserve">Ratio superestimaria a magnitude das associações. Por isso, a medida de efeito</w:t>
      </w:r>
      <w:r>
        <w:t xml:space="preserve"> </w:t>
      </w:r>
      <w:r>
        <w:t xml:space="preserve">reportada é a</w:t>
      </w:r>
      <w:r>
        <w:t xml:space="preserve"> </w:t>
      </w:r>
      <w:r>
        <w:rPr>
          <w:b/>
        </w:rPr>
        <w:t xml:space="preserve">Razão de Prevalência (RP)</w:t>
      </w:r>
      <w:r>
        <w:t xml:space="preserve">, estimada por</w:t>
      </w:r>
      <w:r>
        <w:t xml:space="preserve"> </w:t>
      </w:r>
      <w:r>
        <w:rPr>
          <w:b/>
        </w:rPr>
        <w:t xml:space="preserve">regressão de Poisson com</w:t>
      </w:r>
      <w:r>
        <w:rPr>
          <w:b/>
        </w:rPr>
        <w:t xml:space="preserve"> </w:t>
      </w:r>
      <w:r>
        <w:rPr>
          <w:b/>
        </w:rPr>
        <w:t xml:space="preserve">variância robusta e função log-linear</w:t>
      </w:r>
      <w:r>
        <w:t xml:space="preserve"> </w:t>
      </w:r>
      <w:r>
        <w:t xml:space="preserve">(</w:t>
      </w:r>
      <w:r>
        <w:rPr>
          <w:i/>
        </w:rPr>
        <w:t xml:space="preserve">modified Poisson</w:t>
      </w:r>
      <w:r>
        <w:t xml:space="preserve">; Zou, 2004), na qual o</w:t>
      </w:r>
      <w:r>
        <w:t xml:space="preserve"> </w:t>
      </w:r>
      <w:r>
        <w:t xml:space="preserve">coeficiente exponenciado estima diretamente a RP. O Modelo 4 ajustou simultaneamente</w:t>
      </w:r>
      <w:r>
        <w:t xml:space="preserve"> </w:t>
      </w:r>
      <w:r>
        <w:t xml:space="preserve">os</w:t>
      </w:r>
      <w:r>
        <w:t xml:space="preserve"> </w:t>
      </w:r>
      <w:r>
        <w:rPr>
          <w:b/>
        </w:rPr>
        <w:t xml:space="preserve">grupos de Robson reduzidos</w:t>
      </w:r>
      <w:r>
        <w:t xml:space="preserve"> </w:t>
      </w:r>
      <w:r>
        <w:t xml:space="preserve">(referência: Robson 1) e a</w:t>
      </w:r>
      <w:r>
        <w:t xml:space="preserve"> </w:t>
      </w:r>
      <w:r>
        <w:rPr>
          <w:b/>
        </w:rPr>
        <w:t xml:space="preserve">faixa etária em três</w:t>
      </w:r>
      <w:r>
        <w:rPr>
          <w:b/>
        </w:rPr>
        <w:t xml:space="preserve"> </w:t>
      </w:r>
      <w:r>
        <w:rPr>
          <w:b/>
        </w:rPr>
        <w:t xml:space="preserve">categorias</w:t>
      </w:r>
      <w:r>
        <w:t xml:space="preserve"> </w:t>
      </w:r>
      <w:r>
        <w:t xml:space="preserve">(referência: 11–15 anos). A qualidade do ajuste foi de 0,463</w:t>
      </w:r>
      <w:r>
        <w:t xml:space="preserve"> </w:t>
      </w:r>
      <w:r>
        <w:t xml:space="preserve">(Qui-quadrado de Pearson por grau de liberdade).</w:t>
      </w:r>
      <w:r>
        <w:t xml:space="preserve">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Mudanças estruturais nos valores oficiais da estatística (arquivo</w:t>
      </w:r>
      <w:r>
        <w:rPr>
          <w:b/>
        </w:rPr>
        <w:t xml:space="preserve"> </w:t>
      </w:r>
      <w:r>
        <w:rPr>
          <w:rStyle w:val="VerbatimChar"/>
          <w:b/>
        </w:rPr>
        <w:t xml:space="preserve">modelagem_de Robson.xlsx</w:t>
      </w:r>
      <w:r>
        <w:rPr>
          <w:b/>
        </w:rPr>
        <w:t xml:space="preserve">), a refletir no texto: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Faixa etária em 3 categorias</w:t>
      </w:r>
      <w:r>
        <w:t xml:space="preserve"> </w:t>
      </w:r>
      <w:r>
        <w:t xml:space="preserve">(11–15 ref., 16–19, 20–34) — não mais</w:t>
      </w:r>
      <w:r>
        <w:t xml:space="preserve"> </w:t>
      </w:r>
      <w:r>
        <w:t xml:space="preserve">“</w:t>
      </w:r>
      <w:r>
        <w:t xml:space="preserve">adulta vs.</w:t>
      </w:r>
      <w:r>
        <w:t xml:space="preserve"> </w:t>
      </w:r>
      <w:r>
        <w:t xml:space="preserve">adolescente</w:t>
      </w:r>
      <w:r>
        <w:t xml:space="preserve">”</w:t>
      </w:r>
      <w:r>
        <w:t xml:space="preserve">. Isso muda a leitura do achado central (ver §2.3 e §3).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O Modelo 4 oficial não inclui a DHEG</w:t>
      </w:r>
      <w:r>
        <w:t xml:space="preserve"> </w:t>
      </w:r>
      <w:r>
        <w:t xml:space="preserve">— só Robson reduzido + faixa etária. O</w:t>
      </w:r>
      <w:r>
        <w:t xml:space="preserve"> </w:t>
      </w:r>
      <w:r>
        <w:t xml:space="preserve">texto atual dos Métodos descreve o Modelo 4 como</w:t>
      </w:r>
      <w:r>
        <w:t xml:space="preserve"> </w:t>
      </w:r>
      <w:r>
        <w:t xml:space="preserve">“</w:t>
      </w:r>
      <w:r>
        <w:t xml:space="preserve">faixa + DHEG + Robson</w:t>
      </w:r>
      <w:r>
        <w:t xml:space="preserve">”</w:t>
      </w:r>
      <w:r>
        <w:t xml:space="preserve">;</w:t>
      </w:r>
      <w:r>
        <w:t xml:space="preserve"> </w:t>
      </w:r>
      <w:r>
        <w:rPr>
          <w:b/>
        </w:rPr>
        <w:t xml:space="preserve">é</w:t>
      </w:r>
      <w:r>
        <w:rPr>
          <w:b/>
        </w:rPr>
        <w:t xml:space="preserve"> </w:t>
      </w:r>
      <w:r>
        <w:rPr>
          <w:b/>
        </w:rPr>
        <w:t xml:space="preserve">preciso reconciliar</w:t>
      </w:r>
      <w:r>
        <w:t xml:space="preserve">: ou se acrescenta a DHEG ao modelo da estatística, ou se</w:t>
      </w:r>
      <w:r>
        <w:t xml:space="preserve"> </w:t>
      </w:r>
      <w:r>
        <w:t xml:space="preserve">remove a DHEG da descrição. Como está, há divergência entre a descrição e a tabela.</w:t>
      </w:r>
      <w:r>
        <w:t xml:space="preserve"> </w:t>
      </w:r>
      <w:r>
        <w:t xml:space="preserve">3. A RP foi estimada</w:t>
      </w:r>
      <w:r>
        <w:t xml:space="preserve"> </w:t>
      </w:r>
      <w:r>
        <w:rPr>
          <w:b/>
        </w:rPr>
        <w:t xml:space="preserve">no SPSS</w:t>
      </w:r>
      <w:r>
        <w:t xml:space="preserve"> </w:t>
      </w:r>
      <w:r>
        <w:t xml:space="preserve">(GENLIN, Poisson com covariância robusta), não no R.</w:t>
      </w:r>
      <w:r>
        <w:t xml:space="preserve"> </w:t>
      </w:r>
      <w:r>
        <w:t xml:space="preserve">Ajustar a frase para não dizer que foi no R.</w:t>
      </w:r>
    </w:p>
    <w:p>
      <w:pPr>
        <w:pStyle w:val="FirstParagraph"/>
      </w:pPr>
      <w:r>
        <w:rPr>
          <w:b/>
        </w:rPr>
        <w:t xml:space="preserve">Referência a incluir na bibliografia:</w:t>
      </w:r>
      <w:r>
        <w:t xml:space="preserve"> </w:t>
      </w:r>
      <w:r>
        <w:t xml:space="preserve">Zou G.</w:t>
      </w:r>
      <w:r>
        <w:t xml:space="preserve"> </w:t>
      </w:r>
      <w:r>
        <w:rPr>
          <w:i/>
        </w:rPr>
        <w:t xml:space="preserve">A modified Poisson regression</w:t>
      </w:r>
      <w:r>
        <w:rPr>
          <w:i/>
        </w:rPr>
        <w:t xml:space="preserve"> </w:t>
      </w:r>
      <w:r>
        <w:rPr>
          <w:i/>
        </w:rPr>
        <w:t xml:space="preserve">approach to prospective studies with binary data.</w:t>
      </w:r>
      <w:r>
        <w:t xml:space="preserve"> </w:t>
      </w:r>
      <w:r>
        <w:t xml:space="preserve">Am J Epidemiol. 2004;159(7):702–706.</w:t>
      </w:r>
      <w:r>
        <w:t xml:space="preserve"> </w:t>
      </w:r>
      <w:r>
        <w:t xml:space="preserve">(DOI 10.1002/sim.7059 corresponde ao artigo de extensão de Zou &amp; Donner, 2013 — conferir</w:t>
      </w:r>
      <w:r>
        <w:t xml:space="preserve"> </w:t>
      </w:r>
      <w:r>
        <w:t xml:space="preserve">qual referência a estatística pretende citar.)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567470781477294e52bdbc87339fd15f155474b"/>
      <w:r>
        <w:t xml:space="preserve">2. Resultados (Seção 5.5 — Fatores associados à cesárea)</w:t>
      </w:r>
      <w:bookmarkEnd w:id="22"/>
    </w:p>
    <w:p>
      <w:pPr>
        <w:pStyle w:val="Heading3"/>
      </w:pPr>
      <w:bookmarkStart w:id="23" w:name="X0b96bcc01d3af365b09ad98b575a4c8408c0585"/>
      <w:r>
        <w:t xml:space="preserve">2.1 Tabela 10 — valores oficiais de PR (estatística,</w:t>
      </w:r>
      <w:r>
        <w:t xml:space="preserve"> </w:t>
      </w:r>
      <w:r>
        <w:rPr>
          <w:rStyle w:val="VerbatimChar"/>
        </w:rPr>
        <w:t xml:space="preserve">modelagem_de Robson.xlsx</w:t>
      </w:r>
      <w:r>
        <w:t xml:space="preserve">)</w:t>
      </w:r>
      <w:bookmarkEnd w:id="23"/>
    </w:p>
    <w:p>
      <w:pPr>
        <w:pStyle w:val="FirstParagraph"/>
      </w:pPr>
      <w:r>
        <w:t xml:space="preserve">Substituir a coluna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pela</w:t>
      </w:r>
      <w:r>
        <w:t xml:space="preserve"> </w:t>
      </w:r>
      <w:r>
        <w:rPr>
          <w:b/>
        </w:rPr>
        <w:t xml:space="preserve">PR (RP)</w:t>
      </w:r>
      <w:r>
        <w:t xml:space="preserve"> </w:t>
      </w:r>
      <w:r>
        <w:t xml:space="preserve">com os valores oficiais abaixo.</w:t>
      </w:r>
      <w:r>
        <w:t xml:space="preserve"> </w:t>
      </w:r>
      <w:r>
        <w:rPr>
          <w:b/>
        </w:rPr>
        <w:t xml:space="preserve">Modelo:</w:t>
      </w:r>
      <w:r>
        <w:rPr>
          <w:b/>
        </w:rPr>
        <w:t xml:space="preserve"> </w:t>
      </w:r>
      <w:r>
        <w:rPr>
          <w:b/>
        </w:rPr>
        <w:t xml:space="preserve">Robson reduzido + faixa etária (3 categorias).</w:t>
      </w:r>
      <w:r>
        <w:t xml:space="preserve"> </w:t>
      </w:r>
      <w:r>
        <w:t xml:space="preserve">Referências: Robson 1 e faixa 11–15.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IC 95%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Faixa etária 20–34 (vs. 11–15)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1,43</w:t>
            </w:r>
          </w:p>
        </w:tc>
        <w:tc>
          <w:p>
            <w:pPr>
              <w:pStyle w:val="Compact"/>
              <w:jc w:val="left"/>
            </w:pPr>
            <w:r>
              <w:t xml:space="preserve">1,24 – 1,65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Faixa etária 16–19 (vs. 11–15)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1,05</w:t>
            </w:r>
          </w:p>
        </w:tc>
        <w:tc>
          <w:p>
            <w:pPr>
              <w:pStyle w:val="Compact"/>
              <w:jc w:val="left"/>
            </w:pPr>
            <w:r>
              <w:t xml:space="preserve">0,89 – 1,24</w:t>
            </w:r>
          </w:p>
        </w:tc>
        <w:tc>
          <w:p>
            <w:pPr>
              <w:pStyle w:val="Compact"/>
              <w:jc w:val="left"/>
            </w:pPr>
            <w:r>
              <w:t xml:space="preserve">0,539 (n.s.)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Robson 2 (vs. Robson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1,96</w:t>
            </w:r>
          </w:p>
        </w:tc>
        <w:tc>
          <w:p>
            <w:pPr>
              <w:pStyle w:val="Compact"/>
              <w:jc w:val="left"/>
            </w:pPr>
            <w:r>
              <w:t xml:space="preserve">1,75 – 2,20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Robson 3 (vs. Robson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0,60</w:t>
            </w:r>
          </w:p>
        </w:tc>
        <w:tc>
          <w:p>
            <w:pPr>
              <w:pStyle w:val="Compact"/>
              <w:jc w:val="left"/>
            </w:pPr>
            <w:r>
              <w:t xml:space="preserve">0,50 – 0,72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Robson 4 (vs. Robson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1,42</w:t>
            </w:r>
          </w:p>
        </w:tc>
        <w:tc>
          <w:p>
            <w:pPr>
              <w:pStyle w:val="Compact"/>
              <w:jc w:val="left"/>
            </w:pPr>
            <w:r>
              <w:t xml:space="preserve">1,21 – 1,66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Robson 5 (vs. Robson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2,40</w:t>
            </w:r>
          </w:p>
        </w:tc>
        <w:tc>
          <w:p>
            <w:pPr>
              <w:pStyle w:val="Compact"/>
              <w:jc w:val="left"/>
            </w:pPr>
            <w:r>
              <w:t xml:space="preserve">2,15 – 2,68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Robson 6 (vs. Robson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2,59</w:t>
            </w:r>
          </w:p>
        </w:tc>
        <w:tc>
          <w:p>
            <w:pPr>
              <w:pStyle w:val="Compact"/>
              <w:jc w:val="left"/>
            </w:pPr>
            <w:r>
              <w:t xml:space="preserve">2,23 – 2,99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Robson 7 (vs. Robson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2,59</w:t>
            </w:r>
          </w:p>
        </w:tc>
        <w:tc>
          <w:p>
            <w:pPr>
              <w:pStyle w:val="Compact"/>
              <w:jc w:val="left"/>
            </w:pPr>
            <w:r>
              <w:t xml:space="preserve">2,32 – 2,90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Robson 9 (vs. Robson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2,65</w:t>
            </w:r>
          </w:p>
        </w:tc>
        <w:tc>
          <w:p>
            <w:pPr>
              <w:pStyle w:val="Compact"/>
              <w:jc w:val="left"/>
            </w:pPr>
            <w:r>
              <w:t xml:space="preserve">2,32 – 3,04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Robson 10 (vs. Robson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1,60</w:t>
            </w:r>
          </w:p>
        </w:tc>
        <w:tc>
          <w:p>
            <w:pPr>
              <w:pStyle w:val="Compact"/>
              <w:jc w:val="left"/>
            </w:pPr>
            <w:r>
              <w:t xml:space="preserve">1,43 – 1,80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</w:tbl>
    <w:p>
      <w:pPr>
        <w:pStyle w:val="BodyText"/>
      </w:pPr>
      <w:r>
        <w:t xml:space="preserve">CSV pronto:</w:t>
      </w:r>
      <w:r>
        <w:t xml:space="preserve"> </w:t>
      </w:r>
      <w:r>
        <w:rPr>
          <w:rStyle w:val="VerbatimChar"/>
        </w:rPr>
        <w:t xml:space="preserve">results/tabelas_dissertacao/tab10_modelo4_PR.csv</w:t>
      </w:r>
      <w:r>
        <w:t xml:space="preserve">.</w:t>
      </w:r>
    </w:p>
    <w:p>
      <w:pPr>
        <w:pStyle w:val="BodyText"/>
      </w:pPr>
      <w:r>
        <w:rPr>
          <w:b/>
        </w:rPr>
        <w:t xml:space="preserve">Legenda/rodapé da Tabela 10:</w:t>
      </w:r>
      <w:r>
        <w:t xml:space="preserve"> </w:t>
      </w:r>
      <w:r>
        <w:t xml:space="preserve">- Título:</w:t>
      </w:r>
      <w:r>
        <w:t xml:space="preserve"> </w:t>
      </w:r>
      <w:r>
        <w:t xml:space="preserve">“</w:t>
      </w:r>
      <w:r>
        <w:t xml:space="preserve">Modelo 4 de regressão logística múltipla…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Modelo 4 — fatores</w:t>
      </w:r>
      <w:r>
        <w:rPr>
          <w:b/>
        </w:rPr>
        <w:t xml:space="preserve"> </w:t>
      </w:r>
      <w:r>
        <w:rPr>
          <w:b/>
        </w:rPr>
        <w:t xml:space="preserve">associados ao nascimento por cesariana (Razão de Prevalência)</w:t>
      </w:r>
      <w:r>
        <w:t xml:space="preserve">”</w:t>
      </w:r>
      <w:r>
        <w:t xml:space="preserve">.</w:t>
      </w:r>
      <w:r>
        <w:t xml:space="preserve"> </w:t>
      </w:r>
      <w:r>
        <w:t xml:space="preserve">- Rodapé:</w:t>
      </w:r>
      <w:r>
        <w:t xml:space="preserve"> </w:t>
      </w:r>
      <w:r>
        <w:t xml:space="preserve">“</w:t>
      </w:r>
      <w:r>
        <w:rPr>
          <w:b/>
        </w:rPr>
        <w:t xml:space="preserve">RP = razão de prevalência, estimada por regressão de Poisson com variância</w:t>
      </w:r>
      <w:r>
        <w:rPr>
          <w:b/>
        </w:rPr>
        <w:t xml:space="preserve"> </w:t>
      </w:r>
      <w:r>
        <w:rPr>
          <w:b/>
        </w:rPr>
        <w:t xml:space="preserve">robusta e função log-linear (Zou, 2004); IC 95% = intervalo de confiança de 95% de</w:t>
      </w:r>
      <w:r>
        <w:rPr>
          <w:b/>
        </w:rPr>
        <w:t xml:space="preserve"> </w:t>
      </w:r>
      <w:r>
        <w:rPr>
          <w:b/>
        </w:rPr>
        <w:t xml:space="preserve">Wald.</w:t>
      </w:r>
      <w:r>
        <w:t xml:space="preserve"> </w:t>
      </w:r>
      <w:r>
        <w:t xml:space="preserve">Referências: Robson 1 e faixa etária 11–15 anos. Qualidade do ajuste = 0,463</w:t>
      </w:r>
      <w:r>
        <w:t xml:space="preserve"> </w:t>
      </w:r>
      <w:r>
        <w:t xml:space="preserve">(Qui-quadrado de Pearson por grau de liberdade).</w:t>
      </w:r>
      <w:r>
        <w:t xml:space="preserve">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Note as diferenças em relação à versão anterior deste documento:</w:t>
      </w:r>
      <w:r>
        <w:t xml:space="preserve"> </w:t>
      </w:r>
      <w:r>
        <w:t xml:space="preserve">(i) a faixa</w:t>
      </w:r>
      <w:r>
        <w:t xml:space="preserve"> </w:t>
      </w:r>
      <w:r>
        <w:t xml:space="preserve">etária aparece em</w:t>
      </w:r>
      <w:r>
        <w:t xml:space="preserve"> </w:t>
      </w:r>
      <w:r>
        <w:rPr>
          <w:b/>
        </w:rPr>
        <w:t xml:space="preserve">3 categorias</w:t>
      </w:r>
      <w:r>
        <w:t xml:space="preserve"> </w:t>
      </w:r>
      <w:r>
        <w:t xml:space="preserve">(a tardia 16–19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difere da precoce 11–15:</w:t>
      </w:r>
      <w:r>
        <w:t xml:space="preserve"> </w:t>
      </w:r>
      <w:r>
        <w:t xml:space="preserve">PR 1,05; p = 0,539); (ii)</w:t>
      </w:r>
      <w:r>
        <w:t xml:space="preserve"> </w:t>
      </w:r>
      <w:r>
        <w:rPr>
          <w:b/>
        </w:rPr>
        <w:t xml:space="preserve">não há linha de DHEG</w:t>
      </w:r>
      <w:r>
        <w:t xml:space="preserve"> </w:t>
      </w:r>
      <w:r>
        <w:t xml:space="preserve">(ver §1); (iii) os PR de Robson</w:t>
      </w:r>
      <w:r>
        <w:t xml:space="preserve"> </w:t>
      </w:r>
      <w:r>
        <w:t xml:space="preserve">mudaram um pouco em relação à minha estimativa em R (ex.: Robson 5 2,40 vs. 2,38) —</w:t>
      </w:r>
      <w:r>
        <w:t xml:space="preserve"> </w:t>
      </w:r>
      <w:r>
        <w:rPr>
          <w:b/>
        </w:rPr>
        <w:t xml:space="preserve">valem os da estatística</w:t>
      </w:r>
      <w:r>
        <w:t xml:space="preserve">.</w:t>
      </w:r>
    </w:p>
    <w:p>
      <w:pPr>
        <w:pStyle w:val="Heading3"/>
      </w:pPr>
      <w:bookmarkStart w:id="24" w:name="X2b749d568e9c098c17e2f94f7e362e9c6a1c905"/>
      <w:r>
        <w:t xml:space="preserve">2.2 Figura 7 — forest plot (regenerado com os valores oficiais)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Legenda:</w:t>
      </w:r>
      <w:r>
        <w:t xml:space="preserve"> </w:t>
      </w:r>
      <w:r>
        <w:t xml:space="preserve">“</w:t>
      </w:r>
      <w:r>
        <w:t xml:space="preserve">Figura 7 – Forest plot das</w:t>
      </w:r>
      <w:r>
        <w:t xml:space="preserve"> </w:t>
      </w:r>
      <w:r>
        <w:rPr>
          <w:b/>
        </w:rPr>
        <w:t xml:space="preserve">Razões de Prevalência (PR)</w:t>
      </w:r>
      <w:r>
        <w:t xml:space="preserve"> </w:t>
      </w:r>
      <w:r>
        <w:t xml:space="preserve">do Modelo 4.</w:t>
      </w:r>
      <w:r>
        <w:t xml:space="preserve"> </w:t>
      </w:r>
      <w:r>
        <w:t xml:space="preserve">Eixo X em escala logarítmica. Colunas à direita: PR (IC 95%) e p-valor. RP estimada</w:t>
      </w:r>
      <w:r>
        <w:t xml:space="preserve"> </w:t>
      </w:r>
      <w:r>
        <w:t xml:space="preserve">por regressão de Poisson com variância robusta (Zou, 2004); referências: Robson 1 e</w:t>
      </w:r>
      <w:r>
        <w:t xml:space="preserve"> </w:t>
      </w:r>
      <w:r>
        <w:t xml:space="preserve">faixa 11–15.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results/figures/fig_obj5_forest_plot_modelo4.png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regenerado com os</w:t>
      </w:r>
      <w:r>
        <w:rPr>
          <w:b/>
        </w:rPr>
        <w:t xml:space="preserve"> </w:t>
      </w:r>
      <w:r>
        <w:rPr>
          <w:b/>
        </w:rPr>
        <w:t xml:space="preserve">valores da estatística</w:t>
      </w:r>
      <w:r>
        <w:t xml:space="preserve"> </w:t>
      </w:r>
      <w:r>
        <w:t xml:space="preserve">(10 linhas: 2 de faixa + 8 de Robson).</w:t>
      </w:r>
    </w:p>
    <w:p>
      <w:pPr>
        <w:pStyle w:val="CaptionedFigure"/>
      </w:pPr>
      <w:r>
        <w:drawing>
          <wp:inline>
            <wp:extent cx="5334000" cy="3445810"/>
            <wp:effectExtent b="0" l="0" r="0" t="0"/>
            <wp:docPr descr="Forest plot do Modelo 4 — Razão de Prevalência (valores oficiais da estatística)" title="" id="1" name="Picture"/>
            <a:graphic>
              <a:graphicData uri="http://schemas.openxmlformats.org/drawingml/2006/picture">
                <pic:pic>
                  <pic:nvPicPr>
                    <pic:cNvPr descr="results/figures/fig_obj5_forest_plot_modelo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Forest plot do Modelo 4 — Razão de Prevalência (valores oficiais da estatística)</w:t>
      </w:r>
    </w:p>
    <w:p>
      <w:pPr>
        <w:pStyle w:val="Heading3"/>
      </w:pPr>
      <w:bookmarkStart w:id="26" w:name="X49e95eea8d1aef32e71b834ec756118d12107e6"/>
      <w:r>
        <w:t xml:space="preserve">2.3 Texto narrativo da Seção 5.5 — reescrever as leituras</w:t>
      </w:r>
      <w:bookmarkEnd w:id="26"/>
    </w:p>
    <w:p>
      <w:pPr>
        <w:pStyle w:val="FirstParagraph"/>
      </w:pPr>
      <w:r>
        <w:t xml:space="preserve">Reescrever em</w:t>
      </w:r>
      <w:r>
        <w:t xml:space="preserve"> </w:t>
      </w:r>
      <w:r>
        <w:rPr>
          <w:b/>
        </w:rPr>
        <w:t xml:space="preserve">prevalência</w:t>
      </w:r>
      <w:r>
        <w:t xml:space="preserve">, já com os valores oficiais e a faixa em 3 categorias: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dizer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Redação sugerida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Achado central (idade)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Após ajuste pelos grupos de Robson, as</w:t>
            </w:r>
            <w:r>
              <w:t xml:space="preserve"> </w:t>
            </w:r>
            <w:r>
              <w:rPr>
                <w:b/>
              </w:rPr>
              <w:t xml:space="preserve">adultas (20–34)</w:t>
            </w:r>
            <w:r>
              <w:t xml:space="preserve"> </w:t>
            </w:r>
            <w:r>
              <w:t xml:space="preserve">apresentaram</w:t>
            </w:r>
            <w:r>
              <w:t xml:space="preserve"> </w:t>
            </w:r>
            <w:r>
              <w:rPr>
                <w:b/>
              </w:rPr>
              <w:t xml:space="preserve">cerca de 43% mais prevalência</w:t>
            </w:r>
            <w:r>
              <w:t xml:space="preserve"> </w:t>
            </w:r>
            <w:r>
              <w:t xml:space="preserve">de cesárea que as adolescentes precoces (11–15) —</w:t>
            </w:r>
            <w:r>
              <w:t xml:space="preserve"> </w:t>
            </w:r>
            <w:r>
              <w:rPr>
                <w:b/>
              </w:rPr>
              <w:t xml:space="preserve">PR = 1,43 (IC 95%: 1,24–1,65; p &lt; 0,001)</w:t>
            </w:r>
            <w:r>
              <w:t xml:space="preserve">. Já as</w:t>
            </w:r>
            <w:r>
              <w:t xml:space="preserve"> </w:t>
            </w:r>
            <w:r>
              <w:rPr>
                <w:b/>
              </w:rPr>
              <w:t xml:space="preserve">adolescentes tardias (16–19) não diferiram</w:t>
            </w:r>
            <w:r>
              <w:t xml:space="preserve"> </w:t>
            </w:r>
            <w:r>
              <w:t xml:space="preserve">das precoces (PR = 1,05; IC 95%: 0,89–1,24; p = 0,539).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Grupos de maior magnitude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Os grupos de apresentação anômala (6, 7 e 9) e o Grupo 5 tiveram a maior prevalência relativa de cesárea — cerca de</w:t>
            </w:r>
            <w:r>
              <w:t xml:space="preserve"> </w:t>
            </w:r>
            <w:r>
              <w:rPr>
                <w:b/>
              </w:rPr>
              <w:t xml:space="preserve">2,4 a 2,7 vezes</w:t>
            </w:r>
            <w:r>
              <w:t xml:space="preserve"> </w:t>
            </w:r>
            <w:r>
              <w:t xml:space="preserve">a do Grupo 1 (Robson 9: PR = 2,65; Robson 7: 2,59; Robson 6: 2,59; Robson 5: 2,40).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 3 (protetor)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Grupo 3 (multíparas em trabalho espontâneo) manteve-se protetor:</w:t>
            </w:r>
            <w:r>
              <w:t xml:space="preserve"> </w:t>
            </w:r>
            <w:r>
              <w:rPr>
                <w:b/>
              </w:rPr>
              <w:t xml:space="preserve">PR = 0,60 (IC 95%: 0,50–0,72; p &lt; 0,001)</w:t>
            </w:r>
            <w:r>
              <w:t xml:space="preserve"> </w:t>
            </w:r>
            <w:r>
              <w:t xml:space="preserve">— ~40% menos prevalência de cesárea que o Grupo 1.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Grupos 2, 4 e 10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Robson 2: PR = 1,96; Robson 4: 1,42; Robson 10: 1,60 (todos p &lt; 0,001).</w:t>
            </w:r>
            <w:r>
              <w:t xml:space="preserve">”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Remover a frase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dobra a chance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da DHEG</w:t>
      </w:r>
      <w:r>
        <w:t xml:space="preserve"> </w:t>
      </w:r>
      <w:r>
        <w:t xml:space="preserve">e qualquer leitura em</w:t>
      </w:r>
      <w:r>
        <w:t xml:space="preserve"> </w:t>
      </w:r>
      <w:r>
        <w:t xml:space="preserve">“</w:t>
      </w:r>
      <w:r>
        <w:t xml:space="preserve">chance/OR</w:t>
      </w:r>
      <w:r>
        <w:t xml:space="preserve">”</w:t>
      </w:r>
      <w:r>
        <w:t xml:space="preserve">.</w:t>
      </w:r>
      <w:r>
        <w:t xml:space="preserve"> </w:t>
      </w:r>
      <w:r>
        <w:t xml:space="preserve">Como o Modelo 4 oficial</w:t>
      </w:r>
      <w:r>
        <w:t xml:space="preserve"> </w:t>
      </w:r>
      <w:r>
        <w:rPr>
          <w:b/>
        </w:rPr>
        <w:t xml:space="preserve">não inclui a DHEG</w:t>
      </w:r>
      <w:r>
        <w:t xml:space="preserve">, a frase sobre DHEG na §5.5 precisa</w:t>
      </w:r>
      <w:r>
        <w:t xml:space="preserve"> </w:t>
      </w:r>
      <w:r>
        <w:t xml:space="preserve">ser</w:t>
      </w:r>
      <w:r>
        <w:t xml:space="preserve"> </w:t>
      </w:r>
      <w:r>
        <w:rPr>
          <w:b/>
        </w:rPr>
        <w:t xml:space="preserve">removida</w:t>
      </w:r>
      <w:r>
        <w:t xml:space="preserve"> </w:t>
      </w:r>
      <w:r>
        <w:t xml:space="preserve">ou movida para a análise bivariada — a menos que vocês decidam</w:t>
      </w:r>
      <w:r>
        <w:t xml:space="preserve"> </w:t>
      </w:r>
      <w:r>
        <w:t xml:space="preserve">reincluir a DHEG no modelo (ver §1).</w:t>
      </w:r>
    </w:p>
    <w:p>
      <w:pPr>
        <w:pStyle w:val="BlockText"/>
      </w:pPr>
      <w:r>
        <w:rPr>
          <w:b/>
        </w:rPr>
        <w:t xml:space="preserve">Por que a magnitude é menor que a do OR (ex.: Robson 5 ~2,4 vs. OR 12,8):</w:t>
      </w:r>
      <w:r>
        <w:t xml:space="preserve"> </w:t>
      </w:r>
      <w:r>
        <w:t xml:space="preserve">o OR só</w:t>
      </w:r>
      <w:r>
        <w:t xml:space="preserve"> </w:t>
      </w:r>
      <w:r>
        <w:t xml:space="preserve">aproxima o risco relativo quando o desfecho é raro; com cesárea a 56%, ele inflava os</w:t>
      </w:r>
      <w:r>
        <w:t xml:space="preserve"> </w:t>
      </w:r>
      <w:r>
        <w:t xml:space="preserve">efeitos. A PR é a leitura correta (</w:t>
      </w:r>
      <w:r>
        <w:t xml:space="preserve">“</w:t>
      </w:r>
      <w:r>
        <w:t xml:space="preserve">2,4× a prevalência</w:t>
      </w:r>
      <w:r>
        <w:t xml:space="preserve">”</w:t>
      </w:r>
      <w:r>
        <w:t xml:space="preserve">) e com ICs estreitos.</w:t>
      </w:r>
      <w:r>
        <w:t xml:space="preserve"> </w:t>
      </w:r>
      <w:r>
        <w:rPr>
          <w:b/>
        </w:rPr>
        <w:t xml:space="preserve">É um</w:t>
      </w:r>
      <w:r>
        <w:rPr>
          <w:b/>
        </w:rPr>
        <w:t xml:space="preserve"> </w:t>
      </w:r>
      <w:r>
        <w:rPr>
          <w:b/>
        </w:rPr>
        <w:t xml:space="preserve">ponto forte para a banca</w:t>
      </w:r>
      <w:r>
        <w:t xml:space="preserve">, não fragilidade.</w:t>
      </w:r>
    </w:p>
    <w:p>
      <w:pPr>
        <w:pStyle w:val="Heading3"/>
      </w:pPr>
      <w:bookmarkStart w:id="27" w:name="X31936f1bbe6b65d4729ed6d6680b14b67605684"/>
      <w:r>
        <w:t xml:space="preserve">2.4 Sub-modelo de interação (final da Seção 5.5) — valores oficiais de PR</w:t>
      </w:r>
      <w:bookmarkEnd w:id="27"/>
    </w:p>
    <w:p>
      <w:pPr>
        <w:pStyle w:val="FirstParagraph"/>
      </w:pPr>
      <w:r>
        <w:t xml:space="preserve">A estatística também enviou o</w:t>
      </w:r>
      <w:r>
        <w:t xml:space="preserve"> </w:t>
      </w:r>
      <w:r>
        <w:rPr>
          <w:b/>
        </w:rPr>
        <w:t xml:space="preserve">modelo de interação faixa × Robson em PR</w:t>
      </w:r>
      <w:r>
        <w:t xml:space="preserve"> </w:t>
      </w:r>
      <w:r>
        <w:t xml:space="preserve">(referência:</w:t>
      </w:r>
      <w:r>
        <w:t xml:space="preserve"> </w:t>
      </w:r>
      <w:r>
        <w:rPr>
          <w:b/>
        </w:rPr>
        <w:t xml:space="preserve">Adolescentes do Robson 1</w:t>
      </w:r>
      <w:r>
        <w:t xml:space="preserve">). Substituir os OR antigos (0,38 / 0,21 / 1,95) por estes: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IC 95%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 — Robson 1</w:t>
            </w:r>
          </w:p>
        </w:tc>
        <w:tc>
          <w:p>
            <w:pPr>
              <w:pStyle w:val="Compact"/>
              <w:jc w:val="left"/>
            </w:pPr>
            <w:r>
              <w:t xml:space="preserve">1,29</w:t>
            </w:r>
          </w:p>
        </w:tc>
        <w:tc>
          <w:p>
            <w:pPr>
              <w:pStyle w:val="Compact"/>
              <w:jc w:val="left"/>
            </w:pPr>
            <w:r>
              <w:t xml:space="preserve">1,06 – 1,56</w:t>
            </w:r>
          </w:p>
        </w:tc>
        <w:tc>
          <w:p>
            <w:pPr>
              <w:pStyle w:val="Compact"/>
              <w:jc w:val="left"/>
            </w:pPr>
            <w:r>
              <w:t xml:space="preserve">0,010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 — Robson 2</w:t>
            </w:r>
          </w:p>
        </w:tc>
        <w:tc>
          <w:p>
            <w:pPr>
              <w:pStyle w:val="Compact"/>
              <w:jc w:val="left"/>
            </w:pPr>
            <w:r>
              <w:t xml:space="preserve">1,94</w:t>
            </w:r>
          </w:p>
        </w:tc>
        <w:tc>
          <w:p>
            <w:pPr>
              <w:pStyle w:val="Compact"/>
              <w:jc w:val="left"/>
            </w:pPr>
            <w:r>
              <w:t xml:space="preserve">1,59 – 2,36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 — Robson 2</w:t>
            </w:r>
          </w:p>
        </w:tc>
        <w:tc>
          <w:p>
            <w:pPr>
              <w:pStyle w:val="Compact"/>
              <w:jc w:val="left"/>
            </w:pPr>
            <w:r>
              <w:t xml:space="preserve">2,65</w:t>
            </w:r>
          </w:p>
        </w:tc>
        <w:tc>
          <w:p>
            <w:pPr>
              <w:pStyle w:val="Compact"/>
              <w:jc w:val="left"/>
            </w:pPr>
            <w:r>
              <w:t xml:space="preserve">2,36 – 2,99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 — Robson 3</w:t>
            </w:r>
          </w:p>
        </w:tc>
        <w:tc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p>
            <w:pPr>
              <w:pStyle w:val="Compact"/>
              <w:jc w:val="left"/>
            </w:pPr>
            <w:r>
              <w:t xml:space="preserve">0,72 – 1,35</w:t>
            </w:r>
          </w:p>
        </w:tc>
        <w:tc>
          <w:p>
            <w:pPr>
              <w:pStyle w:val="Compact"/>
              <w:jc w:val="left"/>
            </w:pPr>
            <w:r>
              <w:t xml:space="preserve">0,908 (n.s.)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 — Robson 3</w:t>
            </w:r>
          </w:p>
        </w:tc>
        <w:tc>
          <w:p>
            <w:pPr>
              <w:pStyle w:val="Compact"/>
              <w:jc w:val="left"/>
            </w:pPr>
            <w:r>
              <w:t xml:space="preserve">0,74</w:t>
            </w:r>
          </w:p>
        </w:tc>
        <w:tc>
          <w:p>
            <w:pPr>
              <w:pStyle w:val="Compact"/>
              <w:jc w:val="left"/>
            </w:pPr>
            <w:r>
              <w:t xml:space="preserve">0,61 – 0,90</w:t>
            </w:r>
          </w:p>
        </w:tc>
        <w:tc>
          <w:p>
            <w:pPr>
              <w:pStyle w:val="Compact"/>
              <w:jc w:val="left"/>
            </w:pPr>
            <w:r>
              <w:t xml:space="preserve">0,002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 — Robson 4</w:t>
            </w:r>
          </w:p>
        </w:tc>
        <w:tc>
          <w:p>
            <w:pPr>
              <w:pStyle w:val="Compact"/>
              <w:jc w:val="left"/>
            </w:pPr>
            <w:r>
              <w:t xml:space="preserve">1,92</w:t>
            </w:r>
          </w:p>
        </w:tc>
        <w:tc>
          <w:p>
            <w:pPr>
              <w:pStyle w:val="Compact"/>
              <w:jc w:val="left"/>
            </w:pPr>
            <w:r>
              <w:t xml:space="preserve">1,64 – 2,24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 — Robson 5</w:t>
            </w:r>
          </w:p>
        </w:tc>
        <w:tc>
          <w:p>
            <w:pPr>
              <w:pStyle w:val="Compact"/>
              <w:jc w:val="left"/>
            </w:pPr>
            <w:r>
              <w:t xml:space="preserve">3,25</w:t>
            </w:r>
          </w:p>
        </w:tc>
        <w:tc>
          <w:p>
            <w:pPr>
              <w:pStyle w:val="Compact"/>
              <w:jc w:val="left"/>
            </w:pPr>
            <w:r>
              <w:t xml:space="preserve">2,90 – 3,63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 — Robson 6</w:t>
            </w:r>
          </w:p>
        </w:tc>
        <w:tc>
          <w:p>
            <w:pPr>
              <w:pStyle w:val="Compact"/>
              <w:jc w:val="left"/>
            </w:pPr>
            <w:r>
              <w:t xml:space="preserve">3,68</w:t>
            </w:r>
          </w:p>
        </w:tc>
        <w:tc>
          <w:p>
            <w:pPr>
              <w:pStyle w:val="Compact"/>
              <w:jc w:val="left"/>
            </w:pPr>
            <w:r>
              <w:t xml:space="preserve">3,30 – 4,11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 — Robson 6</w:t>
            </w:r>
          </w:p>
        </w:tc>
        <w:tc>
          <w:p>
            <w:pPr>
              <w:pStyle w:val="Compact"/>
              <w:jc w:val="left"/>
            </w:pPr>
            <w:r>
              <w:t xml:space="preserve">3,42</w:t>
            </w:r>
          </w:p>
        </w:tc>
        <w:tc>
          <w:p>
            <w:pPr>
              <w:pStyle w:val="Compact"/>
              <w:jc w:val="left"/>
            </w:pPr>
            <w:r>
              <w:t xml:space="preserve">2,94 – 3,97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 — Robson 7</w:t>
            </w:r>
          </w:p>
        </w:tc>
        <w:tc>
          <w:p>
            <w:pPr>
              <w:pStyle w:val="Compact"/>
              <w:jc w:val="left"/>
            </w:pPr>
            <w:r>
              <w:t xml:space="preserve">3,51</w:t>
            </w:r>
          </w:p>
        </w:tc>
        <w:tc>
          <w:p>
            <w:pPr>
              <w:pStyle w:val="Compact"/>
              <w:jc w:val="left"/>
            </w:pPr>
            <w:r>
              <w:t xml:space="preserve">3,05 – 4,05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 — Robson 7</w:t>
            </w:r>
          </w:p>
        </w:tc>
        <w:tc>
          <w:p>
            <w:pPr>
              <w:pStyle w:val="Compact"/>
              <w:jc w:val="left"/>
            </w:pPr>
            <w:r>
              <w:t xml:space="preserve">3,41</w:t>
            </w:r>
          </w:p>
        </w:tc>
        <w:tc>
          <w:p>
            <w:pPr>
              <w:pStyle w:val="Compact"/>
              <w:jc w:val="left"/>
            </w:pPr>
            <w:r>
              <w:t xml:space="preserve">3,04 – 3,83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 — Robson 9</w:t>
            </w:r>
          </w:p>
        </w:tc>
        <w:tc>
          <w:p>
            <w:pPr>
              <w:pStyle w:val="Compact"/>
              <w:jc w:val="left"/>
            </w:pPr>
            <w:r>
              <w:t xml:space="preserve">3,68</w:t>
            </w:r>
          </w:p>
        </w:tc>
        <w:tc>
          <w:p>
            <w:pPr>
              <w:pStyle w:val="Compact"/>
              <w:jc w:val="left"/>
            </w:pPr>
            <w:r>
              <w:t xml:space="preserve">3,30 – 4,11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 — Robson 9</w:t>
            </w:r>
          </w:p>
        </w:tc>
        <w:tc>
          <w:p>
            <w:pPr>
              <w:pStyle w:val="Compact"/>
              <w:jc w:val="left"/>
            </w:pPr>
            <w:r>
              <w:t xml:space="preserve">3,38</w:t>
            </w:r>
          </w:p>
        </w:tc>
        <w:tc>
          <w:p>
            <w:pPr>
              <w:pStyle w:val="Compact"/>
              <w:jc w:val="left"/>
            </w:pPr>
            <w:r>
              <w:t xml:space="preserve">2,93 – 3,91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 — Robson 10</w:t>
            </w:r>
          </w:p>
        </w:tc>
        <w:tc>
          <w:p>
            <w:pPr>
              <w:pStyle w:val="Compact"/>
              <w:jc w:val="left"/>
            </w:pPr>
            <w:r>
              <w:t xml:space="preserve">0,96</w:t>
            </w:r>
          </w:p>
        </w:tc>
        <w:tc>
          <w:p>
            <w:pPr>
              <w:pStyle w:val="Compact"/>
              <w:jc w:val="left"/>
            </w:pPr>
            <w:r>
              <w:t xml:space="preserve">0,72 – 1,27</w:t>
            </w:r>
          </w:p>
        </w:tc>
        <w:tc>
          <w:p>
            <w:pPr>
              <w:pStyle w:val="Compact"/>
              <w:jc w:val="left"/>
            </w:pPr>
            <w:r>
              <w:t xml:space="preserve">0,778 (n.s.)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 — Robson 10</w:t>
            </w:r>
          </w:p>
        </w:tc>
        <w:tc>
          <w:p>
            <w:pPr>
              <w:pStyle w:val="Compact"/>
              <w:jc w:val="left"/>
            </w:pPr>
            <w:r>
              <w:t xml:space="preserve">2,28</w:t>
            </w:r>
          </w:p>
        </w:tc>
        <w:tc>
          <w:p>
            <w:pPr>
              <w:pStyle w:val="Compact"/>
              <w:jc w:val="left"/>
            </w:pPr>
            <w:r>
              <w:t xml:space="preserve">2,02 – 2,57</w:t>
            </w:r>
          </w:p>
        </w:tc>
        <w:tc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</w:tbl>
    <w:p>
      <w:pPr>
        <w:pStyle w:val="BodyText"/>
      </w:pPr>
      <w:r>
        <w:t xml:space="preserve">CSV pronto:</w:t>
      </w:r>
      <w:r>
        <w:t xml:space="preserve"> </w:t>
      </w:r>
      <w:r>
        <w:rPr>
          <w:rStyle w:val="VerbatimChar"/>
        </w:rPr>
        <w:t xml:space="preserve">results/tabelas_dissertacao/tab10c_modelo4_interacao_PR.csv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Cautela (separação quase-perfeita):</w:t>
      </w:r>
      <w:r>
        <w:t xml:space="preserve"> </w:t>
      </w:r>
      <w:r>
        <w:t xml:space="preserve">os valores de</w:t>
      </w:r>
      <w:r>
        <w:t xml:space="preserve"> </w:t>
      </w:r>
      <w:r>
        <w:rPr>
          <w:b/>
        </w:rPr>
        <w:t xml:space="preserve">Adolescentes nos Robson 6,</w:t>
      </w:r>
      <w:r>
        <w:rPr>
          <w:b/>
        </w:rPr>
        <w:t xml:space="preserve"> </w:t>
      </w:r>
      <w:r>
        <w:rPr>
          <w:b/>
        </w:rPr>
        <w:t xml:space="preserve">7 e 9</w:t>
      </w:r>
      <w:r>
        <w:t xml:space="preserve"> </w:t>
      </w:r>
      <w:r>
        <w:t xml:space="preserve">repousam sobre</w:t>
      </w:r>
      <w:r>
        <w:t xml:space="preserve"> </w:t>
      </w:r>
      <w:r>
        <w:rPr>
          <w:b/>
        </w:rPr>
        <w:t xml:space="preserve">pouquíssimos casos</w:t>
      </w:r>
      <w:r>
        <w:t xml:space="preserve"> </w:t>
      </w:r>
      <w:r>
        <w:t xml:space="preserve">(n = 1–5, quase todos cesárea) — daí os</w:t>
      </w:r>
      <w:r>
        <w:t xml:space="preserve"> </w:t>
      </w:r>
      <w:r>
        <w:t xml:space="preserve">PR idênticos (3,68) nos grupos 6 e 9. Interpretar apenas qualitativamente e registrar</w:t>
      </w:r>
      <w:r>
        <w:t xml:space="preserve"> </w:t>
      </w:r>
      <w:r>
        <w:t xml:space="preserve">a limitação. Remover também a</w:t>
      </w:r>
      <w:r>
        <w:t xml:space="preserve"> </w:t>
      </w:r>
      <w:r>
        <w:rPr>
          <w:b/>
        </w:rPr>
        <w:t xml:space="preserve">nota de edição solta</w:t>
      </w:r>
      <w:r>
        <w:t xml:space="preserve"> </w:t>
      </w:r>
      <w:r>
        <w:t xml:space="preserve">“</w:t>
      </w:r>
      <w:r>
        <w:rPr>
          <w:i/>
        </w:rPr>
        <w:t xml:space="preserve">a tabela de interação da aba</w:t>
      </w:r>
      <w:r>
        <w:rPr>
          <w:i/>
        </w:rPr>
        <w:t xml:space="preserve"> </w:t>
      </w:r>
      <w:r>
        <w:rPr>
          <w:i/>
        </w:rPr>
        <w:t xml:space="preserve">robson interação</w:t>
      </w:r>
      <w:r>
        <w:t xml:space="preserve">”</w:t>
      </w:r>
      <w:r>
        <w:t xml:space="preserve"> </w:t>
      </w:r>
      <w:r>
        <w:t xml:space="preserve">do texto final.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iscussão-seção-6.1"/>
      <w:r>
        <w:t xml:space="preserve">3. Discussão (Seção 6.1)</w:t>
      </w:r>
      <w:bookmarkEnd w:id="28"/>
    </w:p>
    <w:p>
      <w:pPr>
        <w:pStyle w:val="FirstParagraph"/>
      </w:pPr>
      <w:r>
        <w:rPr>
          <w:b/>
        </w:rPr>
        <w:t xml:space="preserve">Trecho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(…) a faixa etária adulta atua como fator de risco independente para a ocorrência</w:t>
      </w:r>
      <w:r>
        <w:t xml:space="preserve"> </w:t>
      </w:r>
      <w:r>
        <w:t xml:space="preserve">&gt; de cesárea, apresentando uma</w:t>
      </w:r>
      <w:r>
        <w:t xml:space="preserve"> </w:t>
      </w:r>
      <w:r>
        <w:rPr>
          <w:b/>
        </w:rPr>
        <w:t xml:space="preserve">chance 78% maior</w:t>
      </w:r>
      <w:r>
        <w:t xml:space="preserve"> </w:t>
      </w:r>
      <w:r>
        <w:t xml:space="preserve">de evolução para cesariana em</w:t>
      </w:r>
      <w:r>
        <w:t xml:space="preserve"> </w:t>
      </w:r>
      <w:r>
        <w:t xml:space="preserve">&gt; comparação com o grupo de gestantes adolescentes.</w:t>
      </w:r>
      <w:r>
        <w:t xml:space="preserve">”</w:t>
      </w:r>
    </w:p>
    <w:p>
      <w:pPr>
        <w:pStyle w:val="BodyText"/>
      </w:pPr>
      <w:r>
        <w:rPr>
          <w:b/>
        </w:rPr>
        <w:t xml:space="preserve">Trocar para: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(…) a faixa etária adulta atua como fator de risco independente para a ocorrência</w:t>
      </w:r>
      <w:r>
        <w:t xml:space="preserve"> </w:t>
      </w:r>
      <w:r>
        <w:t xml:space="preserve">&gt; de cesárea, apresentando</w:t>
      </w:r>
      <w:r>
        <w:t xml:space="preserve"> </w:t>
      </w:r>
      <w:r>
        <w:rPr>
          <w:b/>
        </w:rPr>
        <w:t xml:space="preserve">cerca de 43% mais prevalência</w:t>
      </w:r>
      <w:r>
        <w:t xml:space="preserve"> </w:t>
      </w:r>
      <w:r>
        <w:t xml:space="preserve">de cesárea (PR = 1,43;</w:t>
      </w:r>
      <w:r>
        <w:t xml:space="preserve"> </w:t>
      </w:r>
      <w:r>
        <w:t xml:space="preserve">&gt; IC 95%: 1,24–1,65) em comparação com as adolescentes precoces (11–15), mesmo após</w:t>
      </w:r>
      <w:r>
        <w:t xml:space="preserve"> </w:t>
      </w:r>
      <w:r>
        <w:t xml:space="preserve">&gt; ajuste pelo perfil obstétrico (grupos de Robson). As adolescentes tardias (16–19),</w:t>
      </w:r>
      <w:r>
        <w:t xml:space="preserve"> </w:t>
      </w:r>
      <w:r>
        <w:t xml:space="preserve">&gt; por sua vez, não diferiram das precoces (PR = 1,05; p = 0,539).</w:t>
      </w:r>
      <w:r>
        <w:t xml:space="preserve">”</w:t>
      </w:r>
    </w:p>
    <w:p>
      <w:pPr>
        <w:pStyle w:val="BodyText"/>
      </w:pPr>
      <w:r>
        <w:rPr>
          <w:b/>
        </w:rPr>
        <w:t xml:space="preserve">Demais pontos da Discussão:</w:t>
      </w:r>
      <w:r>
        <w:t xml:space="preserve"> </w:t>
      </w:r>
      <w:r>
        <w:t xml:space="preserve">- O restante da Seção 6.1 discute</w:t>
      </w:r>
      <w:r>
        <w:t xml:space="preserve"> </w:t>
      </w:r>
      <w:r>
        <w:rPr>
          <w:b/>
        </w:rPr>
        <w:t xml:space="preserve">pontos percentuais de taxa de cesárea</w:t>
      </w:r>
      <w:r>
        <w:t xml:space="preserve"> </w:t>
      </w:r>
      <w:r>
        <w:t xml:space="preserve">por grupo</w:t>
      </w:r>
      <w:r>
        <w:t xml:space="preserve"> </w:t>
      </w:r>
      <w:r>
        <w:t xml:space="preserve">de Robson (ex.:</w:t>
      </w:r>
      <w:r>
        <w:t xml:space="preserve"> </w:t>
      </w:r>
      <w:r>
        <w:t xml:space="preserve">“</w:t>
      </w:r>
      <w:r>
        <w:t xml:space="preserve">10 pontos percentuais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47,2% → 71,8%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35,1 pontos percentuais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Esses números não dependem de OR/PR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permanecem inalterados</w:t>
      </w:r>
      <w:r>
        <w:t xml:space="preserve">.</w:t>
      </w:r>
      <w:r>
        <w:t xml:space="preserve"> </w:t>
      </w:r>
      <w:r>
        <w:t xml:space="preserve">- Onde o texto interpreta o Grupo 5 como</w:t>
      </w:r>
      <w:r>
        <w:t xml:space="preserve"> </w:t>
      </w:r>
      <w:r>
        <w:t xml:space="preserve">“</w:t>
      </w:r>
      <w:r>
        <w:t xml:space="preserve">principal determinante</w:t>
      </w:r>
      <w:r>
        <w:t xml:space="preserve">”</w:t>
      </w:r>
      <w:r>
        <w:t xml:space="preserve">, continua válido — em</w:t>
      </w:r>
      <w:r>
        <w:t xml:space="preserve"> </w:t>
      </w:r>
      <w:r>
        <w:t xml:space="preserve">PR ele está entre os de maior efeito (PR = 2,40), junto de 6/7/9. Só evitar</w:t>
      </w:r>
      <w:r>
        <w:t xml:space="preserve"> </w:t>
      </w:r>
      <w:r>
        <w:t xml:space="preserve">linguagem de</w:t>
      </w:r>
      <w:r>
        <w:t xml:space="preserve"> </w:t>
      </w:r>
      <w:r>
        <w:t xml:space="preserve">“</w:t>
      </w:r>
      <w:r>
        <w:t xml:space="preserve">chance</w:t>
      </w:r>
      <w:r>
        <w:t xml:space="preserve">”</w:t>
      </w:r>
      <w:r>
        <w:t xml:space="preserve"> </w:t>
      </w:r>
      <w:r>
        <w:t xml:space="preserve">e dizer</w:t>
      </w:r>
      <w:r>
        <w:t xml:space="preserve"> </w:t>
      </w:r>
      <w:r>
        <w:t xml:space="preserve">“</w:t>
      </w:r>
      <w:r>
        <w:t xml:space="preserve">prevalência</w:t>
      </w:r>
      <w:r>
        <w:t xml:space="preserve">”</w:t>
      </w:r>
      <w:r>
        <w:t xml:space="preserve">.</w:t>
      </w:r>
      <w:r>
        <w:t xml:space="preserve"> </w:t>
      </w:r>
      <w:r>
        <w:t xml:space="preserve">- ⚠️ Se a Discussão mencionar a</w:t>
      </w:r>
      <w:r>
        <w:t xml:space="preserve"> </w:t>
      </w:r>
      <w:r>
        <w:rPr>
          <w:b/>
        </w:rPr>
        <w:t xml:space="preserve">DHEG</w:t>
      </w:r>
      <w:r>
        <w:t xml:space="preserve"> </w:t>
      </w:r>
      <w:r>
        <w:t xml:space="preserve">como fator do Modelo 4, reveja: o modelo</w:t>
      </w:r>
      <w:r>
        <w:t xml:space="preserve"> </w:t>
      </w:r>
      <w:r>
        <w:t xml:space="preserve">oficial atual</w:t>
      </w:r>
      <w:r>
        <w:t xml:space="preserve"> </w:t>
      </w:r>
      <w:r>
        <w:rPr>
          <w:b/>
        </w:rPr>
        <w:t xml:space="preserve">não inclui</w:t>
      </w:r>
      <w:r>
        <w:t xml:space="preserve"> </w:t>
      </w:r>
      <w:r>
        <w:t xml:space="preserve">a DHEG (ver §1). A DHEG continua válida na análise</w:t>
      </w:r>
      <w:r>
        <w:t xml:space="preserve"> </w:t>
      </w:r>
      <w:r>
        <w:t xml:space="preserve">bivariada/descritiva (§6.2), mas não como coeficiente ajustado do Modelo 4.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Sugestão (opcional, mas valoriza o trabalho):</w:t>
      </w:r>
      <w:r>
        <w:t xml:space="preserve"> </w:t>
      </w:r>
      <w:r>
        <w:t xml:space="preserve">acrescentar 1–2 frases na Discussão</w:t>
      </w:r>
      <w:r>
        <w:t xml:space="preserve"> </w:t>
      </w:r>
      <w:r>
        <w:t xml:space="preserve">ou nas Limitações explicando a</w:t>
      </w:r>
      <w:r>
        <w:t xml:space="preserve"> </w:t>
      </w:r>
      <w:r>
        <w:rPr>
          <w:b/>
        </w:rPr>
        <w:t xml:space="preserve">escolha metodológica do PR</w:t>
      </w:r>
      <w:r>
        <w:t xml:space="preserve"> </w:t>
      </w:r>
      <w:r>
        <w:t xml:space="preserve">(desfecho de alta</w:t>
      </w:r>
      <w:r>
        <w:t xml:space="preserve"> </w:t>
      </w:r>
      <w:r>
        <w:t xml:space="preserve">prevalência → OR enviesado → modified Poisson de Zou). Isso antecipa pergunta de banca.</w:t>
      </w:r>
      <w:r>
        <w:t xml:space="preserve"> </w:t>
      </w:r>
      <w:r>
        <w:t xml:space="preserve">- As Seções 6.2 e 6.3 (comorbidades, fórcipe)</w:t>
      </w:r>
      <w:r>
        <w:t xml:space="preserve"> </w:t>
      </w:r>
      <w:r>
        <w:rPr>
          <w:b/>
        </w:rPr>
        <w:t xml:space="preserve">não usam OR</w:t>
      </w:r>
      <w:r>
        <w:t xml:space="preserve"> </w:t>
      </w:r>
      <w:r>
        <w:t xml:space="preserve">e não precisam de mudança.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f6beda8b761b8ca903233021e509e170ca8cc6a"/>
      <w:r>
        <w:t xml:space="preserve">4. Listas de figuras e tabelas (páginas iniciais)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Figura 7 – Forest plot dos</w:t>
      </w:r>
      <w:r>
        <w:t xml:space="preserve"> </w:t>
      </w:r>
      <w:r>
        <w:rPr>
          <w:b/>
        </w:rPr>
        <w:t xml:space="preserve">Odds Ratios</w:t>
      </w:r>
      <w:r>
        <w:t xml:space="preserve"> </w:t>
      </w:r>
      <w:r>
        <w:t xml:space="preserve">do Modelo 4…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das Razões de</w:t>
      </w:r>
      <w:r>
        <w:rPr>
          <w:b/>
        </w:rPr>
        <w:t xml:space="preserve"> </w:t>
      </w:r>
      <w:r>
        <w:rPr>
          <w:b/>
        </w:rPr>
        <w:t xml:space="preserve">Prevalência (PR)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Tabela 10 – Modelo 4 de</w:t>
      </w:r>
      <w:r>
        <w:t xml:space="preserve"> </w:t>
      </w:r>
      <w:r>
        <w:rPr>
          <w:b/>
        </w:rPr>
        <w:t xml:space="preserve">regressão logística múltipla</w:t>
      </w:r>
      <w:r>
        <w:t xml:space="preserve"> </w:t>
      </w:r>
      <w:r>
        <w:t xml:space="preserve">para nascimento por</w:t>
      </w:r>
      <w:r>
        <w:t xml:space="preserve"> </w:t>
      </w:r>
      <w:r>
        <w:t xml:space="preserve">cesariana.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Tabela 10 –</w:t>
      </w:r>
      <w:r>
        <w:t xml:space="preserve"> </w:t>
      </w:r>
      <w:r>
        <w:rPr>
          <w:b/>
        </w:rPr>
        <w:t xml:space="preserve">Modelo 4 — fatores associados ao nascimento por</w:t>
      </w:r>
      <w:r>
        <w:rPr>
          <w:b/>
        </w:rPr>
        <w:t xml:space="preserve"> </w:t>
      </w:r>
      <w:r>
        <w:rPr>
          <w:b/>
        </w:rPr>
        <w:t xml:space="preserve">cesariana (Razão de Prevalência)</w:t>
      </w:r>
      <w:r>
        <w:t xml:space="preserve">.</w:t>
      </w:r>
      <w:r>
        <w:t xml:space="preserve">”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Resumo/Abstract</w:t>
      </w:r>
      <w:r>
        <w:t xml:space="preserve"> </w:t>
      </w:r>
      <w:r>
        <w:t xml:space="preserve">não citam OR (falam em taxas de cesárea 32% vs 62%), então</w:t>
      </w:r>
      <w:r>
        <w:t xml:space="preserve"> </w:t>
      </w:r>
      <w:r>
        <w:rPr>
          <w:b/>
        </w:rPr>
        <w:t xml:space="preserve">não</w:t>
      </w:r>
      <w:r>
        <w:rPr>
          <w:b/>
        </w:rPr>
        <w:t xml:space="preserve"> </w:t>
      </w:r>
      <w:r>
        <w:rPr>
          <w:b/>
        </w:rPr>
        <w:t xml:space="preserve">precisam de alteração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fddbb47aff06a61696c9e3c6985892b4eebbaf8"/>
      <w:r>
        <w:t xml:space="preserve">5. Checklist rápido para aplicar no documento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☐ Métodos §4: inserir parágrafo do PR (Poisson robusto, Zou 2004) + ref. bibliográfica.</w:t>
      </w:r>
    </w:p>
    <w:p>
      <w:pPr>
        <w:numPr>
          <w:ilvl w:val="0"/>
          <w:numId w:val="1003"/>
        </w:numPr>
        <w:pStyle w:val="Compact"/>
      </w:pPr>
      <w:r>
        <w:t xml:space="preserve">☐ Métodos §4: esclarecer que o Modelo 4 foi estimado no R (não SPSS).</w:t>
      </w:r>
    </w:p>
    <w:p>
      <w:pPr>
        <w:numPr>
          <w:ilvl w:val="0"/>
          <w:numId w:val="1003"/>
        </w:numPr>
        <w:pStyle w:val="Compact"/>
      </w:pPr>
      <w:r>
        <w:t xml:space="preserve">☐ Tabela 10: substituir coluna OR → PR (10 linhas) + IC novos + título + rodapé.</w:t>
      </w:r>
    </w:p>
    <w:p>
      <w:pPr>
        <w:numPr>
          <w:ilvl w:val="0"/>
          <w:numId w:val="1003"/>
        </w:numPr>
        <w:pStyle w:val="Compact"/>
      </w:pPr>
      <w:r>
        <w:t xml:space="preserve">☐ Figura 7: trocar legenda (OR → PR) e confirmar a imagem nova.</w:t>
      </w:r>
    </w:p>
    <w:p>
      <w:pPr>
        <w:numPr>
          <w:ilvl w:val="0"/>
          <w:numId w:val="1003"/>
        </w:numPr>
        <w:pStyle w:val="Compact"/>
      </w:pPr>
      <w:r>
        <w:t xml:space="preserve">☐ Texto §5.5: reescrever as leituras (78%→43%; faixa em 3 categorias; remover</w:t>
      </w:r>
      <w:r>
        <w:t xml:space="preserve"> </w:t>
      </w:r>
      <w:r>
        <w:t xml:space="preserve">“</w:t>
      </w:r>
      <w:r>
        <w:t xml:space="preserve">dobra a chance</w:t>
      </w:r>
      <w:r>
        <w:t xml:space="preserve">”</w:t>
      </w:r>
      <w:r>
        <w:t xml:space="preserve"> </w:t>
      </w:r>
      <w:r>
        <w:t xml:space="preserve">e a DHEG do Modelo 4; etc.).</w:t>
      </w:r>
    </w:p>
    <w:p>
      <w:pPr>
        <w:numPr>
          <w:ilvl w:val="0"/>
          <w:numId w:val="1003"/>
        </w:numPr>
        <w:pStyle w:val="Compact"/>
      </w:pPr>
      <w:r>
        <w:t xml:space="preserve">☐ §5.5 interação: decidir migrar para PR</w:t>
      </w:r>
      <w:r>
        <w:t xml:space="preserve"> </w:t>
      </w:r>
      <w:r>
        <w:rPr>
          <w:b/>
        </w:rPr>
        <w:t xml:space="preserve">ou</w:t>
      </w:r>
      <w:r>
        <w:t xml:space="preserve"> </w:t>
      </w:r>
      <w:r>
        <w:t xml:space="preserve">declarar OR; remover a nota solta.</w:t>
      </w:r>
    </w:p>
    <w:p>
      <w:pPr>
        <w:numPr>
          <w:ilvl w:val="0"/>
          <w:numId w:val="1003"/>
        </w:numPr>
        <w:pStyle w:val="Compact"/>
      </w:pPr>
      <w:r>
        <w:t xml:space="preserve">☐ Discussão §6.1:</w:t>
      </w:r>
      <w:r>
        <w:t xml:space="preserve"> </w:t>
      </w:r>
      <w:r>
        <w:t xml:space="preserve">“</w:t>
      </w:r>
      <w:r>
        <w:t xml:space="preserve">chance 78% maior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~43% mais prevalência (PR = 1,43; adultas vs. precoces 11–15)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Listas de figuras/tabelas: atualizar legendas da Tabela 10 e Figura 7.</w:t>
      </w:r>
    </w:p>
    <w:p>
      <w:pPr>
        <w:numPr>
          <w:ilvl w:val="0"/>
          <w:numId w:val="1003"/>
        </w:numPr>
        <w:pStyle w:val="Compact"/>
      </w:pPr>
      <w:r>
        <w:t xml:space="preserve">☐ (Opcional) Discussão/Limitações: justificar a escolha do PR.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4a1187e75d56795c4da2b210389e0f50b621860"/>
      <w:r>
        <w:t xml:space="preserve">6. Observação sobre artefatos gerados (fora do texto)</w:t>
      </w:r>
      <w:bookmarkEnd w:id="31"/>
    </w:p>
    <w:p>
      <w:pPr>
        <w:pStyle w:val="FirstParagraph"/>
      </w:pPr>
      <w:r>
        <w:t xml:space="preserve">O painel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 os exports</w:t>
      </w:r>
      <w:r>
        <w:t xml:space="preserve"> </w:t>
      </w:r>
      <w:r>
        <w:rPr>
          <w:rStyle w:val="VerbatimChar"/>
        </w:rPr>
        <w:t xml:space="preserve">RELATORIO_REVISAO_NUMERICA.{html,docx,pdf}</w:t>
      </w:r>
      <w:r>
        <w:t xml:space="preserve"> </w:t>
      </w:r>
      <w:r>
        <w:t xml:space="preserve">são</w:t>
      </w:r>
      <w:r>
        <w:t xml:space="preserve"> </w:t>
      </w:r>
      <w:r>
        <w:rPr>
          <w:b/>
        </w:rPr>
        <w:t xml:space="preserve">gerados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 </w:t>
      </w:r>
      <w:r>
        <w:t xml:space="preserve">e do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correspondente. 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e 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já estão em PR; os exports renderizados podem estar defasados. Para sincronizá-los:</w:t>
      </w:r>
      <w:r>
        <w:t xml:space="preserve"> </w:t>
      </w:r>
      <w:r>
        <w:rPr>
          <w:rStyle w:val="VerbatimChar"/>
        </w:rPr>
        <w:t xml:space="preserve">quarto render index.qmd</w:t>
      </w:r>
      <w:r>
        <w:t xml:space="preserve"> </w:t>
      </w:r>
      <w:r>
        <w:t xml:space="preserve">e re-exportar o relatório de revisão. Não afeta a dissertação,</w:t>
      </w:r>
      <w:r>
        <w:t xml:space="preserve"> </w:t>
      </w:r>
      <w:r>
        <w:t xml:space="preserve">mas convém regenerar antes de compartilhar o painel.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ec64f772726679926eba04befe221f48d2562b8"/>
      <w:r>
        <w:t xml:space="preserve">7. Para a Lê — os testes estatísticos em linguagem simples</w:t>
      </w:r>
      <w:bookmarkEnd w:id="32"/>
    </w:p>
    <w:p>
      <w:pPr>
        <w:pStyle w:val="FirstParagraph"/>
      </w:pPr>
      <w:r>
        <w:t xml:space="preserve">Esta seção explica, sem jargão,</w:t>
      </w:r>
      <w:r>
        <w:t xml:space="preserve"> </w:t>
      </w:r>
      <w:r>
        <w:rPr>
          <w:b/>
        </w:rPr>
        <w:t xml:space="preserve">o que cada teste faz, por que foi usado e como ler o</w:t>
      </w:r>
      <w:r>
        <w:rPr>
          <w:b/>
        </w:rPr>
        <w:t xml:space="preserve"> </w:t>
      </w:r>
      <w:r>
        <w:rPr>
          <w:b/>
        </w:rPr>
        <w:t xml:space="preserve">resultado</w:t>
      </w:r>
      <w:r>
        <w:t xml:space="preserve">. A ideia é que você consiga defender cada escolha na banca com suas próprias</w:t>
      </w:r>
      <w:r>
        <w:t xml:space="preserve"> </w:t>
      </w:r>
      <w:r>
        <w:t xml:space="preserve">palavras.</w:t>
      </w:r>
    </w:p>
    <w:p>
      <w:pPr>
        <w:pStyle w:val="Heading3"/>
      </w:pPr>
      <w:bookmarkStart w:id="33" w:name="X756c93f24e8b58e31dfc794aa6d99a413308b0a"/>
      <w:r>
        <w:t xml:space="preserve">7.1 Duas perguntas que toda estatística responde</w:t>
      </w:r>
      <w:bookmarkEnd w:id="33"/>
    </w:p>
    <w:p>
      <w:pPr>
        <w:pStyle w:val="FirstParagraph"/>
      </w:pPr>
      <w:r>
        <w:t xml:space="preserve">Quase tudo na dissertação gira em torno de duas perguntas: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Os grupos são diferentes de verdade, ou foi por acaso?</w:t>
      </w:r>
      <w:r>
        <w:rPr>
          <w:b/>
        </w:rPr>
        <w:t xml:space="preserve">”</w:t>
      </w:r>
      <w:r>
        <w:t xml:space="preserve"> </w:t>
      </w:r>
      <w:r>
        <w:t xml:space="preserve">→ quem responde isso é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p-valor</w:t>
      </w:r>
      <w:r>
        <w:t xml:space="preserve"> </w:t>
      </w:r>
      <w:r>
        <w:t xml:space="preserve">(testes de comparação).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Se há diferença, de que tamanho ela é?</w:t>
      </w:r>
      <w:r>
        <w:rPr>
          <w:b/>
        </w:rPr>
        <w:t xml:space="preserve">”</w:t>
      </w:r>
      <w:r>
        <w:t xml:space="preserve"> </w:t>
      </w:r>
      <w:r>
        <w:t xml:space="preserve">→ quem responde isso é a</w:t>
      </w:r>
      <w:r>
        <w:t xml:space="preserve"> </w:t>
      </w:r>
      <w:r>
        <w:rPr>
          <w:b/>
        </w:rPr>
        <w:t xml:space="preserve">medida de</w:t>
      </w:r>
      <w:r>
        <w:rPr>
          <w:b/>
        </w:rPr>
        <w:t xml:space="preserve"> </w:t>
      </w:r>
      <w:r>
        <w:rPr>
          <w:b/>
        </w:rPr>
        <w:t xml:space="preserve">efeito</w:t>
      </w:r>
      <w:r>
        <w:t xml:space="preserve"> </w:t>
      </w:r>
      <w:r>
        <w:t xml:space="preserve">(no nosso caso, a</w:t>
      </w:r>
      <w:r>
        <w:t xml:space="preserve"> </w:t>
      </w:r>
      <w:r>
        <w:rPr>
          <w:b/>
        </w:rPr>
        <w:t xml:space="preserve">Razão de Prevalência</w:t>
      </w:r>
      <w:r>
        <w:t xml:space="preserve">).</w:t>
      </w:r>
    </w:p>
    <w:p>
      <w:pPr>
        <w:pStyle w:val="FirstParagraph"/>
      </w:pPr>
      <w:r>
        <w:t xml:space="preserve">Você precisa das duas: uma diferença pode ser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(p pequeno) mas minúscula, ou</w:t>
      </w:r>
      <w:r>
        <w:t xml:space="preserve"> </w:t>
      </w:r>
      <w:r>
        <w:t xml:space="preserve">grande mas incerta. Por isso sempre reportamos as duas coisas juntas.</w:t>
      </w:r>
    </w:p>
    <w:p>
      <w:pPr>
        <w:pStyle w:val="Heading3"/>
      </w:pPr>
      <w:bookmarkStart w:id="34" w:name="o-p-valor-e-a-significância-de-5"/>
      <w:r>
        <w:t xml:space="preserve">7.2 O p-valor e a</w:t>
      </w:r>
      <w:r>
        <w:t xml:space="preserve"> </w:t>
      </w:r>
      <w:r>
        <w:t xml:space="preserve">“</w:t>
      </w:r>
      <w:r>
        <w:t xml:space="preserve">significância de 5%</w:t>
      </w:r>
      <w:r>
        <w:t xml:space="preserve">”</w:t>
      </w:r>
      <w:bookmarkEnd w:id="34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p-valor</w:t>
      </w:r>
      <w:r>
        <w:t xml:space="preserve"> </w:t>
      </w:r>
      <w:r>
        <w:t xml:space="preserve">é a probabilidade de você observar uma diferença tão grande quanto a sua</w:t>
      </w:r>
      <w:r>
        <w:t xml:space="preserve"> </w:t>
      </w:r>
      <w:r>
        <w:rPr>
          <w:b/>
        </w:rPr>
        <w:t xml:space="preserve">se, na verdade, não houvesse diferença nenhuma</w:t>
      </w:r>
      <w:r>
        <w:t xml:space="preserve"> </w:t>
      </w:r>
      <w:r>
        <w:t xml:space="preserve">entre os grupos. É um número entre 0 e 1.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 pequeno (&lt; 0,05)</w:t>
      </w:r>
      <w:r>
        <w:t xml:space="preserve"> </w:t>
      </w:r>
      <w:r>
        <w:t xml:space="preserve">= é improvável que o resultado seja só acaso → dizemos que a</w:t>
      </w:r>
      <w:r>
        <w:t xml:space="preserve"> </w:t>
      </w:r>
      <w:r>
        <w:t xml:space="preserve">diferença é</w:t>
      </w:r>
      <w:r>
        <w:t xml:space="preserve"> </w:t>
      </w:r>
      <w:r>
        <w:rPr>
          <w:b/>
        </w:rPr>
        <w:t xml:space="preserve">estatisticamente significativa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 grande (≥ 0,05)</w:t>
      </w:r>
      <w:r>
        <w:t xml:space="preserve"> </w:t>
      </w:r>
      <w:r>
        <w:t xml:space="preserve">= não dá para descartar o acaso →</w:t>
      </w:r>
      <w:r>
        <w:t xml:space="preserve"> </w:t>
      </w:r>
      <w:r>
        <w:t xml:space="preserve">“</w:t>
      </w:r>
      <w:r>
        <w:t xml:space="preserve">não significativo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O corte de</w:t>
      </w:r>
      <w:r>
        <w:t xml:space="preserve"> </w:t>
      </w:r>
      <w:r>
        <w:rPr>
          <w:b/>
        </w:rPr>
        <w:t xml:space="preserve">5% (0,05)</w:t>
      </w:r>
      <w:r>
        <w:t xml:space="preserve"> </w:t>
      </w:r>
      <w:r>
        <w:t xml:space="preserve">é a convenção que adotamos. Quando você lê</w:t>
      </w:r>
      <w:r>
        <w:t xml:space="preserve"> </w:t>
      </w:r>
      <w:r>
        <w:t xml:space="preserve">“</w:t>
      </w:r>
      <w:r>
        <w:t xml:space="preserve">p &lt; 0,001</w:t>
      </w:r>
      <w:r>
        <w:t xml:space="preserve">”</w:t>
      </w:r>
      <w:r>
        <w:t xml:space="preserve">, quer</w:t>
      </w:r>
      <w:r>
        <w:t xml:space="preserve"> </w:t>
      </w:r>
      <w:r>
        <w:t xml:space="preserve">dizer que a chance de ser acaso é menor que 1 em 1.000 — ou seja, um resultado muito</w:t>
      </w:r>
      <w:r>
        <w:t xml:space="preserve"> </w:t>
      </w:r>
      <w:r>
        <w:t xml:space="preserve">sólido.</w:t>
      </w:r>
      <w:r>
        <w:t xml:space="preserve"> </w:t>
      </w:r>
      <w:r>
        <w:rPr>
          <w:b/>
        </w:rPr>
        <w:t xml:space="preserve">Importante:</w:t>
      </w:r>
      <w:r>
        <w:t xml:space="preserve"> </w:t>
      </w:r>
      <w:r>
        <w:t xml:space="preserve">p &lt; 0,05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quer dizer que o efeito é grande, só que ele</w:t>
      </w:r>
      <w:r>
        <w:t xml:space="preserve"> </w:t>
      </w:r>
      <w:r>
        <w:t xml:space="preserve">provavelmente existe.</w:t>
      </w:r>
    </w:p>
    <w:p>
      <w:pPr>
        <w:pStyle w:val="Heading3"/>
      </w:pPr>
      <w:bookmarkStart w:id="35" w:name="Xec9b7aac97f1635037e3cafa4e6815110629ba6"/>
      <w:r>
        <w:t xml:space="preserve">7.3 Qui-quadrado de Pearson e teste exato de Fisher (comparar proporções)</w:t>
      </w:r>
      <w:bookmarkEnd w:id="35"/>
    </w:p>
    <w:p>
      <w:pPr>
        <w:pStyle w:val="FirstParagraph"/>
      </w:pPr>
      <w:r>
        <w:t xml:space="preserve">Usados quando as duas variáveis são</w:t>
      </w:r>
      <w:r>
        <w:t xml:space="preserve"> </w:t>
      </w:r>
      <w:r>
        <w:rPr>
          <w:b/>
        </w:rPr>
        <w:t xml:space="preserve">categorias</w:t>
      </w:r>
      <w:r>
        <w:t xml:space="preserve"> </w:t>
      </w:r>
      <w:r>
        <w:t xml:space="preserve">(ex.: faixa etária × tipo de parto).</w:t>
      </w:r>
      <w:r>
        <w:t xml:space="preserve"> </w:t>
      </w:r>
      <w:r>
        <w:t xml:space="preserve">A pergunta: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 proporção de cesárea é diferente entre adolescentes e adultas?</w:t>
      </w:r>
      <w:r>
        <w:rPr>
          <w:i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Qui-quadrado de Pearson:</w:t>
      </w:r>
      <w:r>
        <w:t xml:space="preserve"> </w:t>
      </w:r>
      <w:r>
        <w:t xml:space="preserve">compara o que você</w:t>
      </w:r>
      <w:r>
        <w:t xml:space="preserve"> </w:t>
      </w:r>
      <w:r>
        <w:rPr>
          <w:b/>
        </w:rPr>
        <w:t xml:space="preserve">observou</w:t>
      </w:r>
      <w:r>
        <w:t xml:space="preserve"> </w:t>
      </w:r>
      <w:r>
        <w:t xml:space="preserve">com o que seria</w:t>
      </w:r>
      <w:r>
        <w:t xml:space="preserve"> </w:t>
      </w:r>
      <w:r>
        <w:rPr>
          <w:b/>
        </w:rPr>
        <w:t xml:space="preserve">esperado se não houvesse associação</w:t>
      </w:r>
      <w:r>
        <w:t xml:space="preserve">. Se a diferença observado-vs-esperado for</w:t>
      </w:r>
      <w:r>
        <w:t xml:space="preserve"> </w:t>
      </w:r>
      <w:r>
        <w:t xml:space="preserve">grande, o p fica pequeno e concluímos que há associação.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Teste exato de Fisher:</w:t>
      </w:r>
      <w:r>
        <w:t xml:space="preserve"> </w:t>
      </w:r>
      <w:r>
        <w:t xml:space="preserve">faz o mesmo, mas é usado quando alguma</w:t>
      </w:r>
      <w:r>
        <w:t xml:space="preserve"> </w:t>
      </w:r>
      <w:r>
        <w:rPr>
          <w:b/>
        </w:rPr>
        <w:t xml:space="preserve">casela tem poucos</w:t>
      </w:r>
      <w:r>
        <w:rPr>
          <w:b/>
        </w:rPr>
        <w:t xml:space="preserve"> </w:t>
      </w:r>
      <w:r>
        <w:rPr>
          <w:b/>
        </w:rPr>
        <w:t xml:space="preserve">casos</w:t>
      </w:r>
      <w:r>
        <w:t xml:space="preserve"> </w:t>
      </w:r>
      <w:r>
        <w:t xml:space="preserve">(regra prática: contagens esperadas &lt; 5). Nesses casos o qui-quadrado fica</w:t>
      </w:r>
      <w:r>
        <w:t xml:space="preserve"> </w:t>
      </w:r>
      <w:r>
        <w:t xml:space="preserve">pouco confiável e o Fisher é mais correto. Por isso o texto diz</w:t>
      </w:r>
      <w:r>
        <w:t xml:space="preserve"> </w:t>
      </w:r>
      <w:r>
        <w:t xml:space="preserve">“</w:t>
      </w:r>
      <w:r>
        <w:t xml:space="preserve">qui-quadrado</w:t>
      </w:r>
      <w:r>
        <w:t xml:space="preserve"> </w:t>
      </w:r>
      <w:r>
        <w:rPr>
          <w:b/>
        </w:rPr>
        <w:t xml:space="preserve">ou</w:t>
      </w:r>
      <w:r>
        <w:t xml:space="preserve"> </w:t>
      </w:r>
      <w:r>
        <w:t xml:space="preserve">Fisher, conforme apropriado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</w:rPr>
        <w:t xml:space="preserve">Como ler:</w:t>
      </w:r>
      <w:r>
        <w:t xml:space="preserve"> </w:t>
      </w:r>
      <w:r>
        <w:t xml:space="preserve">“</w:t>
      </w:r>
      <w:r>
        <w:t xml:space="preserve">associação significativa entre faixa etária e via de parto (p &lt; 0,001)</w:t>
      </w:r>
      <w:r>
        <w:t xml:space="preserve">”</w:t>
      </w:r>
      <w:r>
        <w:t xml:space="preserve"> </w:t>
      </w:r>
      <w:r>
        <w:t xml:space="preserve">= a distribuição de partos realmente difere entre os grupos etários.</w:t>
      </w:r>
    </w:p>
    <w:p>
      <w:pPr>
        <w:pStyle w:val="Heading3"/>
      </w:pPr>
      <w:bookmarkStart w:id="36" w:name="Xeb06825302fcdda630901183f6da8b4e8656a19"/>
      <w:r>
        <w:t xml:space="preserve">7.4 Teste de Kolmogorov-Smirnov (a variável é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?)</w:t>
      </w:r>
      <w:bookmarkEnd w:id="36"/>
    </w:p>
    <w:p>
      <w:pPr>
        <w:pStyle w:val="FirstParagraph"/>
      </w:pPr>
      <w:r>
        <w:t xml:space="preserve">Para variáveis</w:t>
      </w:r>
      <w:r>
        <w:t xml:space="preserve"> </w:t>
      </w:r>
      <w:r>
        <w:rPr>
          <w:b/>
        </w:rPr>
        <w:t xml:space="preserve">numéricas</w:t>
      </w:r>
      <w:r>
        <w:t xml:space="preserve"> </w:t>
      </w:r>
      <w:r>
        <w:t xml:space="preserve">(ex.: idade, número de consultas, idade gestacional),</w:t>
      </w:r>
      <w:r>
        <w:t xml:space="preserve"> </w:t>
      </w:r>
      <w:r>
        <w:t xml:space="preserve">antes de resumir os dados precisamos saber se eles seguem a</w:t>
      </w:r>
      <w:r>
        <w:t xml:space="preserve"> </w:t>
      </w:r>
      <w:r>
        <w:rPr>
          <w:b/>
        </w:rPr>
        <w:t xml:space="preserve">curva normal</w:t>
      </w:r>
      <w:r>
        <w:t xml:space="preserve"> </w:t>
      </w:r>
      <w:r>
        <w:t xml:space="preserve">(o</w:t>
      </w:r>
      <w:r>
        <w:t xml:space="preserve"> </w:t>
      </w:r>
      <w:r>
        <w:t xml:space="preserve">“</w:t>
      </w:r>
      <w:r>
        <w:t xml:space="preserve">sino</w:t>
      </w:r>
      <w:r>
        <w:t xml:space="preserve">”</w:t>
      </w:r>
      <w:r>
        <w:t xml:space="preserve"> </w:t>
      </w:r>
      <w:r>
        <w:t xml:space="preserve">simétrico). O</w:t>
      </w:r>
      <w:r>
        <w:t xml:space="preserve"> </w:t>
      </w:r>
      <w:r>
        <w:rPr>
          <w:b/>
        </w:rPr>
        <w:t xml:space="preserve">Kolmogorov-Smirnov</w:t>
      </w:r>
      <w:r>
        <w:t xml:space="preserve"> </w:t>
      </w:r>
      <w:r>
        <w:t xml:space="preserve">testa exatamente isso.</w:t>
      </w:r>
    </w:p>
    <w:p>
      <w:pPr>
        <w:numPr>
          <w:ilvl w:val="0"/>
          <w:numId w:val="1007"/>
        </w:numPr>
        <w:pStyle w:val="Compact"/>
      </w:pPr>
      <w:r>
        <w:t xml:space="preserve">Se</w:t>
      </w:r>
      <w:r>
        <w:t xml:space="preserve"> </w:t>
      </w:r>
      <w:r>
        <w:rPr>
          <w:b/>
        </w:rPr>
        <w:t xml:space="preserve">é normal</w:t>
      </w:r>
      <w:r>
        <w:t xml:space="preserve"> </w:t>
      </w:r>
      <w:r>
        <w:t xml:space="preserve">→ resumimos com</w:t>
      </w:r>
      <w:r>
        <w:t xml:space="preserve"> </w:t>
      </w:r>
      <w:r>
        <w:rPr>
          <w:b/>
        </w:rPr>
        <w:t xml:space="preserve">média ± desvio-padrão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Se</w:t>
      </w:r>
      <w:r>
        <w:t xml:space="preserve"> </w:t>
      </w:r>
      <w:r>
        <w:rPr>
          <w:b/>
        </w:rPr>
        <w:t xml:space="preserve">não é normal</w:t>
      </w:r>
      <w:r>
        <w:t xml:space="preserve"> </w:t>
      </w:r>
      <w:r>
        <w:t xml:space="preserve">→ resumimos com</w:t>
      </w:r>
      <w:r>
        <w:t xml:space="preserve"> </w:t>
      </w:r>
      <w:r>
        <w:rPr>
          <w:b/>
        </w:rPr>
        <w:t xml:space="preserve">mediana e intervalo interquartil (IIQ)</w:t>
      </w:r>
      <w:r>
        <w:t xml:space="preserve">, que</w:t>
      </w:r>
      <w:r>
        <w:t xml:space="preserve"> </w:t>
      </w:r>
      <w:r>
        <w:t xml:space="preserve">são mais honestos quando há valores extremos.</w:t>
      </w:r>
    </w:p>
    <w:p>
      <w:pPr>
        <w:pStyle w:val="FirstParagraph"/>
      </w:pPr>
      <w:r>
        <w:t xml:space="preserve">É só um teste de</w:t>
      </w:r>
      <w:r>
        <w:t xml:space="preserve"> </w:t>
      </w:r>
      <w:r>
        <w:t xml:space="preserve">“</w:t>
      </w:r>
      <w:r>
        <w:t xml:space="preserve">qual resumo usar</w:t>
      </w:r>
      <w:r>
        <w:t xml:space="preserve">”</w:t>
      </w:r>
      <w:r>
        <w:t xml:space="preserve">, não um achado clínico em si.</w:t>
      </w:r>
    </w:p>
    <w:p>
      <w:pPr>
        <w:pStyle w:val="Heading3"/>
      </w:pPr>
      <w:bookmarkStart w:id="37" w:name="Xddf26cca5774e45ad76ecf425e3d298df2d9cfe"/>
      <w:r>
        <w:t xml:space="preserve">7.5 Comparar um número entre 3 grupos: os testes da Seção 5.1.6 (Número de consultas)</w:t>
      </w:r>
      <w:bookmarkEnd w:id="37"/>
    </w:p>
    <w:p>
      <w:pPr>
        <w:pStyle w:val="FirstParagraph"/>
      </w:pPr>
      <w:r>
        <w:t xml:space="preserve">A análise do</w:t>
      </w:r>
      <w:r>
        <w:t xml:space="preserve"> </w:t>
      </w:r>
      <w:r>
        <w:rPr>
          <w:b/>
        </w:rPr>
        <w:t xml:space="preserve">número de consultas de pré-natal</w:t>
      </w:r>
      <w:r>
        <w:t xml:space="preserve"> </w:t>
      </w:r>
      <w:r>
        <w:t xml:space="preserve">por faixa etária (Seção 5.1.6) usa um</w:t>
      </w:r>
      <w:r>
        <w:t xml:space="preserve"> </w:t>
      </w:r>
      <w:r>
        <w:t xml:space="preserve">conjunto específico de testes, porque a variável é</w:t>
      </w:r>
      <w:r>
        <w:t xml:space="preserve"> </w:t>
      </w:r>
      <w:r>
        <w:rPr>
          <w:b/>
        </w:rPr>
        <w:t xml:space="preserve">numérica</w:t>
      </w:r>
      <w:r>
        <w:t xml:space="preserve">, comparada entre</w:t>
      </w:r>
      <w:r>
        <w:t xml:space="preserve"> </w:t>
      </w:r>
      <w:r>
        <w:rPr>
          <w:b/>
        </w:rPr>
        <w:t xml:space="preserve">três</w:t>
      </w:r>
      <w:r>
        <w:rPr>
          <w:b/>
        </w:rPr>
        <w:t xml:space="preserve"> </w:t>
      </w:r>
      <w:r>
        <w:rPr>
          <w:b/>
        </w:rPr>
        <w:t xml:space="preserve">grupos</w:t>
      </w:r>
      <w:r>
        <w:t xml:space="preserve"> </w:t>
      </w:r>
      <w:r>
        <w:t xml:space="preserve">(precoces, tardias e adultas) e</w:t>
      </w:r>
      <w:r>
        <w:t xml:space="preserve"> </w:t>
      </w:r>
      <w:r>
        <w:rPr>
          <w:b/>
        </w:rPr>
        <w:t xml:space="preserve">não segue a curva normal</w:t>
      </w:r>
      <w:r>
        <w:t xml:space="preserve">. Esta é a</w:t>
      </w:r>
      <w:r>
        <w:t xml:space="preserve"> </w:t>
      </w:r>
      <w:r>
        <w:t xml:space="preserve">“</w:t>
      </w:r>
      <w:r>
        <w:t xml:space="preserve">caixa de ferramentas não-paramétrica</w:t>
      </w:r>
      <w:r>
        <w:t xml:space="preserve">”</w:t>
      </w:r>
      <w:r>
        <w:t xml:space="preserve">:</w:t>
      </w:r>
    </w:p>
    <w:p>
      <w:pPr>
        <w:pStyle w:val="BodyText"/>
      </w:pPr>
      <w:r>
        <w:rPr>
          <w:b/>
        </w:rPr>
        <w:t xml:space="preserve">a) Shapiro-Wilk — a variável é normal?</w:t>
      </w:r>
      <w:r>
        <w:t xml:space="preserve"> </w:t>
      </w:r>
      <w:r>
        <w:t xml:space="preserve">Mesmo papel do Kolmogorov-Smirnov (Seção 7.4): testa se os dados seguem o</w:t>
      </w:r>
      <w:r>
        <w:t xml:space="preserve"> </w:t>
      </w:r>
      <w:r>
        <w:t xml:space="preserve">“</w:t>
      </w:r>
      <w:r>
        <w:t xml:space="preserve">sino</w:t>
      </w:r>
      <w:r>
        <w:t xml:space="preserve">”</w:t>
      </w:r>
      <w:r>
        <w:t xml:space="preserve">. Aqui</w:t>
      </w:r>
      <w:r>
        <w:t xml:space="preserve"> </w:t>
      </w:r>
      <w:r>
        <w:t xml:space="preserve">deu</w:t>
      </w:r>
      <w:r>
        <w:t xml:space="preserve"> </w:t>
      </w:r>
      <w:r>
        <w:rPr>
          <w:b/>
        </w:rPr>
        <w:t xml:space="preserve">p &lt; 0,001 nos três grupos</w:t>
      </w:r>
      <w:r>
        <w:t xml:space="preserve">, ou seja,</w:t>
      </w:r>
      <w:r>
        <w:t xml:space="preserve"> </w:t>
      </w:r>
      <w:r>
        <w:rPr>
          <w:b/>
        </w:rPr>
        <w:t xml:space="preserve">não são normais</w:t>
      </w:r>
      <w:r>
        <w:t xml:space="preserve">. Por isso usamos a</w:t>
      </w:r>
      <w:r>
        <w:t xml:space="preserve"> </w:t>
      </w:r>
      <w:r>
        <w:t xml:space="preserve">mediana (não a média) e testes não-paramétricos. (Os dois testes de normalidade são</w:t>
      </w:r>
      <w:r>
        <w:t xml:space="preserve"> </w:t>
      </w:r>
      <w:r>
        <w:t xml:space="preserve">intercambiáveis; o Shapiro-Wilk costuma ser preferido em amostras menores.)</w:t>
      </w:r>
    </w:p>
    <w:p>
      <w:pPr>
        <w:pStyle w:val="BodyText"/>
      </w:pPr>
      <w:r>
        <w:rPr>
          <w:b/>
        </w:rPr>
        <w:t xml:space="preserve">b) Kruskal-Wallis — há diferença entre os 3 grupos?</w:t>
      </w:r>
      <w:r>
        <w:t xml:space="preserve"> </w:t>
      </w:r>
      <w:r>
        <w:t xml:space="preserve">É a versão não-paramétrica da comparação de médias entre vários grupos. Em vez de</w:t>
      </w:r>
      <w:r>
        <w:t xml:space="preserve"> </w:t>
      </w:r>
      <w:r>
        <w:t xml:space="preserve">comparar médias, ele compara a</w:t>
      </w:r>
      <w:r>
        <w:t xml:space="preserve"> </w:t>
      </w:r>
      <w:r>
        <w:rPr>
          <w:b/>
        </w:rPr>
        <w:t xml:space="preserve">posição (os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postos</w:t>
      </w:r>
      <w:r>
        <w:rPr>
          <w:b/>
        </w:rPr>
        <w:t xml:space="preserve">”</w:t>
      </w:r>
      <w:r>
        <w:rPr>
          <w:b/>
        </w:rPr>
        <w:t xml:space="preserve">) das observações</w:t>
      </w:r>
      <w:r>
        <w:t xml:space="preserve"> </w:t>
      </w:r>
      <w:r>
        <w:t xml:space="preserve">entre os</w:t>
      </w:r>
      <w:r>
        <w:t xml:space="preserve"> </w:t>
      </w:r>
      <w:r>
        <w:t xml:space="preserve">grupos. Responde: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 número de consultas difere entre pelo menos um par de faixas</w:t>
      </w:r>
      <w:r>
        <w:rPr>
          <w:i/>
        </w:rPr>
        <w:t xml:space="preserve"> </w:t>
      </w:r>
      <w:r>
        <w:rPr>
          <w:i/>
        </w:rPr>
        <w:t xml:space="preserve">etárias?</w:t>
      </w:r>
      <w:r>
        <w:rPr>
          <w:i/>
        </w:rPr>
        <w:t xml:space="preserve">”</w:t>
      </w:r>
      <w:r>
        <w:t xml:space="preserve"> </w:t>
      </w:r>
      <w:r>
        <w:t xml:space="preserve">Resultado:</w:t>
      </w:r>
      <w:r>
        <w:t xml:space="preserve"> </w:t>
      </w:r>
      <w:r>
        <w:rPr>
          <w:b/>
        </w:rPr>
        <w:t xml:space="preserve">H = 18,52; gl = 2; p &lt; 0,001</w:t>
      </w:r>
      <w:r>
        <w:t xml:space="preserve"> </w:t>
      </w:r>
      <w:r>
        <w:t xml:space="preserve">→ sim, existe diferença global.</w:t>
      </w:r>
      <w:r>
        <w:t xml:space="preserve"> </w:t>
      </w:r>
      <w:r>
        <w:t xml:space="preserve">É o</w:t>
      </w:r>
      <w:r>
        <w:t xml:space="preserve"> </w:t>
      </w:r>
      <w:r>
        <w:t xml:space="preserve">“</w:t>
      </w:r>
      <w:r>
        <w:t xml:space="preserve">irmão</w:t>
      </w:r>
      <w:r>
        <w:t xml:space="preserve">”</w:t>
      </w:r>
      <w:r>
        <w:t xml:space="preserve"> </w:t>
      </w:r>
      <w:r>
        <w:t xml:space="preserve">do qui-quadrado, mas para variáveis numéricas em vez de categorias.</w:t>
      </w:r>
    </w:p>
    <w:p>
      <w:pPr>
        <w:pStyle w:val="BodyText"/>
      </w:pPr>
      <w:r>
        <w:rPr>
          <w:b/>
        </w:rPr>
        <w:t xml:space="preserve">c) ε² (epsilon-quadrado) — a diferença é grande ou pequena?</w:t>
      </w:r>
      <w:r>
        <w:t xml:space="preserve"> </w:t>
      </w:r>
      <w:r>
        <w:t xml:space="preserve">O Kruskal-Wallis só diz que</w:t>
      </w:r>
      <w:r>
        <w:t xml:space="preserve"> </w:t>
      </w:r>
      <w:r>
        <w:rPr>
          <w:b/>
        </w:rPr>
        <w:t xml:space="preserve">existe</w:t>
      </w:r>
      <w:r>
        <w:t xml:space="preserve"> </w:t>
      </w:r>
      <w:r>
        <w:t xml:space="preserve">diferença, não o</w:t>
      </w:r>
      <w:r>
        <w:t xml:space="preserve"> </w:t>
      </w:r>
      <w:r>
        <w:rPr>
          <w:b/>
        </w:rPr>
        <w:t xml:space="preserve">tamanho</w:t>
      </w:r>
      <w:r>
        <w:t xml:space="preserve"> </w:t>
      </w:r>
      <w:r>
        <w:t xml:space="preserve">dela. O ε² mede isso:</w:t>
      </w:r>
      <w:r>
        <w:t xml:space="preserve"> </w:t>
      </w:r>
      <w:r>
        <w:t xml:space="preserve">vai de 0 a 1. Aqui</w:t>
      </w:r>
      <w:r>
        <w:t xml:space="preserve"> </w:t>
      </w:r>
      <w:r>
        <w:rPr>
          <w:b/>
        </w:rPr>
        <w:t xml:space="preserve">ε² = 0,003</w:t>
      </w:r>
      <w:r>
        <w:t xml:space="preserve">, um valor</w:t>
      </w:r>
      <w:r>
        <w:t xml:space="preserve"> </w:t>
      </w:r>
      <w:r>
        <w:rPr>
          <w:b/>
        </w:rPr>
        <w:t xml:space="preserve">praticamente nulo</w:t>
      </w:r>
      <w:r>
        <w:t xml:space="preserve"> </w:t>
      </w:r>
      <w:r>
        <w:t xml:space="preserve">— ou seja, a diferença</w:t>
      </w:r>
      <w:r>
        <w:t xml:space="preserve"> </w:t>
      </w:r>
      <w:r>
        <w:t xml:space="preserve">é real (não é acaso), mas tão pequena que tem pouca relevância prática.</w:t>
      </w:r>
      <w:r>
        <w:t xml:space="preserve"> </w:t>
      </w:r>
      <w:r>
        <w:rPr>
          <w:b/>
        </w:rPr>
        <w:t xml:space="preserve">Esse contraste</w:t>
      </w:r>
      <w:r>
        <w:rPr>
          <w:b/>
        </w:rPr>
        <w:t xml:space="preserve"> </w:t>
      </w:r>
      <w:r>
        <w:rPr>
          <w:b/>
        </w:rPr>
        <w:t xml:space="preserve">é importante de mencionar:</w:t>
      </w:r>
      <w:r>
        <w:t xml:space="preserve"> </w:t>
      </w:r>
      <w:r>
        <w:t xml:space="preserve">com amostra grande, até diferenças minúsculas viram</w:t>
      </w:r>
      <w:r>
        <w:t xml:space="preserve"> </w:t>
      </w:r>
      <w:r>
        <w:t xml:space="preserve">“</w:t>
      </w:r>
      <w:r>
        <w:t xml:space="preserve">significativas</w:t>
      </w:r>
      <w:r>
        <w:t xml:space="preserve">”</w:t>
      </w:r>
      <w:r>
        <w:t xml:space="preserve">; o tamanho de efeito é que mostra se importam.</w:t>
      </w:r>
    </w:p>
    <w:p>
      <w:pPr>
        <w:pStyle w:val="BodyText"/>
      </w:pPr>
      <w:r>
        <w:rPr>
          <w:b/>
        </w:rPr>
        <w:t xml:space="preserve">d) Post-hoc de Dunn com correção de Holm — entre QUAIS grupos está a diferença?</w:t>
      </w:r>
      <w:r>
        <w:t xml:space="preserve"> </w:t>
      </w:r>
      <w:r>
        <w:t xml:space="preserve">O Kruskal-Wallis diz que há diferença em algum lugar, mas não onde. O</w:t>
      </w:r>
      <w:r>
        <w:t xml:space="preserve"> </w:t>
      </w:r>
      <w:r>
        <w:rPr>
          <w:b/>
        </w:rPr>
        <w:t xml:space="preserve">teste de Dunn</w:t>
      </w:r>
      <w:r>
        <w:t xml:space="preserve"> </w:t>
      </w:r>
      <w:r>
        <w:t xml:space="preserve">compara os grupos</w:t>
      </w:r>
      <w:r>
        <w:t xml:space="preserve"> </w:t>
      </w:r>
      <w:r>
        <w:rPr>
          <w:b/>
        </w:rPr>
        <w:t xml:space="preserve">dois a dois</w:t>
      </w:r>
      <w:r>
        <w:t xml:space="preserve"> </w:t>
      </w:r>
      <w:r>
        <w:t xml:space="preserve">(precoces vs. tardias, precoces vs. adultas, tardias</w:t>
      </w:r>
      <w:r>
        <w:t xml:space="preserve"> </w:t>
      </w:r>
      <w:r>
        <w:t xml:space="preserve">vs. adultas) para localizar a diferença. Como fazer várias comparações ao mesmo tempo</w:t>
      </w:r>
      <w:r>
        <w:t xml:space="preserve"> </w:t>
      </w:r>
      <w:r>
        <w:t xml:space="preserve">aumenta a chance de um</w:t>
      </w:r>
      <w:r>
        <w:t xml:space="preserve"> </w:t>
      </w:r>
      <w:r>
        <w:t xml:space="preserve">“</w:t>
      </w:r>
      <w:r>
        <w:t xml:space="preserve">falso positivo</w:t>
      </w:r>
      <w:r>
        <w:t xml:space="preserve">”</w:t>
      </w:r>
      <w:r>
        <w:t xml:space="preserve">, aplica-se a</w:t>
      </w:r>
      <w:r>
        <w:t xml:space="preserve"> </w:t>
      </w:r>
      <w:r>
        <w:rPr>
          <w:b/>
        </w:rPr>
        <w:t xml:space="preserve">correção de Holm</w:t>
      </w:r>
      <w:r>
        <w:t xml:space="preserve">, que torna o</w:t>
      </w:r>
      <w:r>
        <w:t xml:space="preserve"> </w:t>
      </w:r>
      <w:r>
        <w:t xml:space="preserve">critério mais rígido para compensar. Resultado: precoces fizeram menos consultas que</w:t>
      </w:r>
      <w:r>
        <w:t xml:space="preserve"> </w:t>
      </w:r>
      <w:r>
        <w:t xml:space="preserve">adultas (p &lt; 0,001) e que tardias (p = 0,045); entre tardias e adultas não houve</w:t>
      </w:r>
      <w:r>
        <w:t xml:space="preserve"> </w:t>
      </w:r>
      <w:r>
        <w:t xml:space="preserve">diferença (p = 0,131).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Ressalva que precisa aparecer no texto:</w:t>
      </w:r>
      <w:r>
        <w:t xml:space="preserve"> </w:t>
      </w:r>
      <w:r>
        <w:t xml:space="preserve">essa variável tem</w:t>
      </w:r>
      <w:r>
        <w:t xml:space="preserve"> </w:t>
      </w:r>
      <w:r>
        <w:rPr>
          <w:b/>
        </w:rPr>
        <w:t xml:space="preserve">muitos dados</w:t>
      </w:r>
      <w:r>
        <w:rPr>
          <w:b/>
        </w:rPr>
        <w:t xml:space="preserve"> </w:t>
      </w:r>
      <w:r>
        <w:rPr>
          <w:b/>
        </w:rPr>
        <w:t xml:space="preserve">ausentes e de forma desigual</w:t>
      </w:r>
      <w:r>
        <w:t xml:space="preserve"> </w:t>
      </w:r>
      <w:r>
        <w:t xml:space="preserve">— faltou em ~61% das adolescentes contra ~11% das</w:t>
      </w:r>
      <w:r>
        <w:t xml:space="preserve"> </w:t>
      </w:r>
      <w:r>
        <w:t xml:space="preserve">adultas. Então a comparação se apoia em poucas adolescentes (210 precoces, 322</w:t>
      </w:r>
      <w:r>
        <w:t xml:space="preserve"> </w:t>
      </w:r>
      <w:r>
        <w:t xml:space="preserve">tardias) e pode estar enviesada. Reporte sempre o</w:t>
      </w:r>
      <w:r>
        <w:t xml:space="preserve"> </w:t>
      </w:r>
      <w:r>
        <w:rPr>
          <w:b/>
        </w:rPr>
        <w:t xml:space="preserve">n válido e o % de ausência por</w:t>
      </w:r>
      <w:r>
        <w:rPr>
          <w:b/>
        </w:rPr>
        <w:t xml:space="preserve"> </w:t>
      </w:r>
      <w:r>
        <w:rPr>
          <w:b/>
        </w:rPr>
        <w:t xml:space="preserve">grupo</w:t>
      </w:r>
      <w:r>
        <w:t xml:space="preserve"> </w:t>
      </w:r>
      <w:r>
        <w:t xml:space="preserve">e trate o achado com cautela — ainda mais porque o efeito é desprezível</w:t>
      </w:r>
      <w:r>
        <w:t xml:space="preserve"> </w:t>
      </w:r>
      <w:r>
        <w:t xml:space="preserve">(ε² = 0,003). Texto pronto está em</w:t>
      </w:r>
      <w:r>
        <w:t xml:space="preserve"> </w:t>
      </w:r>
      <w:r>
        <w:rPr>
          <w:rStyle w:val="VerbatimChar"/>
        </w:rPr>
        <w:t xml:space="preserve">results/RESUMO_consultas_faixa_etaria.md</w:t>
      </w:r>
      <w:r>
        <w:t xml:space="preserve">.</w:t>
      </w:r>
    </w:p>
    <w:p>
      <w:pPr>
        <w:pStyle w:val="Heading3"/>
      </w:pPr>
      <w:bookmarkStart w:id="38" w:name="X7dcb6f2c494cb1a5223e3ce3b0c78c94c952538"/>
      <w:r>
        <w:t xml:space="preserve">7.6 A Classificação de Robson (organizar antes de comparar)</w:t>
      </w:r>
      <w:bookmarkEnd w:id="38"/>
    </w:p>
    <w:p>
      <w:pPr>
        <w:pStyle w:val="FirstParagraph"/>
      </w:pPr>
      <w:r>
        <w:t xml:space="preserve">Não é um teste estatístico, e sim uma</w:t>
      </w:r>
      <w:r>
        <w:t xml:space="preserve"> </w:t>
      </w:r>
      <w:r>
        <w:rPr>
          <w:b/>
        </w:rPr>
        <w:t xml:space="preserve">forma de agrupar</w:t>
      </w:r>
      <w:r>
        <w:t xml:space="preserve"> </w:t>
      </w:r>
      <w:r>
        <w:t xml:space="preserve">as gestantes em 10 grupos</w:t>
      </w:r>
      <w:r>
        <w:t xml:space="preserve"> </w:t>
      </w:r>
      <w:r>
        <w:t xml:space="preserve">segundo características objetivas (paridade, cesárea prévia, início do parto,</w:t>
      </w:r>
      <w:r>
        <w:t xml:space="preserve"> </w:t>
      </w:r>
      <w:r>
        <w:t xml:space="preserve">apresentação, número de fetos, idade gestacional). É o padrão da OMS.</w:t>
      </w:r>
    </w:p>
    <w:p>
      <w:pPr>
        <w:pStyle w:val="BodyText"/>
      </w:pPr>
      <w:r>
        <w:rPr>
          <w:b/>
        </w:rPr>
        <w:t xml:space="preserve">Por que importa:</w:t>
      </w:r>
      <w:r>
        <w:t xml:space="preserve"> </w:t>
      </w:r>
      <w:r>
        <w:t xml:space="preserve">comparar a taxa de cesárea</w:t>
      </w:r>
      <w:r>
        <w:t xml:space="preserve"> </w:t>
      </w:r>
      <w:r>
        <w:t xml:space="preserve">“</w:t>
      </w:r>
      <w:r>
        <w:t xml:space="preserve">crua</w:t>
      </w:r>
      <w:r>
        <w:t xml:space="preserve">”</w:t>
      </w:r>
      <w:r>
        <w:t xml:space="preserve"> </w:t>
      </w:r>
      <w:r>
        <w:t xml:space="preserve">entre adolescentes e adultas</w:t>
      </w:r>
      <w:r>
        <w:t xml:space="preserve"> </w:t>
      </w:r>
      <w:r>
        <w:t xml:space="preserve">seria injusto, porque as adultas têm mais cesárea prévia, mais gravidez múltipla, etc.</w:t>
      </w:r>
      <w:r>
        <w:t xml:space="preserve"> </w:t>
      </w:r>
      <w:r>
        <w:t xml:space="preserve">Ao comparar</w:t>
      </w:r>
      <w:r>
        <w:t xml:space="preserve"> </w:t>
      </w:r>
      <w:r>
        <w:rPr>
          <w:b/>
        </w:rPr>
        <w:t xml:space="preserve">dentro de cada grupo de Robson</w:t>
      </w:r>
      <w:r>
        <w:t xml:space="preserve">, você compara situações clínicas</w:t>
      </w:r>
      <w:r>
        <w:t xml:space="preserve"> </w:t>
      </w:r>
      <w:r>
        <w:t xml:space="preserve">parecidas — é como comparar</w:t>
      </w:r>
      <w:r>
        <w:t xml:space="preserve"> </w:t>
      </w:r>
      <w:r>
        <w:t xml:space="preserve">“</w:t>
      </w:r>
      <w:r>
        <w:t xml:space="preserve">laranja com laranja</w:t>
      </w:r>
      <w:r>
        <w:t xml:space="preserve">”</w:t>
      </w:r>
      <w:r>
        <w:t xml:space="preserve">. Foi isso que permitiu mostrar que a</w:t>
      </w:r>
      <w:r>
        <w:t xml:space="preserve"> </w:t>
      </w:r>
      <w:r>
        <w:t xml:space="preserve">diferença por idade não é só efeito da composição dos grupos.</w:t>
      </w:r>
    </w:p>
    <w:p>
      <w:pPr>
        <w:pStyle w:val="Heading3"/>
      </w:pPr>
      <w:bookmarkStart w:id="39" w:name="X7f6f8bd36d38d1184d91454d3ea64e4259b363b"/>
      <w:r>
        <w:t xml:space="preserve">7.7 A medida de efeito: Razão de Prevalência (PR) — a estrela da revisão</w:t>
      </w:r>
      <w:bookmarkEnd w:id="39"/>
    </w:p>
    <w:p>
      <w:pPr>
        <w:pStyle w:val="FirstParagraph"/>
      </w:pPr>
      <w:r>
        <w:t xml:space="preserve">Depois de saber que</w:t>
      </w:r>
      <w:r>
        <w:t xml:space="preserve"> </w:t>
      </w:r>
      <w:r>
        <w:rPr>
          <w:b/>
        </w:rPr>
        <w:t xml:space="preserve">existe</w:t>
      </w:r>
      <w:r>
        <w:t xml:space="preserve"> </w:t>
      </w:r>
      <w:r>
        <w:t xml:space="preserve">diferença (p-valor), queremos saber o</w:t>
      </w:r>
      <w:r>
        <w:t xml:space="preserve"> </w:t>
      </w:r>
      <w:r>
        <w:rPr>
          <w:b/>
        </w:rPr>
        <w:t xml:space="preserve">tamanho</w:t>
      </w:r>
      <w:r>
        <w:t xml:space="preserve"> </w:t>
      </w:r>
      <w:r>
        <w:t xml:space="preserve">dela.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Razão de Prevalência (PR)</w:t>
      </w:r>
      <w:r>
        <w:t xml:space="preserve"> </w:t>
      </w:r>
      <w:r>
        <w:t xml:space="preserve">faz isso de forma direta:</w:t>
      </w:r>
    </w:p>
    <w:p>
      <w:pPr>
        <w:pStyle w:val="BlockText"/>
      </w:pPr>
      <w:r>
        <w:rPr>
          <w:b/>
        </w:rPr>
        <w:t xml:space="preserve">PR = prevalência de cesárea no grupo exposto ÷ prevalência no grupo de referência.</w:t>
      </w:r>
    </w:p>
    <w:p>
      <w:pPr>
        <w:pStyle w:val="FirstParagraph"/>
      </w:pPr>
      <w:r>
        <w:t xml:space="preserve">Leitura por exemplos: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 = 1,43</w:t>
      </w:r>
      <w:r>
        <w:t xml:space="preserve"> </w:t>
      </w:r>
      <w:r>
        <w:t xml:space="preserve">(adultas 20–34 vs. precoces 11–15) → as adultas têm</w:t>
      </w:r>
      <w:r>
        <w:t xml:space="preserve"> </w:t>
      </w:r>
      <w:r>
        <w:rPr>
          <w:b/>
        </w:rPr>
        <w:t xml:space="preserve">43% mais</w:t>
      </w:r>
      <w:r>
        <w:t xml:space="preserve"> </w:t>
      </w:r>
      <w:r>
        <w:t xml:space="preserve">cesárea.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 = 2,40</w:t>
      </w:r>
      <w:r>
        <w:t xml:space="preserve"> </w:t>
      </w:r>
      <w:r>
        <w:t xml:space="preserve">(Robson 5) → esse grupo tem</w:t>
      </w:r>
      <w:r>
        <w:t xml:space="preserve"> </w:t>
      </w:r>
      <w:r>
        <w:rPr>
          <w:b/>
        </w:rPr>
        <w:t xml:space="preserve">2,4 vezes</w:t>
      </w:r>
      <w:r>
        <w:t xml:space="preserve"> </w:t>
      </w:r>
      <w:r>
        <w:t xml:space="preserve">a prevalência de cesárea do</w:t>
      </w:r>
      <w:r>
        <w:t xml:space="preserve"> </w:t>
      </w:r>
      <w:r>
        <w:t xml:space="preserve">grupo de referência.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 = 0,60</w:t>
      </w:r>
      <w:r>
        <w:t xml:space="preserve"> </w:t>
      </w:r>
      <w:r>
        <w:t xml:space="preserve">(Robson 3) → esse grupo tem</w:t>
      </w:r>
      <w:r>
        <w:t xml:space="preserve"> </w:t>
      </w:r>
      <w:r>
        <w:rPr>
          <w:b/>
        </w:rPr>
        <w:t xml:space="preserve">40% menos</w:t>
      </w:r>
      <w:r>
        <w:t xml:space="preserve"> </w:t>
      </w:r>
      <w:r>
        <w:t xml:space="preserve">cesárea (PR abaixo de 1 =</w:t>
      </w:r>
      <w:r>
        <w:t xml:space="preserve"> </w:t>
      </w:r>
      <w:r>
        <w:t xml:space="preserve">fator de proteção).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 = 1</w:t>
      </w:r>
      <w:r>
        <w:t xml:space="preserve"> </w:t>
      </w:r>
      <w:r>
        <w:t xml:space="preserve">→ nenhuma diferença.</w:t>
      </w:r>
    </w:p>
    <w:p>
      <w:pPr>
        <w:pStyle w:val="FirstParagraph"/>
      </w:pPr>
      <w:r>
        <w:t xml:space="preserve">A PR vem acompanhada de um</w:t>
      </w:r>
      <w:r>
        <w:t xml:space="preserve"> </w:t>
      </w:r>
      <w:r>
        <w:rPr>
          <w:b/>
        </w:rPr>
        <w:t xml:space="preserve">intervalo de confiança de 95% (IC 95%)</w:t>
      </w:r>
      <w:r>
        <w:t xml:space="preserve"> </w:t>
      </w:r>
      <w:r>
        <w:t xml:space="preserve">— a faixa de</w:t>
      </w:r>
      <w:r>
        <w:t xml:space="preserve"> </w:t>
      </w:r>
      <w:r>
        <w:t xml:space="preserve">valores plausíveis. Ex.: PR 1,43 (IC 1,24–1,65) significa</w:t>
      </w:r>
      <w:r>
        <w:t xml:space="preserve"> </w:t>
      </w:r>
      <w:r>
        <w:t xml:space="preserve">“</w:t>
      </w:r>
      <w:r>
        <w:t xml:space="preserve">o valor mais provável é 1,43,</w:t>
      </w:r>
      <w:r>
        <w:t xml:space="preserve"> </w:t>
      </w:r>
      <w:r>
        <w:t xml:space="preserve">e quase certamente está entre 1,24 e 1,65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Se o IC não cruza o 1, o efeito é</w:t>
      </w:r>
      <w:r>
        <w:rPr>
          <w:b/>
        </w:rPr>
        <w:t xml:space="preserve"> </w:t>
      </w:r>
      <w:r>
        <w:rPr>
          <w:b/>
        </w:rPr>
        <w:t xml:space="preserve">significativo.</w:t>
      </w:r>
    </w:p>
    <w:p>
      <w:pPr>
        <w:pStyle w:val="Heading3"/>
      </w:pPr>
      <w:bookmarkStart w:id="40" w:name="por-que-trocamos-o-odds-ratio-or-pela-pr"/>
      <w:r>
        <w:t xml:space="preserve">7.8 Por que trocamos o Odds Ratio (OR) pela PR</w:t>
      </w:r>
      <w:bookmarkEnd w:id="40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Odds Ratio (OR)</w:t>
      </w:r>
      <w:r>
        <w:t xml:space="preserve"> </w:t>
      </w:r>
      <w:r>
        <w:t xml:space="preserve">é uma</w:t>
      </w:r>
      <w:r>
        <w:t xml:space="preserve"> </w:t>
      </w:r>
      <w:r>
        <w:t xml:space="preserve">“</w:t>
      </w:r>
      <w:r>
        <w:t xml:space="preserve">razão de chances</w:t>
      </w:r>
      <w:r>
        <w:t xml:space="preserve">”</w:t>
      </w:r>
      <w:r>
        <w:t xml:space="preserve">. Ele é uma boa aproximação do risco</w:t>
      </w:r>
      <w:r>
        <w:t xml:space="preserve"> </w:t>
      </w:r>
      <w:r>
        <w:rPr>
          <w:b/>
        </w:rPr>
        <w:t xml:space="preserve">só quando o desfecho é raro</w:t>
      </w:r>
      <w:r>
        <w:t xml:space="preserve"> </w:t>
      </w:r>
      <w:r>
        <w:t xml:space="preserve">(&lt; ~10% dos casos). A cesárea aqui acontece em</w:t>
      </w:r>
      <w:r>
        <w:t xml:space="preserve"> </w:t>
      </w:r>
      <w:r>
        <w:rPr>
          <w:b/>
        </w:rPr>
        <w:t xml:space="preserve">~56%</w:t>
      </w:r>
      <w:r>
        <w:t xml:space="preserve"> </w:t>
      </w:r>
      <w:r>
        <w:t xml:space="preserve">das gestantes — está longe de ser rara. Nesse cenário, o</w:t>
      </w:r>
      <w:r>
        <w:t xml:space="preserve"> </w:t>
      </w:r>
      <w:r>
        <w:rPr>
          <w:b/>
        </w:rPr>
        <w:t xml:space="preserve">OR exagera</w:t>
      </w:r>
      <w:r>
        <w:t xml:space="preserve"> </w:t>
      </w:r>
      <w:r>
        <w:t xml:space="preserve">o tamanho do</w:t>
      </w:r>
      <w:r>
        <w:t xml:space="preserve"> </w:t>
      </w:r>
      <w:r>
        <w:t xml:space="preserve">efeito.</w:t>
      </w:r>
    </w:p>
    <w:p>
      <w:pPr>
        <w:pStyle w:val="BodyText"/>
      </w:pPr>
      <w:r>
        <w:t xml:space="preserve">Foi exatamente o que aconteceu: o OR dizia que o Robson 5 multiplicava o desfecho por</w:t>
      </w:r>
      <w:r>
        <w:t xml:space="preserve"> </w:t>
      </w:r>
      <w:r>
        <w:rPr>
          <w:b/>
        </w:rPr>
        <w:t xml:space="preserve">12,8</w:t>
      </w:r>
      <w:r>
        <w:t xml:space="preserve">; em PR, o efeito real é de</w:t>
      </w:r>
      <w:r>
        <w:t xml:space="preserve"> </w:t>
      </w:r>
      <w:r>
        <w:rPr>
          <w:b/>
        </w:rPr>
        <w:t xml:space="preserve">~2,4×</w:t>
      </w:r>
      <w:r>
        <w:t xml:space="preserve"> </w:t>
      </w:r>
      <w:r>
        <w:t xml:space="preserve">a prevalência. A direção e a significância</w:t>
      </w:r>
      <w:r>
        <w:t xml:space="preserve"> </w:t>
      </w:r>
      <w:r>
        <w:t xml:space="preserve">continuam as mesmas — só a magnitude ficou</w:t>
      </w:r>
      <w:r>
        <w:t xml:space="preserve"> </w:t>
      </w:r>
      <w:r>
        <w:rPr>
          <w:b/>
        </w:rPr>
        <w:t xml:space="preserve">realista</w:t>
      </w:r>
      <w:r>
        <w:t xml:space="preserve">. Por isso a PR é a medida</w:t>
      </w:r>
      <w:r>
        <w:t xml:space="preserve"> </w:t>
      </w:r>
      <w:r>
        <w:t xml:space="preserve">recomendada para desfechos comuns, e é a que vai na dissertação.</w:t>
      </w:r>
    </w:p>
    <w:p>
      <w:pPr>
        <w:pStyle w:val="Heading3"/>
      </w:pPr>
      <w:bookmarkStart w:id="41" w:name="X02e6d7cde0a91a94b324f32f77edf75562a4305"/>
      <w:r>
        <w:t xml:space="preserve">7.9 Como a PR foi calculada (regressão de Poisson com variância robusta)</w:t>
      </w:r>
      <w:bookmarkEnd w:id="41"/>
    </w:p>
    <w:p>
      <w:pPr>
        <w:pStyle w:val="FirstParagraph"/>
      </w:pPr>
      <w:r>
        <w:t xml:space="preserve">Para estimar a PR</w:t>
      </w:r>
      <w:r>
        <w:t xml:space="preserve"> </w:t>
      </w:r>
      <w:r>
        <w:rPr>
          <w:b/>
        </w:rPr>
        <w:t xml:space="preserve">ajustando várias variáveis ao mesmo tempo</w:t>
      </w:r>
      <w:r>
        <w:t xml:space="preserve"> </w:t>
      </w:r>
      <w:r>
        <w:t xml:space="preserve">(idade + DHEG + Robson),</w:t>
      </w:r>
      <w:r>
        <w:t xml:space="preserve"> </w:t>
      </w:r>
      <w:r>
        <w:t xml:space="preserve">usamos um método chamado</w:t>
      </w:r>
      <w:r>
        <w:t xml:space="preserve"> </w:t>
      </w:r>
      <w:r>
        <w:rPr>
          <w:b/>
        </w:rPr>
        <w:t xml:space="preserve">regressão de Poisson com variância robusta</w:t>
      </w:r>
      <w:r>
        <w:t xml:space="preserve"> </w:t>
      </w:r>
      <w:r>
        <w:t xml:space="preserve">— também</w:t>
      </w:r>
      <w:r>
        <w:t xml:space="preserve"> </w:t>
      </w:r>
      <w:r>
        <w:t xml:space="preserve">conhecido como</w:t>
      </w:r>
      <w:r>
        <w:t xml:space="preserve"> </w:t>
      </w:r>
      <w:r>
        <w:rPr>
          <w:i/>
        </w:rPr>
        <w:t xml:space="preserve">modified Poisson</w:t>
      </w:r>
      <w:r>
        <w:t xml:space="preserve"> </w:t>
      </w:r>
      <w:r>
        <w:t xml:space="preserve">de</w:t>
      </w:r>
      <w:r>
        <w:t xml:space="preserve"> </w:t>
      </w:r>
      <w:r>
        <w:rPr>
          <w:b/>
        </w:rPr>
        <w:t xml:space="preserve">Zou (2004)</w:t>
      </w:r>
      <w:r>
        <w:t xml:space="preserve">. Em termos simples:</w:t>
      </w:r>
    </w:p>
    <w:p>
      <w:pPr>
        <w:numPr>
          <w:ilvl w:val="0"/>
          <w:numId w:val="1009"/>
        </w:numPr>
        <w:pStyle w:val="Compact"/>
      </w:pPr>
      <w:r>
        <w:t xml:space="preserve">A regressão</w:t>
      </w:r>
      <w:r>
        <w:t xml:space="preserve"> </w:t>
      </w:r>
      <w:r>
        <w:t xml:space="preserve">“</w:t>
      </w:r>
      <w:r>
        <w:t xml:space="preserve">segura</w:t>
      </w:r>
      <w:r>
        <w:t xml:space="preserve">”</w:t>
      </w:r>
      <w:r>
        <w:t xml:space="preserve"> </w:t>
      </w:r>
      <w:r>
        <w:t xml:space="preserve">o efeito das outras variáveis, isolando o efeito</w:t>
      </w:r>
      <w:r>
        <w:t xml:space="preserve"> </w:t>
      </w:r>
      <w:r>
        <w:rPr>
          <w:b/>
        </w:rPr>
        <w:t xml:space="preserve">só da idade</w:t>
      </w:r>
      <w:r>
        <w:t xml:space="preserve"> </w:t>
      </w:r>
      <w:r>
        <w:t xml:space="preserve">(é o que chamamos de fator</w:t>
      </w:r>
      <w:r>
        <w:t xml:space="preserve"> </w:t>
      </w:r>
      <w:r>
        <w:rPr>
          <w:b/>
        </w:rPr>
        <w:t xml:space="preserve">independente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O ajuste</w:t>
      </w:r>
      <w:r>
        <w:t xml:space="preserve"> </w:t>
      </w:r>
      <w:r>
        <w:t xml:space="preserve">“</w:t>
      </w:r>
      <w:r>
        <w:t xml:space="preserve">robusto</w:t>
      </w:r>
      <w:r>
        <w:t xml:space="preserve">”</w:t>
      </w:r>
      <w:r>
        <w:t xml:space="preserve"> </w:t>
      </w:r>
      <w:r>
        <w:t xml:space="preserve">corrige um detalhe técnico para que os intervalos de confiança</w:t>
      </w:r>
      <w:r>
        <w:t xml:space="preserve"> </w:t>
      </w:r>
      <w:r>
        <w:t xml:space="preserve">fiquem corretos. O resultado já sai diretamente como PR.</w:t>
      </w:r>
    </w:p>
    <w:p>
      <w:pPr>
        <w:pStyle w:val="FirstParagraph"/>
      </w:pPr>
      <w:r>
        <w:t xml:space="preserve">Você não precisa calcular nada disso — está pronto no R. Basta saber dizer: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 Razão de</w:t>
      </w:r>
      <w:r>
        <w:rPr>
          <w:i/>
        </w:rPr>
        <w:t xml:space="preserve"> </w:t>
      </w:r>
      <w:r>
        <w:rPr>
          <w:i/>
        </w:rPr>
        <w:t xml:space="preserve">Prevalência foi estimada por regressão de Poisson com variância robusta, indicada para</w:t>
      </w:r>
      <w:r>
        <w:rPr>
          <w:i/>
        </w:rPr>
        <w:t xml:space="preserve"> </w:t>
      </w:r>
      <w:r>
        <w:rPr>
          <w:i/>
        </w:rPr>
        <w:t xml:space="preserve">desfechos de alta prevalência.</w:t>
      </w:r>
      <w:r>
        <w:rPr>
          <w:i/>
        </w:rPr>
        <w:t xml:space="preserve">”</w:t>
      </w:r>
    </w:p>
    <w:p>
      <w:pPr>
        <w:pStyle w:val="Heading3"/>
      </w:pPr>
      <w:bookmarkStart w:id="42" w:name="X4aad35942ff8e9834842cd6edf1bb583e70b58a"/>
      <w:r>
        <w:t xml:space="preserve">7.10 Os modelos preditivos (objetivo 6) — como saber se</w:t>
      </w:r>
      <w:r>
        <w:t xml:space="preserve"> </w:t>
      </w:r>
      <w:r>
        <w:t xml:space="preserve">“</w:t>
      </w:r>
      <w:r>
        <w:t xml:space="preserve">preveem bem</w:t>
      </w:r>
      <w:r>
        <w:t xml:space="preserve">”</w:t>
      </w:r>
      <w:bookmarkEnd w:id="42"/>
    </w:p>
    <w:p>
      <w:pPr>
        <w:pStyle w:val="FirstParagraph"/>
      </w:pPr>
      <w:r>
        <w:t xml:space="preserve">Os três modelos (A, B e C) tentam</w:t>
      </w:r>
      <w:r>
        <w:t xml:space="preserve"> </w:t>
      </w:r>
      <w:r>
        <w:rPr>
          <w:b/>
        </w:rPr>
        <w:t xml:space="preserve">prever</w:t>
      </w:r>
      <w:r>
        <w:t xml:space="preserve"> </w:t>
      </w:r>
      <w:r>
        <w:t xml:space="preserve">quem terá cesárea. Para avaliar o quão bem</w:t>
      </w:r>
      <w:r>
        <w:t xml:space="preserve"> </w:t>
      </w:r>
      <w:r>
        <w:t xml:space="preserve">eles acertam, usamos: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AUC (área sob a curva ROC):</w:t>
      </w:r>
      <w:r>
        <w:t xml:space="preserve"> </w:t>
      </w:r>
      <w:r>
        <w:t xml:space="preserve">vai de 0,5 (chute) a 1,0 (perfeito). Mede a capacidade</w:t>
      </w:r>
      <w:r>
        <w:t xml:space="preserve"> </w:t>
      </w:r>
      <w:r>
        <w:t xml:space="preserve">de</w:t>
      </w:r>
      <w:r>
        <w:t xml:space="preserve"> </w:t>
      </w:r>
      <w:r>
        <w:rPr>
          <w:b/>
        </w:rPr>
        <w:t xml:space="preserve">distinguir</w:t>
      </w:r>
      <w:r>
        <w:t xml:space="preserve"> </w:t>
      </w:r>
      <w:r>
        <w:t xml:space="preserve">quem vai e quem não vai ter cesárea. Os nossos: A = 0,75, B = 0,78,</w:t>
      </w:r>
      <w:r>
        <w:t xml:space="preserve"> </w:t>
      </w:r>
      <w:r>
        <w:t xml:space="preserve">C = 0,80 →</w:t>
      </w:r>
      <w:r>
        <w:t xml:space="preserve"> </w:t>
      </w:r>
      <w:r>
        <w:t xml:space="preserve">“</w:t>
      </w:r>
      <w:r>
        <w:t xml:space="preserve">boa</w:t>
      </w:r>
      <w:r>
        <w:t xml:space="preserve">”</w:t>
      </w:r>
      <w:r>
        <w:t xml:space="preserve"> </w:t>
      </w:r>
      <w:r>
        <w:t xml:space="preserve">capacidade, crescendo do modelo mais simples para o mais completo.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AUC corrigida por otimismo:</w:t>
      </w:r>
      <w:r>
        <w:t xml:space="preserve"> </w:t>
      </w:r>
      <w:r>
        <w:t xml:space="preserve">como o modelo é testado nos mesmos dados em que foi</w:t>
      </w:r>
      <w:r>
        <w:t xml:space="preserve"> </w:t>
      </w:r>
      <w:r>
        <w:t xml:space="preserve">criado, ele tende a parecer melhor do que é. Uma técnica (</w:t>
      </w:r>
      <w:r>
        <w:rPr>
          <w:i/>
        </w:rPr>
        <w:t xml:space="preserve">bootstrap</w:t>
      </w:r>
      <w:r>
        <w:t xml:space="preserve">) desconta esse</w:t>
      </w:r>
      <w:r>
        <w:t xml:space="preserve"> </w:t>
      </w:r>
      <w:r>
        <w:t xml:space="preserve">“</w:t>
      </w:r>
      <w:r>
        <w:t xml:space="preserve">otimismo</w:t>
      </w:r>
      <w:r>
        <w:t xml:space="preserve">”</w:t>
      </w:r>
      <w:r>
        <w:t xml:space="preserve"> </w:t>
      </w:r>
      <w:r>
        <w:t xml:space="preserve">e dá um valor mais honesto.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Brier score:</w:t>
      </w:r>
      <w:r>
        <w:t xml:space="preserve"> </w:t>
      </w:r>
      <w:r>
        <w:t xml:space="preserve">erro médio das previsões —</w:t>
      </w:r>
      <w:r>
        <w:t xml:space="preserve"> </w:t>
      </w:r>
      <w:r>
        <w:rPr>
          <w:b/>
        </w:rPr>
        <w:t xml:space="preserve">quanto menor, melhor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R² de Nagelkerke:</w:t>
      </w:r>
      <w:r>
        <w:t xml:space="preserve"> </w:t>
      </w:r>
      <w:r>
        <w:t xml:space="preserve">quanto da variação do desfecho o modelo</w:t>
      </w:r>
      <w:r>
        <w:t xml:space="preserve"> </w:t>
      </w:r>
      <w:r>
        <w:t xml:space="preserve">“</w:t>
      </w:r>
      <w:r>
        <w:t xml:space="preserve">explica</w:t>
      </w:r>
      <w:r>
        <w:t xml:space="preserve">”</w:t>
      </w:r>
      <w:r>
        <w:t xml:space="preserve"> </w:t>
      </w:r>
      <w:r>
        <w:t xml:space="preserve">(0 a 1).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Calibração:</w:t>
      </w:r>
      <w:r>
        <w:t xml:space="preserve"> </w:t>
      </w:r>
      <w:r>
        <w:t xml:space="preserve">verifica se, quando o modelo diz</w:t>
      </w:r>
      <w:r>
        <w:t xml:space="preserve"> </w:t>
      </w:r>
      <w:r>
        <w:t xml:space="preserve">“</w:t>
      </w:r>
      <w:r>
        <w:t xml:space="preserve">60% de risco</w:t>
      </w:r>
      <w:r>
        <w:t xml:space="preserve">”</w:t>
      </w:r>
      <w:r>
        <w:t xml:space="preserve">, de fato ~60% têm</w:t>
      </w:r>
      <w:r>
        <w:t xml:space="preserve"> </w:t>
      </w:r>
      <w:r>
        <w:t xml:space="preserve">cesárea. O</w:t>
      </w:r>
      <w:r>
        <w:t xml:space="preserve"> </w:t>
      </w:r>
      <w:r>
        <w:rPr>
          <w:b/>
        </w:rPr>
        <w:t xml:space="preserve">teste de Hosmer-Lemeshow</w:t>
      </w:r>
      <w:r>
        <w:t xml:space="preserve"> </w:t>
      </w:r>
      <w:r>
        <w:t xml:space="preserve">mede isso: aqui um</w:t>
      </w:r>
      <w:r>
        <w:t xml:space="preserve"> </w:t>
      </w:r>
      <w:r>
        <w:rPr>
          <w:b/>
        </w:rPr>
        <w:t xml:space="preserve">p alto (0,517) é bom</w:t>
      </w:r>
      <w:r>
        <w:t xml:space="preserve"> </w:t>
      </w:r>
      <w:r>
        <w:t xml:space="preserve">—</w:t>
      </w:r>
      <w:r>
        <w:t xml:space="preserve"> </w:t>
      </w:r>
      <w:r>
        <w:t xml:space="preserve">significa que não há desencontro entre previsto e observado. (Atenção: é o oposto da</w:t>
      </w:r>
      <w:r>
        <w:t xml:space="preserve"> </w:t>
      </w:r>
      <w:r>
        <w:t xml:space="preserve">leitura usual do p-valor!)</w:t>
      </w:r>
    </w:p>
    <w:p>
      <w:pPr>
        <w:pStyle w:val="Heading3"/>
      </w:pPr>
      <w:bookmarkStart w:id="43" w:name="Xac56932bbd75b4e7f6132df10212f21b0504f11"/>
      <w:r>
        <w:t xml:space="preserve">7.11 Imputação múltipla (MICE) e regras de Rubin — o que fazer com dados faltantes</w:t>
      </w:r>
      <w:bookmarkEnd w:id="43"/>
    </w:p>
    <w:p>
      <w:pPr>
        <w:pStyle w:val="FirstParagraph"/>
      </w:pPr>
      <w:r>
        <w:t xml:space="preserve">Alguns prontuários têm campos em branco. Apagar essas pacientes desperdiçaria informação</w:t>
      </w:r>
      <w:r>
        <w:t xml:space="preserve"> </w:t>
      </w:r>
      <w:r>
        <w:t xml:space="preserve">e poderia enviesar o resultado. A</w:t>
      </w:r>
      <w:r>
        <w:t xml:space="preserve"> </w:t>
      </w:r>
      <w:r>
        <w:rPr>
          <w:b/>
        </w:rPr>
        <w:t xml:space="preserve">imputação múltipla (MICE)</w:t>
      </w:r>
      <w:r>
        <w:t xml:space="preserve"> </w:t>
      </w:r>
      <w:r>
        <w:t xml:space="preserve">preenche os vazios com</w:t>
      </w:r>
      <w:r>
        <w:t xml:space="preserve"> </w:t>
      </w:r>
      <w:r>
        <w:t xml:space="preserve">estimativas plausíveis, e faz isso</w:t>
      </w:r>
      <w:r>
        <w:t xml:space="preserve"> </w:t>
      </w:r>
      <w:r>
        <w:rPr>
          <w:b/>
        </w:rPr>
        <w:t xml:space="preserve">5 vezes</w:t>
      </w:r>
      <w:r>
        <w:t xml:space="preserve"> </w:t>
      </w:r>
      <w:r>
        <w:t xml:space="preserve">(gerando 5 versões dos dados) para</w:t>
      </w:r>
      <w:r>
        <w:t xml:space="preserve"> </w:t>
      </w:r>
      <w:r>
        <w:t xml:space="preserve">refletir a incerteza. As</w:t>
      </w:r>
      <w:r>
        <w:t xml:space="preserve"> </w:t>
      </w:r>
      <w:r>
        <w:rPr>
          <w:b/>
        </w:rPr>
        <w:t xml:space="preserve">regras de Rubin</w:t>
      </w:r>
      <w:r>
        <w:t xml:space="preserve"> </w:t>
      </w:r>
      <w:r>
        <w:t xml:space="preserve">combinam os 5 resultados em um só, já</w:t>
      </w:r>
      <w:r>
        <w:t xml:space="preserve"> </w:t>
      </w:r>
      <w:r>
        <w:t xml:space="preserve">incorporando essa incerteza nos intervalos de confiança. Em uma frase: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dados faltantes</w:t>
      </w:r>
      <w:r>
        <w:rPr>
          <w:i/>
        </w:rPr>
        <w:t xml:space="preserve"> </w:t>
      </w:r>
      <w:r>
        <w:rPr>
          <w:i/>
        </w:rPr>
        <w:t xml:space="preserve">foram tratados por imputação múltipla (MICE), e as estimativas combinadas pelas regras</w:t>
      </w:r>
      <w:r>
        <w:rPr>
          <w:i/>
        </w:rPr>
        <w:t xml:space="preserve"> </w:t>
      </w:r>
      <w:r>
        <w:rPr>
          <w:i/>
        </w:rPr>
        <w:t xml:space="preserve">de Rubin.</w:t>
      </w:r>
      <w:r>
        <w:rPr>
          <w:i/>
        </w:rPr>
        <w:t xml:space="preserve">”</w:t>
      </w:r>
    </w:p>
    <w:p>
      <w:pPr>
        <w:pStyle w:val="Heading3"/>
      </w:pPr>
      <w:bookmarkStart w:id="44" w:name="resumo-de-bolso"/>
      <w:r>
        <w:t xml:space="preserve">7.12 Resumo de bolso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Você quer saber…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Há diferença, ou é acaso?</w:t>
            </w:r>
          </w:p>
        </w:tc>
        <w:tc>
          <w:p>
            <w:pPr>
              <w:pStyle w:val="Compact"/>
              <w:jc w:val="left"/>
            </w:pPr>
            <w:r>
              <w:t xml:space="preserve">p-valor</w:t>
            </w:r>
          </w:p>
        </w:tc>
        <w:tc>
          <w:p>
            <w:pPr>
              <w:pStyle w:val="Compact"/>
              <w:jc w:val="left"/>
            </w:pPr>
            <w:r>
              <w:t xml:space="preserve">&lt; 0,05 = diferença real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Proporções diferem entre grupos?</w:t>
            </w:r>
          </w:p>
        </w:tc>
        <w:tc>
          <w:p>
            <w:pPr>
              <w:pStyle w:val="Compact"/>
              <w:jc w:val="left"/>
            </w:pPr>
            <w:r>
              <w:t xml:space="preserve">Qui-quadrado / Fisher</w:t>
            </w:r>
          </w:p>
        </w:tc>
        <w:tc>
          <w:p>
            <w:pPr>
              <w:pStyle w:val="Compact"/>
              <w:jc w:val="left"/>
            </w:pPr>
            <w:r>
              <w:t xml:space="preserve">p &lt; 0,05 = sim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variável numérica é normal?</w:t>
            </w:r>
          </w:p>
        </w:tc>
        <w:tc>
          <w:p>
            <w:pPr>
              <w:pStyle w:val="Compact"/>
              <w:jc w:val="left"/>
            </w:pPr>
            <w:r>
              <w:t xml:space="preserve">Kolmogorov-Smirnov / Shapiro-Wilk</w:t>
            </w:r>
          </w:p>
        </w:tc>
        <w:tc>
          <w:p>
            <w:pPr>
              <w:pStyle w:val="Compact"/>
              <w:jc w:val="left"/>
            </w:pPr>
            <w:r>
              <w:t xml:space="preserve">decide média ou mediana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 número difere entre 3 grupos?</w:t>
            </w:r>
          </w:p>
        </w:tc>
        <w:tc>
          <w:p>
            <w:pPr>
              <w:pStyle w:val="Compact"/>
              <w:jc w:val="left"/>
            </w:pPr>
            <w:r>
              <w:t xml:space="preserve">Kruskal-Wallis</w:t>
            </w:r>
          </w:p>
        </w:tc>
        <w:tc>
          <w:p>
            <w:pPr>
              <w:pStyle w:val="Compact"/>
              <w:jc w:val="left"/>
            </w:pPr>
            <w:r>
              <w:t xml:space="preserve">p &lt; 0,05 = sim (há diferença global)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Entre quais grupos está a diferença?</w:t>
            </w:r>
          </w:p>
        </w:tc>
        <w:tc>
          <w:p>
            <w:pPr>
              <w:pStyle w:val="Compact"/>
              <w:jc w:val="left"/>
            </w:pPr>
            <w:r>
              <w:t xml:space="preserve">Dunn + correção de Holm</w:t>
            </w:r>
          </w:p>
        </w:tc>
        <w:tc>
          <w:p>
            <w:pPr>
              <w:pStyle w:val="Compact"/>
              <w:jc w:val="left"/>
            </w:pPr>
            <w:r>
              <w:t xml:space="preserve">compara par a par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Essa diferença é grande?</w:t>
            </w:r>
          </w:p>
        </w:tc>
        <w:tc>
          <w:p>
            <w:pPr>
              <w:pStyle w:val="Compact"/>
              <w:jc w:val="left"/>
            </w:pPr>
            <w:r>
              <w:t xml:space="preserve">ε² (epsilon-quadrado)</w:t>
            </w:r>
          </w:p>
        </w:tc>
        <w:tc>
          <w:p>
            <w:pPr>
              <w:pStyle w:val="Compact"/>
              <w:jc w:val="left"/>
            </w:pPr>
            <w:r>
              <w:t xml:space="preserve">0 = nula; perto de 1 = grande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 o tamanho do efeito (cesárea)?</w:t>
            </w:r>
          </w:p>
        </w:tc>
        <w:tc>
          <w:p>
            <w:pPr>
              <w:pStyle w:val="Compact"/>
              <w:jc w:val="left"/>
            </w:pPr>
            <w:r>
              <w:t xml:space="preserve">Razão de Prevalência (PR)</w:t>
            </w:r>
          </w:p>
        </w:tc>
        <w:tc>
          <w:p>
            <w:pPr>
              <w:pStyle w:val="Compact"/>
              <w:jc w:val="left"/>
            </w:pPr>
            <w:r>
              <w:t xml:space="preserve">1,43 = +43%; 0,60 = −40%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 efeito é confiável?</w:t>
            </w:r>
          </w:p>
        </w:tc>
        <w:tc>
          <w:p>
            <w:pPr>
              <w:pStyle w:val="Compact"/>
              <w:jc w:val="left"/>
            </w:pPr>
            <w:r>
              <w:t xml:space="preserve">IC 95% da PR</w:t>
            </w:r>
          </w:p>
        </w:tc>
        <w:tc>
          <w:p>
            <w:pPr>
              <w:pStyle w:val="Compact"/>
              <w:jc w:val="left"/>
            </w:pPr>
            <w:r>
              <w:t xml:space="preserve">não cruzou o 1 = significativo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 modelo prevê bem?</w:t>
            </w:r>
          </w:p>
        </w:tc>
        <w:tc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p>
            <w:pPr>
              <w:pStyle w:val="Compact"/>
              <w:jc w:val="left"/>
            </w:pPr>
            <w:r>
              <w:t xml:space="preserve">0,5 ruim → 1,0 ótimo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 modelo está calibrado?</w:t>
            </w:r>
          </w:p>
        </w:tc>
        <w:tc>
          <w:p>
            <w:pPr>
              <w:pStyle w:val="Compact"/>
              <w:jc w:val="left"/>
            </w:pPr>
            <w:r>
              <w:t xml:space="preserve">Hosmer-Lemeshow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  <w:r>
              <w:t xml:space="preserve"> </w:t>
            </w:r>
            <w:r>
              <w:rPr>
                <w:b/>
              </w:rPr>
              <w:t xml:space="preserve">alto</w:t>
            </w:r>
            <w:r>
              <w:t xml:space="preserve"> </w:t>
            </w:r>
            <w:r>
              <w:t xml:space="preserve">= bom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f9cedb9dbfc86692616350217ade293bf591d68"/>
      <w:r>
        <w:t xml:space="preserve">8. Seção 5.4 — Indicações de parto operatório (atualização dos dados)</w:t>
      </w:r>
      <w:bookmarkEnd w:id="45"/>
    </w:p>
    <w:p>
      <w:pPr>
        <w:pStyle w:val="FirstParagraph"/>
      </w:pPr>
      <w:r>
        <w:rPr>
          <w:b/>
        </w:rPr>
        <w:t xml:space="preserve">O que mudou e por quê.</w:t>
      </w:r>
      <w:r>
        <w:t xml:space="preserve"> </w:t>
      </w:r>
      <w:r>
        <w:t xml:space="preserve">As indicações de</w:t>
      </w:r>
      <w:r>
        <w:t xml:space="preserve"> </w:t>
      </w:r>
      <w:r>
        <w:rPr>
          <w:b/>
        </w:rPr>
        <w:t xml:space="preserve">cesárea</w:t>
      </w:r>
      <w:r>
        <w:t xml:space="preserve"> </w:t>
      </w:r>
      <w:r>
        <w:t xml:space="preserve">passaram a ser agrupadas pela</w:t>
      </w:r>
      <w:r>
        <w:t xml:space="preserve"> </w:t>
      </w:r>
      <w:r>
        <w:t xml:space="preserve">variável hierárquica</w:t>
      </w:r>
      <w:r>
        <w:t xml:space="preserve"> </w:t>
      </w:r>
      <w:r>
        <w:rPr>
          <w:rStyle w:val="VerbatimChar"/>
          <w:b/>
        </w:rPr>
        <w:t xml:space="preserve">Indicacao_final</w:t>
      </w:r>
      <w:r>
        <w:t xml:space="preserve"> </w:t>
      </w:r>
      <w:r>
        <w:t xml:space="preserve">(banco</w:t>
      </w:r>
      <w:r>
        <w:t xml:space="preserve"> </w:t>
      </w:r>
      <w:r>
        <w:rPr>
          <w:rStyle w:val="VerbatimChar"/>
        </w:rPr>
        <w:t xml:space="preserve">BD_completo_corrigido_13-05-2026.xls</w:t>
      </w:r>
      <w:r>
        <w:t xml:space="preserve">,</w:t>
      </w:r>
      <w:r>
        <w:t xml:space="preserve"> </w:t>
      </w:r>
      <w:r>
        <w:t xml:space="preserve">aba</w:t>
      </w:r>
      <w:r>
        <w:t xml:space="preserve"> </w:t>
      </w:r>
      <w:r>
        <w:rPr>
          <w:rStyle w:val="VerbatimChar"/>
        </w:rPr>
        <w:t xml:space="preserve">BD_leticia_08-05</w:t>
      </w:r>
      <w:r>
        <w:t xml:space="preserve">), que organiza em categorias clínicas os motivos antes dispersos</w:t>
      </w:r>
      <w:r>
        <w:t xml:space="preserve"> </w:t>
      </w:r>
      <w:r>
        <w:t xml:space="preserve">ou ausentes em</w:t>
      </w:r>
      <w:r>
        <w:t xml:space="preserve"> </w:t>
      </w:r>
      <w:r>
        <w:rPr>
          <w:rStyle w:val="VerbatimChar"/>
        </w:rPr>
        <w:t xml:space="preserve">indicacao_cat</w:t>
      </w:r>
      <w:r>
        <w:t xml:space="preserve">. O ganho é grande: na versão anterior,</w:t>
      </w:r>
      <w:r>
        <w:t xml:space="preserve"> </w:t>
      </w:r>
      <w:r>
        <w:rPr>
          <w:b/>
        </w:rPr>
        <w:t xml:space="preserve">68,4% das</w:t>
      </w:r>
      <w:r>
        <w:rPr>
          <w:b/>
        </w:rPr>
        <w:t xml:space="preserve"> </w:t>
      </w:r>
      <w:r>
        <w:rPr>
          <w:b/>
        </w:rPr>
        <w:t xml:space="preserve">cesáreas de adolescentes</w:t>
      </w:r>
      <w:r>
        <w:t xml:space="preserve"> </w:t>
      </w:r>
      <w:r>
        <w:t xml:space="preserve">apareciam como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Não informada</w:t>
      </w:r>
      <w:r>
        <w:rPr>
          <w:i/>
        </w:rPr>
        <w:t xml:space="preserve">”</w:t>
      </w:r>
      <w:r>
        <w:t xml:space="preserve">; com</w:t>
      </w:r>
      <w:r>
        <w:t xml:space="preserve"> </w:t>
      </w:r>
      <w:r>
        <w:rPr>
          <w:rStyle w:val="VerbatimChar"/>
        </w:rPr>
        <w:t xml:space="preserve">Indicacao_final</w:t>
      </w:r>
      <w:r>
        <w:t xml:space="preserve">, essa</w:t>
      </w:r>
      <w:r>
        <w:t xml:space="preserve"> </w:t>
      </w:r>
      <w:r>
        <w:t xml:space="preserve">lacuna</w:t>
      </w:r>
      <w:r>
        <w:t xml:space="preserve"> </w:t>
      </w:r>
      <w:r>
        <w:rPr>
          <w:b/>
        </w:rPr>
        <w:t xml:space="preserve">praticamente desaparece</w:t>
      </w:r>
      <w:r>
        <w:t xml:space="preserve"> </w:t>
      </w:r>
      <w:r>
        <w:t xml:space="preserve">e as indicações ficam classificadas.</w:t>
      </w:r>
    </w:p>
    <w:p>
      <w:pPr>
        <w:pStyle w:val="BlockText"/>
      </w:pPr>
      <w:r>
        <w:rPr>
          <w:b/>
        </w:rPr>
        <w:t xml:space="preserve">Fórcipe:</w:t>
      </w:r>
      <w:r>
        <w:t xml:space="preserve"> </w:t>
      </w:r>
      <w:r>
        <w:rPr>
          <w:b/>
        </w:rPr>
        <w:t xml:space="preserve">todos</w:t>
      </w:r>
      <w:r>
        <w:t xml:space="preserve"> </w:t>
      </w:r>
      <w:r>
        <w:t xml:space="preserve">os partos a fórcipe têm</w:t>
      </w:r>
      <w:r>
        <w:t xml:space="preserve"> </w:t>
      </w:r>
      <w:r>
        <w:rPr>
          <w:rStyle w:val="VerbatimChar"/>
        </w:rPr>
        <w:t xml:space="preserve">Indicacao_final = 888</w:t>
      </w:r>
      <w:r>
        <w:t xml:space="preserve"> </w:t>
      </w:r>
      <w:r>
        <w:t xml:space="preserve">(a variável não</w:t>
      </w:r>
      <w:r>
        <w:t xml:space="preserve"> </w:t>
      </w:r>
      <w:r>
        <w:t xml:space="preserve">subdivide o fórcipe). Por isso as indicações de fórcipe</w:t>
      </w:r>
      <w:r>
        <w:t xml:space="preserve"> </w:t>
      </w:r>
      <w:r>
        <w:rPr>
          <w:b/>
        </w:rPr>
        <w:t xml:space="preserve">continuam vindo de</w:t>
      </w:r>
      <w:r>
        <w:rPr>
          <w:b/>
        </w:rPr>
        <w:t xml:space="preserve"> </w:t>
      </w:r>
      <w:r>
        <w:rPr>
          <w:rStyle w:val="VerbatimChar"/>
          <w:b/>
        </w:rPr>
        <w:t xml:space="preserve">indicacao_cat</w:t>
      </w:r>
      <w:r>
        <w:t xml:space="preserve"> </w:t>
      </w:r>
      <w:r>
        <w:t xml:space="preserve">— a Tabela 9 mantém a mesma lógica de antes (apenas recalculada na</w:t>
      </w:r>
      <w:r>
        <w:t xml:space="preserve"> </w:t>
      </w:r>
      <w:r>
        <w:t xml:space="preserve">coorte unificada).</w:t>
      </w:r>
    </w:p>
    <w:p>
      <w:pPr>
        <w:pStyle w:val="FirstParagraph"/>
      </w:pPr>
      <w:r>
        <w:rPr>
          <w:b/>
        </w:rPr>
        <w:t xml:space="preserve">Coorte e procedimento (para os Métodos).</w:t>
      </w:r>
      <w:r>
        <w:t xml:space="preserve"> </w:t>
      </w:r>
      <w:r>
        <w:t xml:space="preserve">Para manter a consistência com o resto da</w:t>
      </w:r>
      <w:r>
        <w:t xml:space="preserve"> </w:t>
      </w:r>
      <w:r>
        <w:t xml:space="preserve">dissertação (coorte §3.3,</w:t>
      </w:r>
      <w:r>
        <w:t xml:space="preserve"> </w:t>
      </w:r>
      <w:r>
        <w:rPr>
          <w:b/>
        </w:rPr>
        <w:t xml:space="preserve">N = 6.650</w:t>
      </w:r>
      <w:r>
        <w:t xml:space="preserve">), os campos</w:t>
      </w:r>
      <w:r>
        <w:t xml:space="preserve"> </w:t>
      </w:r>
      <w:r>
        <w:rPr>
          <w:rStyle w:val="VerbatimChar"/>
        </w:rPr>
        <w:t xml:space="preserve">Indicacao_final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indicacao_cat</w:t>
      </w:r>
      <w:r>
        <w:t xml:space="preserve"> </w:t>
      </w:r>
      <w:r>
        <w:t xml:space="preserve">do banco 13-05 foram</w:t>
      </w:r>
      <w:r>
        <w:t xml:space="preserve"> </w:t>
      </w:r>
      <w:r>
        <w:rPr>
          <w:b/>
        </w:rPr>
        <w:t xml:space="preserve">unidos por chave (RGHC + idade + tipo de parto)</w:t>
      </w:r>
      <w:r>
        <w:t xml:space="preserve"> </w:t>
      </w:r>
      <w:r>
        <w:t xml:space="preserve">à coorte já</w:t>
      </w:r>
      <w:r>
        <w:t xml:space="preserve"> </w:t>
      </w:r>
      <w:r>
        <w:t xml:space="preserve">elegível. O pareamento cobriu</w:t>
      </w:r>
      <w:r>
        <w:t xml:space="preserve"> </w:t>
      </w:r>
      <w:r>
        <w:rPr>
          <w:b/>
        </w:rPr>
        <w:t xml:space="preserve">4.651 dos 4.653 partos operatórios</w:t>
      </w:r>
      <w:r>
        <w:t xml:space="preserve"> </w:t>
      </w:r>
      <w:r>
        <w:t xml:space="preserve">(2 casos sem</w:t>
      </w:r>
      <w:r>
        <w:t xml:space="preserve"> </w:t>
      </w:r>
      <w:r>
        <w:t xml:space="preserve">correspondência no banco novo →</w:t>
      </w:r>
      <w:r>
        <w:t xml:space="preserve"> </w:t>
      </w:r>
      <w:r>
        <w:t xml:space="preserve">“</w:t>
      </w:r>
      <w:r>
        <w:t xml:space="preserve">Não informada</w:t>
      </w:r>
      <w:r>
        <w:t xml:space="preserve">”</w:t>
      </w:r>
      <w:r>
        <w:t xml:space="preserve">). Cada código de</w:t>
      </w:r>
      <w:r>
        <w:t xml:space="preserve"> </w:t>
      </w:r>
      <w:r>
        <w:rPr>
          <w:rStyle w:val="VerbatimChar"/>
        </w:rPr>
        <w:t xml:space="preserve">Indicacao_final</w:t>
      </w:r>
      <w:r>
        <w:t xml:space="preserve"> </w:t>
      </w:r>
      <w:r>
        <w:t xml:space="preserve">foi</w:t>
      </w:r>
      <w:r>
        <w:t xml:space="preserve"> </w:t>
      </w:r>
      <w:r>
        <w:t xml:space="preserve">rotulado pelo seu</w:t>
      </w:r>
      <w:r>
        <w:t xml:space="preserve"> </w:t>
      </w:r>
      <w:r>
        <w:rPr>
          <w:rStyle w:val="VerbatimChar"/>
        </w:rPr>
        <w:t xml:space="preserve">indicacao_cat</w:t>
      </w:r>
      <w:r>
        <w:t xml:space="preserve"> </w:t>
      </w:r>
      <w:r>
        <w:t xml:space="preserve">predominante. Reprodução:</w:t>
      </w:r>
      <w:r>
        <w:t xml:space="preserve"> </w:t>
      </w:r>
      <w:r>
        <w:rPr>
          <w:rStyle w:val="VerbatimChar"/>
        </w:rPr>
        <w:t xml:space="preserve">analysis/03_indicacoes_parto.R</w:t>
      </w:r>
      <w:r>
        <w:t xml:space="preserve">.</w:t>
      </w:r>
    </w:p>
    <w:p>
      <w:pPr>
        <w:pStyle w:val="BlockText"/>
      </w:pPr>
      <w:r>
        <w:rPr>
          <w:b/>
        </w:rPr>
        <w:t xml:space="preserve">Frase sugerida para os Métodos:</w:t>
      </w:r>
      <w:r>
        <w:t xml:space="preserve"> </w:t>
      </w:r>
      <w:r>
        <w:t xml:space="preserve">“</w:t>
      </w:r>
      <w:r>
        <w:t xml:space="preserve">As indicações de cesárea foram agrupadas segundo</w:t>
      </w:r>
      <w:r>
        <w:t xml:space="preserve"> </w:t>
      </w:r>
      <w:r>
        <w:t xml:space="preserve">a variável</w:t>
      </w:r>
      <w:r>
        <w:t xml:space="preserve"> </w:t>
      </w:r>
      <w:r>
        <w:rPr>
          <w:rStyle w:val="VerbatimChar"/>
        </w:rPr>
        <w:t xml:space="preserve">Indicacao_final</w:t>
      </w:r>
      <w:r>
        <w:t xml:space="preserve">, que classifica hierarquicamente os motivos registrados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indicacao_cat</w:t>
      </w:r>
      <w:r>
        <w:t xml:space="preserve">. As indicações de parto a fórcipe foram descritas a partir de</w:t>
      </w:r>
      <w:r>
        <w:t xml:space="preserve"> </w:t>
      </w:r>
      <w:r>
        <w:rPr>
          <w:rStyle w:val="VerbatimChar"/>
        </w:rPr>
        <w:t xml:space="preserve">indicacao_cat</w:t>
      </w:r>
      <w:r>
        <w:t xml:space="preserve">. Os percentuais foram calculados sobre o total de cada via em cada</w:t>
      </w:r>
      <w:r>
        <w:t xml:space="preserve"> </w:t>
      </w:r>
      <w:r>
        <w:t xml:space="preserve">grupo etário.</w:t>
      </w:r>
      <w:r>
        <w:t xml:space="preserve">”</w:t>
      </w:r>
    </w:p>
    <w:p>
      <w:pPr>
        <w:pStyle w:val="Heading3"/>
      </w:pPr>
      <w:bookmarkStart w:id="46" w:name="X9e9f2093f3296f3c96c4983d3b7a875b7bd5e9c"/>
      <w:r>
        <w:t xml:space="preserve">8.1 Tabela 8 (NOVA) — Indicações de cesárea, top 5 por grupo</w:t>
      </w:r>
      <w:bookmarkEnd w:id="46"/>
    </w:p>
    <w:p>
      <w:pPr>
        <w:pStyle w:val="FirstParagraph"/>
      </w:pPr>
      <w:r>
        <w:t xml:space="preserve">Percentuais sobre o total de cesáreas do grupo (Adolescentes = 433; Adultas = 3.313).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</w:t>
            </w:r>
          </w:p>
        </w:tc>
        <w:tc>
          <w:p>
            <w:pPr>
              <w:pStyle w:val="Compact"/>
              <w:jc w:val="left"/>
            </w:pPr>
            <w:r>
              <w:t xml:space="preserve">Sofrimento fetal</w:t>
            </w:r>
          </w:p>
        </w:tc>
        <w:tc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p>
            <w:pPr>
              <w:pStyle w:val="Compact"/>
              <w:jc w:val="left"/>
            </w:pPr>
            <w:r>
              <w:t xml:space="preserve">28,2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</w:t>
            </w:r>
          </w:p>
        </w:tc>
        <w:tc>
          <w:p>
            <w:pPr>
              <w:pStyle w:val="Compact"/>
              <w:jc w:val="left"/>
            </w:pPr>
            <w:r>
              <w:t xml:space="preserve">Distocia funcional</w:t>
            </w:r>
          </w:p>
        </w:tc>
        <w:tc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18,0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</w:t>
            </w:r>
          </w:p>
        </w:tc>
        <w:tc>
          <w:p>
            <w:pPr>
              <w:pStyle w:val="Compact"/>
              <w:jc w:val="left"/>
            </w:pPr>
            <w:r>
              <w:t xml:space="preserve">Outras</w:t>
            </w:r>
          </w:p>
        </w:tc>
        <w:tc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p>
            <w:pPr>
              <w:pStyle w:val="Compact"/>
              <w:jc w:val="left"/>
            </w:pPr>
            <w:r>
              <w:t xml:space="preserve">17,1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</w:t>
            </w:r>
          </w:p>
        </w:tc>
        <w:tc>
          <w:p>
            <w:pPr>
              <w:pStyle w:val="Compact"/>
              <w:jc w:val="left"/>
            </w:pPr>
            <w:r>
              <w:t xml:space="preserve">Desproporção céfalo-pélvica</w:t>
            </w:r>
          </w:p>
        </w:tc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t xml:space="preserve">16,9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Adolescentes</w:t>
            </w:r>
          </w:p>
        </w:tc>
        <w:tc>
          <w:p>
            <w:pPr>
              <w:pStyle w:val="Compact"/>
              <w:jc w:val="left"/>
            </w:pPr>
            <w:r>
              <w:t xml:space="preserve">Apresentação pélvica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7,6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</w:t>
            </w:r>
          </w:p>
        </w:tc>
        <w:tc>
          <w:p>
            <w:pPr>
              <w:pStyle w:val="Compact"/>
              <w:jc w:val="left"/>
            </w:pPr>
            <w:r>
              <w:t xml:space="preserve">Sofrimento fetal</w:t>
            </w:r>
          </w:p>
        </w:tc>
        <w:tc>
          <w:p>
            <w:pPr>
              <w:pStyle w:val="Compact"/>
              <w:jc w:val="left"/>
            </w:pPr>
            <w:r>
              <w:t xml:space="preserve">728</w:t>
            </w:r>
          </w:p>
        </w:tc>
        <w:tc>
          <w:p>
            <w:pPr>
              <w:pStyle w:val="Compact"/>
              <w:jc w:val="left"/>
            </w:pPr>
            <w:r>
              <w:t xml:space="preserve">22,0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</w:t>
            </w:r>
          </w:p>
        </w:tc>
        <w:tc>
          <w:p>
            <w:pPr>
              <w:pStyle w:val="Compact"/>
              <w:jc w:val="left"/>
            </w:pPr>
            <w:r>
              <w:t xml:space="preserve">Patologia materna</w:t>
            </w:r>
          </w:p>
        </w:tc>
        <w:tc>
          <w:p>
            <w:pPr>
              <w:pStyle w:val="Compact"/>
              <w:jc w:val="left"/>
            </w:pPr>
            <w:r>
              <w:t xml:space="preserve">486</w:t>
            </w:r>
          </w:p>
        </w:tc>
        <w:tc>
          <w:p>
            <w:pPr>
              <w:pStyle w:val="Compact"/>
              <w:jc w:val="left"/>
            </w:pPr>
            <w:r>
              <w:t xml:space="preserve">14,7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</w:t>
            </w:r>
          </w:p>
        </w:tc>
        <w:tc>
          <w:p>
            <w:pPr>
              <w:pStyle w:val="Compact"/>
              <w:jc w:val="left"/>
            </w:pPr>
            <w:r>
              <w:t xml:space="preserve">Distocia funcional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12,1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</w:t>
            </w:r>
          </w:p>
        </w:tc>
        <w:tc>
          <w:p>
            <w:pPr>
              <w:pStyle w:val="Compact"/>
              <w:jc w:val="left"/>
            </w:pPr>
            <w:r>
              <w:t xml:space="preserve">Iteratividade</w:t>
            </w:r>
          </w:p>
        </w:tc>
        <w:tc>
          <w:p>
            <w:pPr>
              <w:pStyle w:val="Compact"/>
              <w:jc w:val="left"/>
            </w:pPr>
            <w:r>
              <w:t xml:space="preserve">371</w:t>
            </w:r>
          </w:p>
        </w:tc>
        <w:tc>
          <w:p>
            <w:pPr>
              <w:pStyle w:val="Compact"/>
              <w:jc w:val="left"/>
            </w:pPr>
            <w:r>
              <w:t xml:space="preserve">11,2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Adultas</w:t>
            </w:r>
          </w:p>
        </w:tc>
        <w:tc>
          <w:p>
            <w:pPr>
              <w:pStyle w:val="Compact"/>
              <w:jc w:val="left"/>
            </w:pPr>
            <w:r>
              <w:t xml:space="preserve">Contraindicação de indução</w:t>
            </w:r>
          </w:p>
        </w:tc>
        <w:tc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p>
            <w:pPr>
              <w:pStyle w:val="Compact"/>
              <w:jc w:val="left"/>
            </w:pPr>
            <w:r>
              <w:t xml:space="preserve">10,3</w:t>
            </w:r>
          </w:p>
        </w:tc>
      </w:tr>
    </w:tbl>
    <w:p>
      <w:pPr>
        <w:pStyle w:val="BodyText"/>
      </w:pPr>
      <w:r>
        <w:t xml:space="preserve">Rodapé sugerido: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‘</w:t>
      </w:r>
      <w:r>
        <w:rPr>
          <w:i/>
        </w:rPr>
        <w:t xml:space="preserve">Outras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reúne o código</w:t>
      </w:r>
      <w:r>
        <w:rPr>
          <w:i/>
        </w:rPr>
        <w:t xml:space="preserve"> </w:t>
      </w:r>
      <w:r>
        <w:rPr>
          <w:rStyle w:val="VerbatimChar"/>
          <w:i/>
        </w:rPr>
        <w:t xml:space="preserve">Indicacao_final</w:t>
      </w:r>
      <w:r>
        <w:rPr>
          <w:i/>
        </w:rPr>
        <w:t xml:space="preserve"> </w:t>
      </w:r>
      <w:r>
        <w:rPr>
          <w:i/>
        </w:rPr>
        <w:t xml:space="preserve">999 (motivo não</w:t>
      </w:r>
      <w:r>
        <w:rPr>
          <w:i/>
        </w:rPr>
        <w:t xml:space="preserve"> </w:t>
      </w:r>
      <w:r>
        <w:rPr>
          <w:i/>
        </w:rPr>
        <w:t xml:space="preserve">especificado) e casos residuais. Percentuais sobre o total de cesáreas de cada grupo.</w:t>
      </w:r>
      <w:r>
        <w:rPr>
          <w:i/>
        </w:rPr>
        <w:t xml:space="preserve">”</w:t>
      </w:r>
    </w:p>
    <w:p>
      <w:pPr>
        <w:pStyle w:val="Heading3"/>
      </w:pPr>
      <w:bookmarkStart w:id="47" w:name="X1f48280d982d0d0f2745ef1ea8dddcb741fa022"/>
      <w:r>
        <w:t xml:space="preserve">8.2 Tabela 9 (atualizada) — Indicações de fórcipe, top 5 por grupo</w:t>
      </w:r>
      <w:bookmarkEnd w:id="47"/>
    </w:p>
    <w:p>
      <w:pPr>
        <w:pStyle w:val="FirstParagraph"/>
      </w:pPr>
      <w:r>
        <w:t xml:space="preserve">Percentuais sobre o total de fórcipes do grupo (Adolescentes = 363; Adultas = 544).</w:t>
      </w:r>
      <w:r>
        <w:t xml:space="preserve"> </w:t>
      </w:r>
      <w:r>
        <w:t xml:space="preserve">União das 5 principais indicações de cada grupo; n (%) por faixa etária em colunas.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Adolescentes n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Adultas n 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Não informada</w:t>
            </w:r>
          </w:p>
        </w:tc>
        <w:tc>
          <w:p>
            <w:pPr>
              <w:pStyle w:val="Compact"/>
              <w:jc w:val="left"/>
            </w:pPr>
            <w:r>
              <w:t xml:space="preserve">216 (59,5)</w:t>
            </w:r>
          </w:p>
        </w:tc>
        <w:tc>
          <w:p>
            <w:pPr>
              <w:pStyle w:val="Compact"/>
              <w:jc w:val="left"/>
            </w:pPr>
            <w:r>
              <w:t xml:space="preserve">37 (6,8)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Alívio materno-fetal</w:t>
            </w:r>
          </w:p>
        </w:tc>
        <w:tc>
          <w:p>
            <w:pPr>
              <w:pStyle w:val="Compact"/>
              <w:jc w:val="left"/>
            </w:pPr>
            <w:r>
              <w:t xml:space="preserve">62 (17,1)</w:t>
            </w:r>
          </w:p>
        </w:tc>
        <w:tc>
          <w:p>
            <w:pPr>
              <w:pStyle w:val="Compact"/>
              <w:jc w:val="left"/>
            </w:pPr>
            <w:r>
              <w:t xml:space="preserve">208 (38,2)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Abreviação do período expulsivo</w:t>
            </w:r>
          </w:p>
        </w:tc>
        <w:tc>
          <w:p>
            <w:pPr>
              <w:pStyle w:val="Compact"/>
              <w:jc w:val="left"/>
            </w:pPr>
            <w:r>
              <w:t xml:space="preserve">41 (11,3)</w:t>
            </w:r>
          </w:p>
        </w:tc>
        <w:tc>
          <w:p>
            <w:pPr>
              <w:pStyle w:val="Compact"/>
              <w:jc w:val="left"/>
            </w:pPr>
            <w:r>
              <w:t xml:space="preserve">177 (32,5)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Distocia de rotação</w:t>
            </w:r>
          </w:p>
        </w:tc>
        <w:tc>
          <w:p>
            <w:pPr>
              <w:pStyle w:val="Compact"/>
              <w:jc w:val="left"/>
            </w:pPr>
            <w:r>
              <w:t xml:space="preserve">36 (9,9)</w:t>
            </w:r>
          </w:p>
        </w:tc>
        <w:tc>
          <w:p>
            <w:pPr>
              <w:pStyle w:val="Compact"/>
              <w:jc w:val="left"/>
            </w:pPr>
            <w:r>
              <w:t xml:space="preserve">95 (17,5)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Mecônio</w:t>
            </w:r>
          </w:p>
        </w:tc>
        <w:tc>
          <w:p>
            <w:pPr>
              <w:pStyle w:val="Compact"/>
              <w:jc w:val="left"/>
            </w:pPr>
            <w:r>
              <w:t xml:space="preserve">4 (1,1)</w:t>
            </w:r>
          </w:p>
        </w:tc>
        <w:tc>
          <w:p>
            <w:pPr>
              <w:pStyle w:val="Compact"/>
              <w:jc w:val="left"/>
            </w:pPr>
            <w:r>
              <w:t xml:space="preserve">3 (0,6)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Sofrimento fetal</w:t>
            </w:r>
          </w:p>
        </w:tc>
        <w:tc>
          <w:p>
            <w:pPr>
              <w:pStyle w:val="Compact"/>
              <w:jc w:val="left"/>
            </w:pPr>
            <w:r>
              <w:t xml:space="preserve">3 (0,8)</w:t>
            </w:r>
          </w:p>
        </w:tc>
        <w:tc>
          <w:p>
            <w:pPr>
              <w:pStyle w:val="Compact"/>
              <w:jc w:val="left"/>
            </w:pPr>
            <w:r>
              <w:t xml:space="preserve">10 (1,8)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de fórcipes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363 (100)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544 (100)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Limitação a registrar:</w:t>
      </w:r>
      <w:r>
        <w:t xml:space="preserve"> </w:t>
      </w:r>
      <w:r>
        <w:t xml:space="preserve">o fórcipe nas adolescentes tem</w:t>
      </w:r>
      <w:r>
        <w:t xml:space="preserve"> </w:t>
      </w:r>
      <w:r>
        <w:rPr>
          <w:b/>
        </w:rPr>
        <w:t xml:space="preserve">59,5% de indicação não</w:t>
      </w:r>
      <w:r>
        <w:rPr>
          <w:b/>
        </w:rPr>
        <w:t xml:space="preserve"> </w:t>
      </w:r>
      <w:r>
        <w:rPr>
          <w:b/>
        </w:rPr>
        <w:t xml:space="preserve">informada</w:t>
      </w:r>
      <w:r>
        <w:t xml:space="preserve"> </w:t>
      </w:r>
      <w:r>
        <w:t xml:space="preserve">(216 de 363). Isso precisa ser dito no texto — a leitura das indicações de</w:t>
      </w:r>
      <w:r>
        <w:t xml:space="preserve"> </w:t>
      </w:r>
      <w:r>
        <w:t xml:space="preserve">fórcipe nesse grupo é parcial. Diferente da cesárea, o fórcipe não dispõe da</w:t>
      </w:r>
      <w:r>
        <w:t xml:space="preserve"> </w:t>
      </w:r>
      <w:r>
        <w:t xml:space="preserve">classificação</w:t>
      </w:r>
      <w:r>
        <w:t xml:space="preserve"> </w:t>
      </w:r>
      <w:r>
        <w:rPr>
          <w:rStyle w:val="VerbatimChar"/>
        </w:rPr>
        <w:t xml:space="preserve">Indicacao_final</w:t>
      </w:r>
      <w:r>
        <w:t xml:space="preserve"> </w:t>
      </w:r>
      <w:r>
        <w:t xml:space="preserve">para recuperar esses motivos.</w:t>
      </w:r>
    </w:p>
    <w:p>
      <w:pPr>
        <w:pStyle w:val="Heading3"/>
      </w:pPr>
      <w:bookmarkStart w:id="48" w:name="figuras-regeneradas"/>
      <w:r>
        <w:t xml:space="preserve">8.3 Figuras (regeneradas)</w:t>
      </w:r>
      <w:bookmarkEnd w:id="48"/>
    </w:p>
    <w:p>
      <w:pPr>
        <w:pStyle w:val="FirstParagraph"/>
      </w:pPr>
      <w:r>
        <w:rPr>
          <w:rStyle w:val="VerbatimChar"/>
        </w:rPr>
        <w:t xml:space="preserve">results/figures/fig_obj3_indicacoes_cesarea.png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fig_obj3_indicacoes_forcipe.png</w:t>
      </w:r>
      <w:r>
        <w:t xml:space="preserve"> </w:t>
      </w:r>
      <w:r>
        <w:t xml:space="preserve">foram regeradas (barras horizontais, dodge por grupo etário; vermelho = adolescentes,</w:t>
      </w:r>
      <w:r>
        <w:t xml:space="preserve"> </w:t>
      </w:r>
      <w:r>
        <w:t xml:space="preserve">verde-azulado = adultas). Substituir as imagens das Figuras 5 e 6 da dissertação.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Principais indicações para cesárea (top 5 por grupo) — banco unido por RGHC" title="" id="1" name="Picture"/>
            <a:graphic>
              <a:graphicData uri="http://schemas.openxmlformats.org/drawingml/2006/picture">
                <pic:pic>
                  <pic:nvPicPr>
                    <pic:cNvPr descr="results/figures/fig_obj3_indicacoes_cesare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Principais indicações para cesárea (top 5 por grupo) — banco unido por RGHC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Principais indicações para fórcipe (top 5 por grupo)" title="" id="1" name="Picture"/>
            <a:graphic>
              <a:graphicData uri="http://schemas.openxmlformats.org/drawingml/2006/picture">
                <pic:pic>
                  <pic:nvPicPr>
                    <pic:cNvPr descr="results/figures/fig_obj3_indicacoes_forcip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Principais indicações para fórcipe (top 5 por grupo)</w:t>
      </w:r>
    </w:p>
    <w:p>
      <w:pPr>
        <w:pStyle w:val="Heading3"/>
      </w:pPr>
      <w:bookmarkStart w:id="51" w:name="texto-de-resultados-sugestões"/>
      <w:r>
        <w:t xml:space="preserve">8.4 Texto de resultados — sugestões</w:t>
      </w:r>
      <w:bookmarkEnd w:id="51"/>
    </w:p>
    <w:p>
      <w:pPr>
        <w:pStyle w:val="FirstParagraph"/>
      </w:pPr>
      <w:r>
        <w:rPr>
          <w:b/>
        </w:rPr>
        <w:t xml:space="preserve">5.4.1 Cesárea:</w:t>
      </w:r>
      <w:r>
        <w:t xml:space="preserve"> </w:t>
      </w:r>
      <w:r>
        <w:t xml:space="preserve">“</w:t>
      </w:r>
      <w:r>
        <w:t xml:space="preserve">Entre as adolescentes, as principais indicações de cesárea foram</w:t>
      </w:r>
      <w:r>
        <w:t xml:space="preserve"> </w:t>
      </w:r>
      <w:r>
        <w:t xml:space="preserve">sofrimento fetal (28,2%), distocia funcional (18,0%), desproporção céfalo-pélvica</w:t>
      </w:r>
      <w:r>
        <w:t xml:space="preserve"> </w:t>
      </w:r>
      <w:r>
        <w:t xml:space="preserve">(16,9%) e apresentação pélvica (7,6%). Entre as adultas predominaram sofrimento fetal</w:t>
      </w:r>
      <w:r>
        <w:t xml:space="preserve"> </w:t>
      </w:r>
      <w:r>
        <w:t xml:space="preserve">(22,0%), patologia materna (14,7%), distocia funcional (12,1%), iteratividade (11,2%) e</w:t>
      </w:r>
      <w:r>
        <w:t xml:space="preserve"> </w:t>
      </w:r>
      <w:r>
        <w:t xml:space="preserve">contraindicação de indução (10,3%). Destacam-se, nas adultas, a</w:t>
      </w:r>
      <w:r>
        <w:t xml:space="preserve"> </w:t>
      </w:r>
      <w:r>
        <w:rPr>
          <w:b/>
        </w:rPr>
        <w:t xml:space="preserve">iteratividade</w:t>
      </w:r>
      <w:r>
        <w:t xml:space="preserve"> </w:t>
      </w:r>
      <w:r>
        <w:t xml:space="preserve">e a</w:t>
      </w:r>
      <w:r>
        <w:t xml:space="preserve"> </w:t>
      </w:r>
      <w:r>
        <w:rPr>
          <w:b/>
        </w:rPr>
        <w:t xml:space="preserve">patologia materna</w:t>
      </w:r>
      <w:r>
        <w:t xml:space="preserve"> </w:t>
      </w:r>
      <w:r>
        <w:t xml:space="preserve">— praticamente ausentes entre as adolescentes —, coerentes com o</w:t>
      </w:r>
      <w:r>
        <w:t xml:space="preserve"> </w:t>
      </w:r>
      <w:r>
        <w:t xml:space="preserve">maior número de cesáreas prévias e de comorbidades nesse grupo. A desproporção</w:t>
      </w:r>
      <w:r>
        <w:t xml:space="preserve"> </w:t>
      </w:r>
      <w:r>
        <w:t xml:space="preserve">céfalo-pélvica e a apresentação pélvica tiveram peso proporcionalmente maior entre as</w:t>
      </w:r>
      <w:r>
        <w:t xml:space="preserve"> </w:t>
      </w:r>
      <w:r>
        <w:t xml:space="preserve">adolescentes.</w:t>
      </w:r>
      <w:r>
        <w:t xml:space="preserve">”</w:t>
      </w:r>
    </w:p>
    <w:p>
      <w:pPr>
        <w:pStyle w:val="BodyText"/>
      </w:pPr>
      <w:r>
        <w:rPr>
          <w:b/>
        </w:rPr>
        <w:t xml:space="preserve">5.4.2 Fórcipe:</w:t>
      </w:r>
      <w:r>
        <w:t xml:space="preserve"> </w:t>
      </w:r>
      <w:r>
        <w:t xml:space="preserve">“</w:t>
      </w:r>
      <w:r>
        <w:t xml:space="preserve">Entre as adultas, as indicações de fórcipe foram majoritariamente o</w:t>
      </w:r>
      <w:r>
        <w:t xml:space="preserve"> </w:t>
      </w:r>
      <w:r>
        <w:t xml:space="preserve">alívio materno-fetal (38,2%) e a abreviação do período expulsivo (32,5%), seguidas de</w:t>
      </w:r>
      <w:r>
        <w:t xml:space="preserve"> </w:t>
      </w:r>
      <w:r>
        <w:t xml:space="preserve">distocia de rotação (17,5%). O mesmo padrão apareceu nas adolescentes (alívio</w:t>
      </w:r>
      <w:r>
        <w:t xml:space="preserve"> </w:t>
      </w:r>
      <w:r>
        <w:t xml:space="preserve">materno-fetal 17,1%; abreviação do período expulsivo 11,3%; distocia de rotação 9,9%),</w:t>
      </w:r>
      <w:r>
        <w:t xml:space="preserve"> </w:t>
      </w:r>
      <w:r>
        <w:t xml:space="preserve">embora a maioria dos fórcipes nesse grupo não tivesse a indicação registrada (59,5%), o</w:t>
      </w:r>
      <w:r>
        <w:t xml:space="preserve"> </w:t>
      </w:r>
      <w:r>
        <w:t xml:space="preserve">que limita a interpretação.</w:t>
      </w:r>
      <w:r>
        <w:t xml:space="preserve">”</w:t>
      </w:r>
    </w:p>
    <w:p>
      <w:pPr>
        <w:pStyle w:val="Heading3"/>
      </w:pPr>
      <w:bookmarkStart w:id="52" w:name="checklist-da-seção-5.4"/>
      <w:r>
        <w:t xml:space="preserve">8.5 Checklist da Seção 5.4</w:t>
      </w:r>
      <w:bookmarkEnd w:id="52"/>
    </w:p>
    <w:p>
      <w:pPr>
        <w:numPr>
          <w:ilvl w:val="0"/>
          <w:numId w:val="1011"/>
        </w:numPr>
        <w:pStyle w:val="Compact"/>
      </w:pPr>
      <w:r>
        <w:t xml:space="preserve">☐ Substituir a Tabela 8 (cesárea) pela versão baseada em</w:t>
      </w:r>
      <w:r>
        <w:t xml:space="preserve"> </w:t>
      </w:r>
      <w:r>
        <w:rPr>
          <w:rStyle w:val="VerbatimChar"/>
        </w:rPr>
        <w:t xml:space="preserve">Indicacao_final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Atualizar a Tabela 9 (fórcipe) com os valores recalculados na coorte unificada.</w:t>
      </w:r>
    </w:p>
    <w:p>
      <w:pPr>
        <w:numPr>
          <w:ilvl w:val="0"/>
          <w:numId w:val="1011"/>
        </w:numPr>
        <w:pStyle w:val="Compact"/>
      </w:pPr>
      <w:r>
        <w:t xml:space="preserve">☐ Trocar as Figuras 5 e 6 pelas novas (</w:t>
      </w:r>
      <w:r>
        <w:rPr>
          <w:rStyle w:val="VerbatimChar"/>
        </w:rPr>
        <w:t xml:space="preserve">fig_obj3_*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☐ Acrescentar a frase de método (uso de</w:t>
      </w:r>
      <w:r>
        <w:t xml:space="preserve"> </w:t>
      </w:r>
      <w:r>
        <w:rPr>
          <w:rStyle w:val="VerbatimChar"/>
        </w:rPr>
        <w:t xml:space="preserve">Indicacao_final</w:t>
      </w:r>
      <w:r>
        <w:t xml:space="preserve"> </w:t>
      </w:r>
      <w:r>
        <w:t xml:space="preserve">+ união por RGHC).</w:t>
      </w:r>
    </w:p>
    <w:p>
      <w:pPr>
        <w:numPr>
          <w:ilvl w:val="0"/>
          <w:numId w:val="1011"/>
        </w:numPr>
        <w:pStyle w:val="Compact"/>
      </w:pPr>
      <w:r>
        <w:t xml:space="preserve">☐ Registrar a limitação do alto % de fórcipe sem indicação nas adolescentes.</w:t>
      </w:r>
    </w:p>
    <w:p>
      <w:pPr>
        <w:numPr>
          <w:ilvl w:val="0"/>
          <w:numId w:val="1011"/>
        </w:numPr>
        <w:pStyle w:val="Compact"/>
      </w:pPr>
      <w:r>
        <w:t xml:space="preserve">☐ Reescrever os parágrafos de 5.4.1 e 5.4.2 (sugestões acima).</w:t>
      </w:r>
    </w:p>
    <w:p>
      <w:pPr>
        <w:pStyle w:val="Heading3"/>
      </w:pPr>
      <w:bookmarkStart w:id="53" w:name="X873dbe466f5efe82849d22f75cc902bf95549c0"/>
      <w:r>
        <w:t xml:space="preserve">8.6 Versão alternativa — Tabela e Figura de cesárea com os dados da estatística (Stela)</w:t>
      </w:r>
      <w:bookmarkEnd w:id="53"/>
    </w:p>
    <w:p>
      <w:pPr>
        <w:pStyle w:val="FirstParagraph"/>
      </w:pPr>
      <w:r>
        <w:t xml:space="preserve">A estatística forneceu a tabulação oficial</w:t>
      </w:r>
      <w:r>
        <w:t xml:space="preserve"> </w:t>
      </w:r>
      <w:r>
        <w:rPr>
          <w:rStyle w:val="VerbatimChar"/>
        </w:rPr>
        <w:t xml:space="preserve">ind_final × grupo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IndicacaoCesareaStela.xlsx</w:t>
      </w:r>
      <w:r>
        <w:t xml:space="preserve">). Ela usa</w:t>
      </w:r>
      <w:r>
        <w:t xml:space="preserve"> </w:t>
      </w:r>
      <w:r>
        <w:rPr>
          <w:b/>
        </w:rPr>
        <w:t xml:space="preserve">três faixas etárias</w:t>
      </w:r>
      <w:r>
        <w:t xml:space="preserve"> </w:t>
      </w:r>
      <w:r>
        <w:t xml:space="preserve">(11–15, 16–19, 20–34),</w:t>
      </w:r>
      <w:r>
        <w:t xml:space="preserve"> </w:t>
      </w:r>
      <w:r>
        <w:rPr>
          <w:b/>
        </w:rPr>
        <w:t xml:space="preserve">categorias agrupadas próprias</w:t>
      </w:r>
      <w:r>
        <w:t xml:space="preserve"> </w:t>
      </w:r>
      <w:r>
        <w:t xml:space="preserve">(algumas fundem motivos — ex.:</w:t>
      </w:r>
      <w:r>
        <w:t xml:space="preserve"> </w:t>
      </w:r>
      <w:r>
        <w:t xml:space="preserve">“</w:t>
      </w:r>
      <w:r>
        <w:t xml:space="preserve">Sofrimento fetal /</w:t>
      </w:r>
      <w:r>
        <w:t xml:space="preserve"> </w:t>
      </w:r>
      <w:r>
        <w:t xml:space="preserve">Mecônio / Alteração de Vitalidade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Desproporção Céfalo-Pélvico / Fórcipe Falhado /</w:t>
      </w:r>
      <w:r>
        <w:t xml:space="preserve"> </w:t>
      </w:r>
      <w:r>
        <w:t xml:space="preserve">Vício pélvico / Macrossomia</w:t>
      </w:r>
      <w:r>
        <w:t xml:space="preserve">”</w:t>
      </w:r>
      <w:r>
        <w:t xml:space="preserve">) e</w:t>
      </w:r>
      <w:r>
        <w:t xml:space="preserve"> </w:t>
      </w:r>
      <w:r>
        <w:rPr>
          <w:b/>
        </w:rPr>
        <w:t xml:space="preserve">percentuais de coluna</w:t>
      </w:r>
      <w:r>
        <w:t xml:space="preserve"> </w:t>
      </w:r>
      <w:r>
        <w:t xml:space="preserve">(dentro de cada grupo etário).</w:t>
      </w:r>
      <w:r>
        <w:t xml:space="preserve"> </w:t>
      </w:r>
      <w:r>
        <w:t xml:space="preserve">O total de cesáreas dela (n = 3.593; 138 + 227 + 3.228) difere ligeiramente do meu</w:t>
      </w:r>
      <w:r>
        <w:t xml:space="preserve"> </w:t>
      </w:r>
      <w:r>
        <w:t xml:space="preserve">(n = 3.746), por ser outra extração/filtragem — algo a alinhar com ela antes do depósito.</w:t>
      </w:r>
    </w:p>
    <w:p>
      <w:pPr>
        <w:pStyle w:val="BodyText"/>
      </w:pPr>
      <w:r>
        <w:t xml:space="preserve">Gerei a versão correspondente:</w:t>
      </w:r>
    </w:p>
    <w:p>
      <w:pPr>
        <w:numPr>
          <w:ilvl w:val="0"/>
          <w:numId w:val="1012"/>
        </w:numPr>
        <w:pStyle w:val="Compact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results/tabelas_dissertacao/tab08_indicacoes_cesarea_estatistica.csv</w:t>
      </w:r>
    </w:p>
    <w:p>
      <w:pPr>
        <w:numPr>
          <w:ilvl w:val="0"/>
          <w:numId w:val="1012"/>
        </w:numPr>
        <w:pStyle w:val="Compact"/>
      </w:pPr>
      <w:r>
        <w:t xml:space="preserve">Figura:</w:t>
      </w:r>
      <w:r>
        <w:t xml:space="preserve"> </w:t>
      </w:r>
      <w:r>
        <w:rPr>
          <w:rStyle w:val="VerbatimChar"/>
        </w:rPr>
        <w:t xml:space="preserve">results/figures/fig_obj3_indicacoes_cesarea_estatistica.png</w:t>
      </w:r>
    </w:p>
    <w:p>
      <w:pPr>
        <w:pStyle w:val="CaptionedFigure"/>
      </w:pPr>
      <w:r>
        <w:drawing>
          <wp:inline>
            <wp:extent cx="5334000" cy="3315447"/>
            <wp:effectExtent b="0" l="0" r="0" t="0"/>
            <wp:docPr descr="Indicações de cesárea por faixa etária (dados da estatística)" title="" id="1" name="Picture"/>
            <a:graphic>
              <a:graphicData uri="http://schemas.openxmlformats.org/drawingml/2006/picture">
                <pic:pic>
                  <pic:nvPicPr>
                    <pic:cNvPr descr="results/figures/fig_obj3_indicacoes_cesarea_estatistic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Indicações de cesárea por faixa etária (dados da estatística)</w:t>
      </w:r>
    </w:p>
    <w:p>
      <w:pPr>
        <w:pStyle w:val="BodyText"/>
      </w:pPr>
      <w:r>
        <w:rPr>
          <w:b/>
        </w:rPr>
        <w:t xml:space="preserve">Tabela (todas as categorias; % dentro do grupo).</w:t>
      </w:r>
      <w:r>
        <w:t xml:space="preserve"> </w:t>
      </w:r>
      <w:r>
        <w:t xml:space="preserve">Denominadores: precoces = 138;</w:t>
      </w:r>
      <w:r>
        <w:t xml:space="preserve"> </w:t>
      </w:r>
      <w:r>
        <w:t xml:space="preserve">tardias = 227; adultas = 3.228.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Indicação (ind_final)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Precoces n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Tardias n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Adultas n 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Sofrimento fetal / Mecônio / Alteração de Vitalidade</w:t>
            </w:r>
          </w:p>
        </w:tc>
        <w:tc>
          <w:p>
            <w:pPr>
              <w:pStyle w:val="Compact"/>
              <w:jc w:val="left"/>
            </w:pPr>
            <w:r>
              <w:t xml:space="preserve">48 (34,8)</w:t>
            </w:r>
          </w:p>
        </w:tc>
        <w:tc>
          <w:p>
            <w:pPr>
              <w:pStyle w:val="Compact"/>
              <w:jc w:val="left"/>
            </w:pPr>
            <w:r>
              <w:t xml:space="preserve">75 (33,0)</w:t>
            </w:r>
          </w:p>
        </w:tc>
        <w:tc>
          <w:p>
            <w:pPr>
              <w:pStyle w:val="Compact"/>
              <w:jc w:val="left"/>
            </w:pPr>
            <w:r>
              <w:t xml:space="preserve">738 (22,9)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Patologia materna</w:t>
            </w:r>
          </w:p>
        </w:tc>
        <w:tc>
          <w:p>
            <w:pPr>
              <w:pStyle w:val="Compact"/>
              <w:jc w:val="left"/>
            </w:pPr>
            <w:r>
              <w:t xml:space="preserve">3 (2,2)</w:t>
            </w:r>
          </w:p>
        </w:tc>
        <w:tc>
          <w:p>
            <w:pPr>
              <w:pStyle w:val="Compact"/>
              <w:jc w:val="left"/>
            </w:pPr>
            <w:r>
              <w:t xml:space="preserve">3 (1,3)</w:t>
            </w:r>
          </w:p>
        </w:tc>
        <w:tc>
          <w:p>
            <w:pPr>
              <w:pStyle w:val="Compact"/>
              <w:jc w:val="left"/>
            </w:pPr>
            <w:r>
              <w:t xml:space="preserve">497 (15,4)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Distocia funcional / Parada de progressão / falha de indução</w:t>
            </w:r>
          </w:p>
        </w:tc>
        <w:tc>
          <w:p>
            <w:pPr>
              <w:pStyle w:val="Compact"/>
              <w:jc w:val="left"/>
            </w:pPr>
            <w:r>
              <w:t xml:space="preserve">27 (19,6)</w:t>
            </w:r>
          </w:p>
        </w:tc>
        <w:tc>
          <w:p>
            <w:pPr>
              <w:pStyle w:val="Compact"/>
              <w:jc w:val="left"/>
            </w:pPr>
            <w:r>
              <w:t xml:space="preserve">53 (23,3)</w:t>
            </w:r>
          </w:p>
        </w:tc>
        <w:tc>
          <w:p>
            <w:pPr>
              <w:pStyle w:val="Compact"/>
              <w:jc w:val="left"/>
            </w:pPr>
            <w:r>
              <w:t xml:space="preserve">406 (12,6)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Iteratividade</w:t>
            </w:r>
          </w:p>
        </w:tc>
        <w:tc>
          <w:p>
            <w:pPr>
              <w:pStyle w:val="Compact"/>
              <w:jc w:val="left"/>
            </w:pPr>
            <w:r>
              <w:t xml:space="preserve">0 (0,0)</w:t>
            </w:r>
          </w:p>
        </w:tc>
        <w:tc>
          <w:p>
            <w:pPr>
              <w:pStyle w:val="Compact"/>
              <w:jc w:val="left"/>
            </w:pPr>
            <w:r>
              <w:t xml:space="preserve">1 (0,4)</w:t>
            </w:r>
          </w:p>
        </w:tc>
        <w:tc>
          <w:p>
            <w:pPr>
              <w:pStyle w:val="Compact"/>
              <w:jc w:val="left"/>
            </w:pPr>
            <w:r>
              <w:t xml:space="preserve">375 (11,6)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Contraindicação de indução</w:t>
            </w:r>
          </w:p>
        </w:tc>
        <w:tc>
          <w:p>
            <w:pPr>
              <w:pStyle w:val="Compact"/>
              <w:jc w:val="left"/>
            </w:pPr>
            <w:r>
              <w:t xml:space="preserve">2 (1,4)</w:t>
            </w:r>
          </w:p>
        </w:tc>
        <w:tc>
          <w:p>
            <w:pPr>
              <w:pStyle w:val="Compact"/>
              <w:jc w:val="left"/>
            </w:pPr>
            <w:r>
              <w:t xml:space="preserve">13 (5,7)</w:t>
            </w:r>
          </w:p>
        </w:tc>
        <w:tc>
          <w:p>
            <w:pPr>
              <w:pStyle w:val="Compact"/>
              <w:jc w:val="left"/>
            </w:pPr>
            <w:r>
              <w:t xml:space="preserve">352 (10,9)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Desproporção céfalo-pélvica / fórcipe falhado / vício pélvico / macrossomia</w:t>
            </w:r>
          </w:p>
        </w:tc>
        <w:tc>
          <w:p>
            <w:pPr>
              <w:pStyle w:val="Compact"/>
              <w:jc w:val="left"/>
            </w:pPr>
            <w:r>
              <w:t xml:space="preserve">38 (27,5)</w:t>
            </w:r>
          </w:p>
        </w:tc>
        <w:tc>
          <w:p>
            <w:pPr>
              <w:pStyle w:val="Compact"/>
              <w:jc w:val="left"/>
            </w:pPr>
            <w:r>
              <w:t xml:space="preserve">43 (18,9)</w:t>
            </w:r>
          </w:p>
        </w:tc>
        <w:tc>
          <w:p>
            <w:pPr>
              <w:pStyle w:val="Compact"/>
              <w:jc w:val="left"/>
            </w:pPr>
            <w:r>
              <w:t xml:space="preserve">242 (7,5)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Patologia fetal / Malformação fetal</w:t>
            </w:r>
          </w:p>
        </w:tc>
        <w:tc>
          <w:p>
            <w:pPr>
              <w:pStyle w:val="Compact"/>
              <w:jc w:val="left"/>
            </w:pPr>
            <w:r>
              <w:t xml:space="preserve">4 (2,9)</w:t>
            </w:r>
          </w:p>
        </w:tc>
        <w:tc>
          <w:p>
            <w:pPr>
              <w:pStyle w:val="Compact"/>
              <w:jc w:val="left"/>
            </w:pPr>
            <w:r>
              <w:t xml:space="preserve">4 (1,8)</w:t>
            </w:r>
          </w:p>
        </w:tc>
        <w:tc>
          <w:p>
            <w:pPr>
              <w:pStyle w:val="Compact"/>
              <w:jc w:val="left"/>
            </w:pPr>
            <w:r>
              <w:t xml:space="preserve">249 (7,7)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Apresentação anômala</w:t>
            </w:r>
          </w:p>
        </w:tc>
        <w:tc>
          <w:p>
            <w:pPr>
              <w:pStyle w:val="Compact"/>
              <w:jc w:val="left"/>
            </w:pPr>
            <w:r>
              <w:t xml:space="preserve">9 (6,5)</w:t>
            </w:r>
          </w:p>
        </w:tc>
        <w:tc>
          <w:p>
            <w:pPr>
              <w:pStyle w:val="Compact"/>
              <w:jc w:val="left"/>
            </w:pPr>
            <w:r>
              <w:t xml:space="preserve">24 (10,6)</w:t>
            </w:r>
          </w:p>
        </w:tc>
        <w:tc>
          <w:p>
            <w:pPr>
              <w:pStyle w:val="Compact"/>
              <w:jc w:val="left"/>
            </w:pPr>
            <w:r>
              <w:t xml:space="preserve">159 (4,9)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Patologia obstétrica</w:t>
            </w:r>
          </w:p>
        </w:tc>
        <w:tc>
          <w:p>
            <w:pPr>
              <w:pStyle w:val="Compact"/>
              <w:jc w:val="left"/>
            </w:pPr>
            <w:r>
              <w:t xml:space="preserve">3 (2,2)</w:t>
            </w:r>
          </w:p>
        </w:tc>
        <w:tc>
          <w:p>
            <w:pPr>
              <w:pStyle w:val="Compact"/>
              <w:jc w:val="left"/>
            </w:pPr>
            <w:r>
              <w:t xml:space="preserve">4 (1,8)</w:t>
            </w:r>
          </w:p>
        </w:tc>
        <w:tc>
          <w:p>
            <w:pPr>
              <w:pStyle w:val="Compact"/>
              <w:jc w:val="left"/>
            </w:pPr>
            <w:r>
              <w:t xml:space="preserve">84 (2,6)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p>
            <w:pPr>
              <w:pStyle w:val="Compact"/>
              <w:jc w:val="left"/>
            </w:pPr>
            <w:r>
              <w:t xml:space="preserve">4 (2,9)</w:t>
            </w:r>
          </w:p>
        </w:tc>
        <w:tc>
          <w:p>
            <w:pPr>
              <w:pStyle w:val="Compact"/>
              <w:jc w:val="left"/>
            </w:pPr>
            <w:r>
              <w:t xml:space="preserve">7 (3,1)</w:t>
            </w:r>
          </w:p>
        </w:tc>
        <w:tc>
          <w:p>
            <w:pPr>
              <w:pStyle w:val="Compact"/>
              <w:jc w:val="left"/>
            </w:pPr>
            <w:r>
              <w:t xml:space="preserve">79 (2,4)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Placenta prévia</w:t>
            </w:r>
          </w:p>
        </w:tc>
        <w:tc>
          <w:p>
            <w:pPr>
              <w:pStyle w:val="Compact"/>
              <w:jc w:val="left"/>
            </w:pPr>
            <w:r>
              <w:t xml:space="preserve">0 (0,0)</w:t>
            </w:r>
          </w:p>
        </w:tc>
        <w:tc>
          <w:p>
            <w:pPr>
              <w:pStyle w:val="Compact"/>
              <w:jc w:val="left"/>
            </w:pPr>
            <w:r>
              <w:t xml:space="preserve">0 (0,0)</w:t>
            </w:r>
          </w:p>
        </w:tc>
        <w:tc>
          <w:p>
            <w:pPr>
              <w:pStyle w:val="Compact"/>
              <w:jc w:val="left"/>
            </w:pPr>
            <w:r>
              <w:t xml:space="preserve">47 (1,5)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138 (100)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227 (100)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3.228 (100)</w:t>
            </w:r>
          </w:p>
        </w:tc>
      </w:tr>
    </w:tbl>
    <w:p>
      <w:pPr>
        <w:pStyle w:val="BodyText"/>
      </w:pPr>
      <w:r>
        <w:rPr>
          <w:b/>
        </w:rPr>
        <w:t xml:space="preserve">Leituras que saltam (úteis para o texto):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sofrimento fetal</w:t>
      </w:r>
      <w:r>
        <w:t xml:space="preserve"> </w:t>
      </w:r>
      <w:r>
        <w:t xml:space="preserve">é a principal</w:t>
      </w:r>
      <w:r>
        <w:t xml:space="preserve"> </w:t>
      </w:r>
      <w:r>
        <w:t xml:space="preserve">indicação em todas as faixas, mas pesa mais nas adolescentes (34,8% e 33,0% vs. 22,9%).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desproporção/macrossomia</w:t>
      </w:r>
      <w:r>
        <w:t xml:space="preserve"> </w:t>
      </w:r>
      <w:r>
        <w:t xml:space="preserve">é marcante nas adolescentes precoces (27,5%) e cai nas</w:t>
      </w:r>
      <w:r>
        <w:t xml:space="preserve"> </w:t>
      </w:r>
      <w:r>
        <w:t xml:space="preserve">adultas (7,5%). Já</w:t>
      </w:r>
      <w:r>
        <w:t xml:space="preserve"> </w:t>
      </w:r>
      <w:r>
        <w:rPr>
          <w:b/>
        </w:rPr>
        <w:t xml:space="preserve">patologia materna</w:t>
      </w:r>
      <w:r>
        <w:t xml:space="preserve"> </w:t>
      </w:r>
      <w:r>
        <w:t xml:space="preserve">(15,4%) e</w:t>
      </w:r>
      <w:r>
        <w:t xml:space="preserve"> </w:t>
      </w:r>
      <w:r>
        <w:rPr>
          <w:b/>
        </w:rPr>
        <w:t xml:space="preserve">iteratividade</w:t>
      </w:r>
      <w:r>
        <w:t xml:space="preserve"> </w:t>
      </w:r>
      <w:r>
        <w:t xml:space="preserve">(11,6%) são quase</w:t>
      </w:r>
      <w:r>
        <w:t xml:space="preserve"> </w:t>
      </w:r>
      <w:r>
        <w:t xml:space="preserve">exclusivas das adultas — coerentes com mais comorbidades e cesárea prévia.</w:t>
      </w:r>
    </w:p>
    <w:p>
      <w:pPr>
        <w:pStyle w:val="BlockText"/>
      </w:pPr>
      <w:r>
        <w:rPr>
          <w:b/>
        </w:rPr>
        <w:t xml:space="preserve">Qual versão usar?</w:t>
      </w:r>
      <w:r>
        <w:t xml:space="preserve"> </w:t>
      </w:r>
      <w:r>
        <w:t xml:space="preserve">Esta (8.6) reflete a tabulação da estatística e mantém 3 faixas</w:t>
      </w:r>
      <w:r>
        <w:t xml:space="preserve"> </w:t>
      </w:r>
      <w:r>
        <w:t xml:space="preserve">etárias e as categorias agrupadas dela. A da §8.1 vem do banco unido por RGHC (coorte</w:t>
      </w:r>
      <w:r>
        <w:t xml:space="preserve"> </w:t>
      </w:r>
      <w:r>
        <w:t xml:space="preserve">§3.3, 2 faixas, rótulos por</w:t>
      </w:r>
      <w:r>
        <w:t xml:space="preserve"> </w:t>
      </w:r>
      <w:r>
        <w:rPr>
          <w:rStyle w:val="VerbatimChar"/>
        </w:rPr>
        <w:t xml:space="preserve">indicacao_cat</w:t>
      </w:r>
      <w:r>
        <w:t xml:space="preserve"> </w:t>
      </w:r>
      <w:r>
        <w:t xml:space="preserve">dominante).</w:t>
      </w:r>
      <w:r>
        <w:t xml:space="preserve"> </w:t>
      </w:r>
      <w:r>
        <w:rPr>
          <w:b/>
        </w:rPr>
        <w:t xml:space="preserve">Recomendo padronizar pela</w:t>
      </w:r>
      <w:r>
        <w:rPr>
          <w:b/>
        </w:rPr>
        <w:t xml:space="preserve"> </w:t>
      </w:r>
      <w:r>
        <w:rPr>
          <w:b/>
        </w:rPr>
        <w:t xml:space="preserve">versão da estatística</w:t>
      </w:r>
      <w:r>
        <w:t xml:space="preserve"> </w:t>
      </w:r>
      <w:r>
        <w:t xml:space="preserve">se ela for a fonte oficial — alinhando antes o N (3.593 vs.</w:t>
      </w:r>
      <w:r>
        <w:t xml:space="preserve"> </w:t>
      </w:r>
      <w:r>
        <w:t xml:space="preserve">3.746) e decidindo entre 2 ou 3 faixas etárias.</w:t>
      </w:r>
    </w:p>
    <w:p>
      <w:pPr>
        <w:pStyle w:val="Heading3"/>
      </w:pPr>
      <w:bookmarkStart w:id="55" w:name="X1949da0c78005a90bdf82dc9dbe108cbd025e11"/>
      <w:r>
        <w:t xml:space="preserve">8.7 ⚠️ Coerência de tamanho amostral — pendência aberta no manuscrito 16/06</w:t>
      </w:r>
      <w:bookmarkEnd w:id="55"/>
    </w:p>
    <w:p>
      <w:pPr>
        <w:pStyle w:val="FirstParagraph"/>
      </w:pPr>
      <w:r>
        <w:t xml:space="preserve">O manuscrito 16/06 já adotou a</w:t>
      </w:r>
      <w:r>
        <w:t xml:space="preserve"> </w:t>
      </w:r>
      <w:r>
        <w:rPr>
          <w:b/>
        </w:rPr>
        <w:t xml:space="preserve">Tabela 8 da estatística</w:t>
      </w:r>
      <w:r>
        <w:t xml:space="preserve"> </w:t>
      </w:r>
      <w:r>
        <w:t xml:space="preserve">(precoces 138 + tardias 227 =</w:t>
      </w:r>
      <w:r>
        <w:t xml:space="preserve"> </w:t>
      </w:r>
      <w:r>
        <w:rPr>
          <w:b/>
        </w:rPr>
        <w:t xml:space="preserve">365 cesáreas em adolescentes</w:t>
      </w:r>
      <w:r>
        <w:t xml:space="preserve">;</w:t>
      </w:r>
      <w:r>
        <w:t xml:space="preserve"> </w:t>
      </w:r>
      <w:r>
        <w:rPr>
          <w:b/>
        </w:rPr>
        <w:t xml:space="preserve">3.228 em adultas</w:t>
      </w:r>
      <w:r>
        <w:t xml:space="preserve">; total</w:t>
      </w:r>
      <w:r>
        <w:t xml:space="preserve"> </w:t>
      </w:r>
      <w:r>
        <w:rPr>
          <w:b/>
        </w:rPr>
        <w:t xml:space="preserve">3.593</w:t>
      </w:r>
      <w:r>
        <w:t xml:space="preserve">). Mas a</w:t>
      </w:r>
      <w:r>
        <w:t xml:space="preserve"> </w:t>
      </w:r>
      <w:r>
        <w:rPr>
          <w:b/>
        </w:rPr>
        <w:t xml:space="preserve">Tabela 4</w:t>
      </w:r>
      <w:r>
        <w:rPr>
          <w:b/>
        </w:rPr>
        <w:t xml:space="preserve"> </w:t>
      </w:r>
      <w:r>
        <w:rPr>
          <w:b/>
        </w:rPr>
        <w:t xml:space="preserve">(vias de parto)</w:t>
      </w:r>
      <w:r>
        <w:t xml:space="preserve"> </w:t>
      </w:r>
      <w:r>
        <w:t xml:space="preserve">do mesmo manuscrito — e a coorte §3.3 — contam</w:t>
      </w:r>
      <w:r>
        <w:t xml:space="preserve"> </w:t>
      </w:r>
      <w:r>
        <w:rPr>
          <w:b/>
        </w:rPr>
        <w:t xml:space="preserve">433 cesáreas em</w:t>
      </w:r>
      <w:r>
        <w:rPr>
          <w:b/>
        </w:rPr>
        <w:t xml:space="preserve"> </w:t>
      </w:r>
      <w:r>
        <w:rPr>
          <w:b/>
        </w:rPr>
        <w:t xml:space="preserve">adolescentes</w:t>
      </w:r>
      <w:r>
        <w:t xml:space="preserve"> </w:t>
      </w:r>
      <w:r>
        <w:t xml:space="preserve">(166 + 267),</w:t>
      </w:r>
      <w:r>
        <w:t xml:space="preserve"> </w:t>
      </w:r>
      <w:r>
        <w:rPr>
          <w:b/>
        </w:rPr>
        <w:t xml:space="preserve">3.313 em adultas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3.746 no total</w:t>
      </w:r>
      <w:r>
        <w:t xml:space="preserve">. Ou seja,</w:t>
      </w:r>
      <w:r>
        <w:t xml:space="preserve"> </w:t>
      </w:r>
      <w:r>
        <w:rPr>
          <w:b/>
        </w:rPr>
        <w:t xml:space="preserve">o número</w:t>
      </w:r>
      <w:r>
        <w:rPr>
          <w:b/>
        </w:rPr>
        <w:t xml:space="preserve"> </w:t>
      </w:r>
      <w:r>
        <w:rPr>
          <w:b/>
        </w:rPr>
        <w:t xml:space="preserve">de cesáreas muda entre a Tabela 4 e a Tabela 8</w:t>
      </w:r>
      <w:r>
        <w:t xml:space="preserve"> </w:t>
      </w:r>
      <w:r>
        <w:t xml:space="preserve">(Δ = 153 cesáreas). Os denominadores de</w:t>
      </w:r>
      <w:r>
        <w:t xml:space="preserve"> </w:t>
      </w:r>
      <w:r>
        <w:rPr>
          <w:b/>
        </w:rPr>
        <w:t xml:space="preserve">fórcipe</w:t>
      </w:r>
      <w:r>
        <w:t xml:space="preserve"> </w:t>
      </w:r>
      <w:r>
        <w:t xml:space="preserve">(363 / 544), por outro lado, batem.</w:t>
      </w:r>
    </w:p>
    <w:p>
      <w:pPr>
        <w:pStyle w:val="BodyText"/>
      </w:pPr>
      <w:r>
        <w:t xml:space="preserve">Pontos concretos a corrigir/decidir (detalhe e verificação por execução na</w:t>
      </w:r>
      <w:r>
        <w:t xml:space="preserve"> </w:t>
      </w:r>
      <w:r>
        <w:rPr>
          <w:b/>
        </w:rPr>
        <w:t xml:space="preserve">Seção 0 do</w:t>
      </w:r>
      <w:r>
        <w:rPr>
          <w:b/>
        </w:rPr>
        <w:t xml:space="preserve"> </w:t>
      </w:r>
      <w:r>
        <w:rPr>
          <w:rStyle w:val="VerbatimChar"/>
          <w:b/>
        </w:rPr>
        <w:t xml:space="preserve">RELATORIO_REVISAO_NUMERICA</w:t>
      </w:r>
      <w:r>
        <w:t xml:space="preserve">):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Rodapé da Tabela 8</w:t>
      </w:r>
      <w:r>
        <w:t xml:space="preserve"> </w:t>
      </w:r>
      <w:r>
        <w:t xml:space="preserve">diz adultas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 = 3.338 cesáreas</w:t>
      </w:r>
      <w:r>
        <w:rPr>
          <w:b/>
        </w:rPr>
        <w:t xml:space="preserve">”</w:t>
      </w:r>
      <w:r>
        <w:t xml:space="preserve"> </w:t>
      </w:r>
      <w:r>
        <w:t xml:space="preserve">— não bate nem com a</w:t>
      </w:r>
      <w:r>
        <w:t xml:space="preserve"> </w:t>
      </w:r>
      <w:r>
        <w:t xml:space="preserve">coluna da própria tabela (3.228) nem com a coorte (3.313).</w:t>
      </w:r>
      <w:r>
        <w:t xml:space="preserve"> </w:t>
      </w:r>
      <w:r>
        <w:rPr>
          <w:b/>
        </w:rPr>
        <w:t xml:space="preserve">Erro de digitação a</w:t>
      </w:r>
      <w:r>
        <w:rPr>
          <w:b/>
        </w:rPr>
        <w:t xml:space="preserve"> </w:t>
      </w:r>
      <w:r>
        <w:rPr>
          <w:b/>
        </w:rPr>
        <w:t xml:space="preserve">corrigir.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Resumo/Abstract</w:t>
      </w:r>
      <w:r>
        <w:t xml:space="preserve"> </w:t>
      </w:r>
      <w:r>
        <w:t xml:space="preserve">cita adultas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 = 5.279</w:t>
      </w:r>
      <w:r>
        <w:rPr>
          <w:b/>
        </w:rPr>
        <w:t xml:space="preserve">”</w:t>
      </w:r>
      <w:r>
        <w:t xml:space="preserve">; a coorte e o corpo dos Resultados</w:t>
      </w:r>
      <w:r>
        <w:t xml:space="preserve"> </w:t>
      </w:r>
      <w:r>
        <w:t xml:space="preserve">dizem</w:t>
      </w:r>
      <w:r>
        <w:t xml:space="preserve"> </w:t>
      </w:r>
      <w:r>
        <w:rPr>
          <w:b/>
        </w:rPr>
        <w:t xml:space="preserve">5.283</w:t>
      </w:r>
      <w:r>
        <w:t xml:space="preserve">.</w:t>
      </w:r>
      <w:r>
        <w:t xml:space="preserve"> </w:t>
      </w:r>
      <w:r>
        <w:rPr>
          <w:b/>
        </w:rPr>
        <w:t xml:space="preserve">Corrigir para 5.283.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Decisão de fundo:</w:t>
      </w:r>
      <w:r>
        <w:t xml:space="preserve"> </w:t>
      </w:r>
      <w:r>
        <w:t xml:space="preserve">padronizar a base das indicações de cesárea. Ou (a) usar a coorte</w:t>
      </w:r>
      <w:r>
        <w:t xml:space="preserve"> </w:t>
      </w:r>
      <w:r>
        <w:t xml:space="preserve">§3.3 (</w:t>
      </w:r>
      <w:r>
        <w:rPr>
          <w:rStyle w:val="VerbatimChar"/>
        </w:rPr>
        <w:t xml:space="preserve">analysis/03_indicacoes_parto.R</w:t>
      </w:r>
      <w:r>
        <w:t xml:space="preserve">: 433 / 3.313 / 3.746 — rastreável e coerente com</w:t>
      </w:r>
      <w:r>
        <w:t xml:space="preserve"> </w:t>
      </w:r>
      <w:r>
        <w:t xml:space="preserve">a Tabela 4), ou (b) manter a tabulação da estatística,</w:t>
      </w:r>
      <w:r>
        <w:t xml:space="preserve"> </w:t>
      </w:r>
      <w:r>
        <w:rPr>
          <w:b/>
        </w:rPr>
        <w:t xml:space="preserve">documentando o filtro dela</w:t>
      </w:r>
      <w:r>
        <w:t xml:space="preserve"> </w:t>
      </w:r>
      <w:r>
        <w:t xml:space="preserve">(por que 3.593 e não 3.746) e assumindo no texto que a base de indicações difere da</w:t>
      </w:r>
      <w:r>
        <w:t xml:space="preserve"> </w:t>
      </w:r>
      <w:r>
        <w:t xml:space="preserve">base das vias de parto.</w:t>
      </w:r>
      <w:r>
        <w:t xml:space="preserve"> </w:t>
      </w:r>
      <w:r>
        <w:rPr>
          <w:b/>
        </w:rPr>
        <w:t xml:space="preserve">Não dá para deixar as duas contagens convivendo sem nota.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2026-06-17T14:54:46Z</dcterms:created>
  <dcterms:modified xsi:type="dcterms:W3CDTF">2026-06-17T14:54:46Z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