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 w:before="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Tabelas da Dissertação — Análise comparativa pela classificação de Robson da via de nascimento entre gestantes adolescentes e adultas, HC-FMUSP, 1995–2017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Tabela 1. Características sociodemográficas das gestantes por faixa etária. HC-FMUSP, 1995–2017.</w:t>
      </w:r>
    </w:p>
    <w:tbl>
      <w:tblPr>
        <w:tblW w:type="dxa" w:w="9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1460"/>
        <w:gridCol w:w="1460"/>
        <w:gridCol w:w="1460"/>
        <w:gridCol w:w="490"/>
      </w:tblGrid>
      <w:tr>
        <w:trPr>
          <w:tblHeader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Variável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Categoria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Adolescentes precoces (11-15)
n = 538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Adolescentes tardias (16-19)
n = 829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Adultas (20-34)
n = 5.283</w:t>
            </w:r>
          </w:p>
        </w:tc>
        <w:tc>
          <w:tcPr>
            <w:tcW w:type="dxa" w:w="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Idade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Média ± DP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14,4 ± 0,8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16,6 ± 0,6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27,0 ± 4,1</w:t>
            </w:r>
          </w:p>
        </w:tc>
        <w:tc>
          <w:tcPr>
            <w:tcW w:type="dxa" w:w="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0,001 (KW)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Cor/raça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Branca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132 (55,9%)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188 (55,6%)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3.015 (60,1%)</w:t>
            </w:r>
          </w:p>
        </w:tc>
        <w:tc>
          <w:tcPr>
            <w:tcW w:type="dxa" w:w="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0,137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 branca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104 (44,1%)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150 (44,4%)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2.005 (39,9%)</w:t>
            </w:r>
          </w:p>
        </w:tc>
        <w:tc>
          <w:tcPr>
            <w:tcW w:type="dxa" w:w="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Escolaridade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Fundamental incompleto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(0,2%)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(0,1%)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45 (1,0%)</w:t>
            </w:r>
          </w:p>
        </w:tc>
        <w:tc>
          <w:tcPr>
            <w:tcW w:type="dxa" w:w="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0,001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Fundamental completo / Médio incompleto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379 (74,0%)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286 (37,1%)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1.738 (37,8%)</w:t>
            </w:r>
          </w:p>
        </w:tc>
        <w:tc>
          <w:tcPr>
            <w:tcW w:type="dxa" w:w="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Médio completo / Superior incompleto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132 (25,8%)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483 (62,7%)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2.549 (55,4%)</w:t>
            </w:r>
          </w:p>
        </w:tc>
        <w:tc>
          <w:tcPr>
            <w:tcW w:type="dxa" w:w="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Superior completo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 (0,0%)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 (0,0%)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267 (5,8%)</w:t>
            </w:r>
          </w:p>
        </w:tc>
        <w:tc>
          <w:tcPr>
            <w:tcW w:type="dxa" w:w="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Estado civil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Solteira/União estável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373 (73,4%)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448 (58,4%)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1.462 (29,3%)</w:t>
            </w:r>
          </w:p>
        </w:tc>
        <w:tc>
          <w:tcPr>
            <w:tcW w:type="dxa" w:w="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0,001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Casada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 (1,6%)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58 (7,6%)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1.828 (36,6%)</w:t>
            </w:r>
          </w:p>
        </w:tc>
        <w:tc>
          <w:tcPr>
            <w:tcW w:type="dxa" w:w="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União consensual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127 (25,0%)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260 (33,9%)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1.645 (32,9%)</w:t>
            </w:r>
          </w:p>
        </w:tc>
        <w:tc>
          <w:tcPr>
            <w:tcW w:type="dxa" w:w="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Divorciada/Separada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 (0,0%)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(0,1%)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57 (1,1%)</w:t>
            </w:r>
          </w:p>
        </w:tc>
        <w:tc>
          <w:tcPr>
            <w:tcW w:type="dxa" w:w="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Viúva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 (0,0%)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 (0,0%)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 (0,1%)</w:t>
            </w:r>
          </w:p>
        </w:tc>
        <w:tc>
          <w:tcPr>
            <w:tcW w:type="dxa" w:w="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538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829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5.283</w:t>
            </w:r>
          </w:p>
        </w:tc>
        <w:tc>
          <w:tcPr>
            <w:tcW w:type="dxa" w:w="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60" w:before="8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* p-valor obtido pelo teste do qui-quadrado de Pearson (ou Fisher exato/Monte Carlo quando aplicável). ***p &lt; 0,001; **p &lt; 0,01; *p &lt; 0,05; ns = não significativo. KW = teste de Kruskal-Wallis (para variável contínua Idade).</w:t>
      </w:r>
    </w:p>
    <w:p>
      <w:pPr>
        <w:spacing w:before="24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Tabela 2. Hábitos de vida das gestantes por faixa etária. HC-FMUSP, 1995–2017.</w:t>
      </w:r>
    </w:p>
    <w:tbl>
      <w:tblPr>
        <w:tblW w:type="dxa" w:w="9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1460"/>
        <w:gridCol w:w="1460"/>
        <w:gridCol w:w="1460"/>
        <w:gridCol w:w="490"/>
      </w:tblGrid>
      <w:tr>
        <w:trPr>
          <w:tblHeader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Variável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Categoria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Adolescentes precoces (11-15)
n = 538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Adolescentes tardias (16-19)
n = 829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Adultas (20-34)
n = 5.283</w:t>
            </w:r>
          </w:p>
        </w:tc>
        <w:tc>
          <w:tcPr>
            <w:tcW w:type="dxa" w:w="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Tabagismo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498 (92,6%)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713 (86,2%)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5.281 (100,0%)</w:t>
            </w:r>
          </w:p>
        </w:tc>
        <w:tc>
          <w:tcPr>
            <w:tcW w:type="dxa" w:w="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0,001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Sim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40 (7,4%)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114 (13,8%)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(0,0%)</w:t>
            </w:r>
          </w:p>
        </w:tc>
        <w:tc>
          <w:tcPr>
            <w:tcW w:type="dxa" w:w="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Uso de drogas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430 (92,5%)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620 (88,1%)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5.266 (99,7%)</w:t>
            </w:r>
          </w:p>
        </w:tc>
        <w:tc>
          <w:tcPr>
            <w:tcW w:type="dxa" w:w="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0,001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Sim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35 (7,5%)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84 (11,9%)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 (0,3%)</w:t>
            </w:r>
          </w:p>
        </w:tc>
        <w:tc>
          <w:tcPr>
            <w:tcW w:type="dxa" w:w="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Uso de álcool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509 (94,6%)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781 (94,4%)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5.283 (100,0%)</w:t>
            </w:r>
          </w:p>
        </w:tc>
        <w:tc>
          <w:tcPr>
            <w:tcW w:type="dxa" w:w="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0,001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Sim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29 (5,4%)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46 (5,6%)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 (0,0%)</w:t>
            </w:r>
          </w:p>
        </w:tc>
        <w:tc>
          <w:tcPr>
            <w:tcW w:type="dxa" w:w="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60" w:before="8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* p-valor obtido pelo teste do qui-quadrado de Pearson (ou Fisher exato/Monte Carlo quando aplicável). ***p &lt; 0,001; **p &lt; 0,01; *p &lt; 0,05; ns = não significativo.</w:t>
      </w:r>
    </w:p>
    <w:p>
      <w:pPr>
        <w:spacing w:before="24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Tabela 3. Comorbidades pré-existentes e complicações gestacionais por faixa etária. HC-FMUSP, 1995–2017.</w:t>
      </w:r>
    </w:p>
    <w:tbl>
      <w:tblPr>
        <w:tblW w:type="dxa" w:w="9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1460"/>
        <w:gridCol w:w="1460"/>
        <w:gridCol w:w="1460"/>
        <w:gridCol w:w="490"/>
      </w:tblGrid>
      <w:tr>
        <w:trPr>
          <w:tblHeader/>
        </w:trPr>
        <w:tc>
          <w:tcPr>
            <w:tcW w:type="dxa" w:w="480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Condição clínica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Adolescentes precoces (11-15)
n = 538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Adolescentes tardias (16-19)
n = 829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Adultas (20-34)
n = 5.283</w:t>
            </w:r>
          </w:p>
        </w:tc>
        <w:tc>
          <w:tcPr>
            <w:tcW w:type="dxa" w:w="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</w:t>
            </w:r>
          </w:p>
        </w:tc>
      </w:tr>
      <w:tr>
        <w:tc>
          <w:tcPr>
            <w:tcW w:type="dxa" w:w="480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Comorbidades pré-existentes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80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Qualquer patologia materna pré-existente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19 (3,5%)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40 (4,8%)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1.499 (28,4%)</w:t>
            </w:r>
          </w:p>
        </w:tc>
        <w:tc>
          <w:tcPr>
            <w:tcW w:type="dxa" w:w="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0,001</w:t>
            </w:r>
          </w:p>
        </w:tc>
      </w:tr>
      <w:tr>
        <w:tc>
          <w:tcPr>
            <w:tcW w:type="dxa" w:w="480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Asma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 (0,6%)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 (0,7%)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186 (3,5%)</w:t>
            </w:r>
          </w:p>
        </w:tc>
        <w:tc>
          <w:tcPr>
            <w:tcW w:type="dxa" w:w="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0,001</w:t>
            </w:r>
          </w:p>
        </w:tc>
      </w:tr>
      <w:tr>
        <w:tc>
          <w:tcPr>
            <w:tcW w:type="dxa" w:w="480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Cardiopatia materna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(0,2%)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 (0,6%)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184 (3,5%)</w:t>
            </w:r>
          </w:p>
        </w:tc>
        <w:tc>
          <w:tcPr>
            <w:tcW w:type="dxa" w:w="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0,001</w:t>
            </w:r>
          </w:p>
        </w:tc>
      </w:tr>
      <w:tr>
        <w:tc>
          <w:tcPr>
            <w:tcW w:type="dxa" w:w="480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Diabetes pré-gestacional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 (0,0%)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 (0,0%)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176 (3,3%)</w:t>
            </w:r>
          </w:p>
        </w:tc>
        <w:tc>
          <w:tcPr>
            <w:tcW w:type="dxa" w:w="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0,001</w:t>
            </w:r>
          </w:p>
        </w:tc>
      </w:tr>
      <w:tr>
        <w:tc>
          <w:tcPr>
            <w:tcW w:type="dxa" w:w="480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Epilepsia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 (0,6%)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(0,1%)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74 (1,4%)</w:t>
            </w:r>
          </w:p>
        </w:tc>
        <w:tc>
          <w:tcPr>
            <w:tcW w:type="dxa" w:w="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0,002</w:t>
            </w:r>
          </w:p>
        </w:tc>
      </w:tr>
      <w:tr>
        <w:tc>
          <w:tcPr>
            <w:tcW w:type="dxa" w:w="480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Hipertensão arterial crônica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(0,4%)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 (0,4%)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382 (7,2%)</w:t>
            </w:r>
          </w:p>
        </w:tc>
        <w:tc>
          <w:tcPr>
            <w:tcW w:type="dxa" w:w="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0,001</w:t>
            </w:r>
          </w:p>
        </w:tc>
      </w:tr>
      <w:tr>
        <w:tc>
          <w:tcPr>
            <w:tcW w:type="dxa" w:w="480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Trombofilias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 (0,0%)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(0,1%)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41 (0,8%)</w:t>
            </w:r>
          </w:p>
        </w:tc>
        <w:tc>
          <w:tcPr>
            <w:tcW w:type="dxa" w:w="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0,013</w:t>
            </w:r>
          </w:p>
        </w:tc>
      </w:tr>
      <w:tr>
        <w:tc>
          <w:tcPr>
            <w:tcW w:type="dxa" w:w="480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Complicações gestacionais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80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DHEG (definição alternativa)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26 (4,8%)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35 (4,2%)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599 (11,3%)</w:t>
            </w:r>
          </w:p>
        </w:tc>
        <w:tc>
          <w:tcPr>
            <w:tcW w:type="dxa" w:w="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0,001</w:t>
            </w:r>
          </w:p>
        </w:tc>
      </w:tr>
      <w:tr>
        <w:tc>
          <w:tcPr>
            <w:tcW w:type="dxa" w:w="480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Diabetes mellitus gestacional (DMG)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 (0,0%)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 (0,0%)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552 (10,5%)</w:t>
            </w:r>
          </w:p>
        </w:tc>
        <w:tc>
          <w:tcPr>
            <w:tcW w:type="dxa" w:w="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0,629</w:t>
            </w:r>
          </w:p>
        </w:tc>
      </w:tr>
      <w:tr>
        <w:tc>
          <w:tcPr>
            <w:tcW w:type="dxa" w:w="480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Eclâmpsia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 (0,0%)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 (0,0%)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95 (1,8%)</w:t>
            </w:r>
          </w:p>
        </w:tc>
        <w:tc>
          <w:tcPr>
            <w:tcW w:type="dxa" w:w="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0,848</w:t>
            </w:r>
          </w:p>
        </w:tc>
      </w:tr>
      <w:tr>
        <w:tc>
          <w:tcPr>
            <w:tcW w:type="dxa" w:w="480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Hipertensão gestacional / DHEG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 (0,0%)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 (0,0%)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812 (15,4%)</w:t>
            </w:r>
          </w:p>
        </w:tc>
        <w:tc>
          <w:tcPr>
            <w:tcW w:type="dxa" w:w="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0,546</w:t>
            </w:r>
          </w:p>
        </w:tc>
      </w:tr>
      <w:tr>
        <w:tc>
          <w:tcPr>
            <w:tcW w:type="dxa" w:w="480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Iminência de eclâmpsia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(0,2%)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(0,1%)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13 (0,2%)</w:t>
            </w:r>
          </w:p>
        </w:tc>
        <w:tc>
          <w:tcPr>
            <w:tcW w:type="dxa" w:w="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0,763</w:t>
            </w:r>
          </w:p>
        </w:tc>
      </w:tr>
      <w:tr>
        <w:tc>
          <w:tcPr>
            <w:tcW w:type="dxa" w:w="480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Pré-eclâmpsia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 (0,0%)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 (0,0%)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 (0,3%)</w:t>
            </w:r>
          </w:p>
        </w:tc>
        <w:tc>
          <w:tcPr>
            <w:tcW w:type="dxa" w:w="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0,940</w:t>
            </w:r>
          </w:p>
        </w:tc>
      </w:tr>
      <w:tr>
        <w:tc>
          <w:tcPr>
            <w:tcW w:type="dxa" w:w="480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Rotura prematura de membranas (RPMO)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(0,2%)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 (0,0%)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450 (8,5%)</w:t>
            </w:r>
          </w:p>
        </w:tc>
        <w:tc>
          <w:tcPr>
            <w:tcW w:type="dxa" w:w="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0,001</w:t>
            </w:r>
          </w:p>
        </w:tc>
      </w:tr>
      <w:tr>
        <w:tc>
          <w:tcPr>
            <w:tcW w:type="dxa" w:w="480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Diabetes mellitus gestacional (def. alternativa)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 (0,6%)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 (0,5%)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552 (10,4%)</w:t>
            </w:r>
          </w:p>
        </w:tc>
        <w:tc>
          <w:tcPr>
            <w:tcW w:type="dxa" w:w="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0,001</w:t>
            </w:r>
          </w:p>
        </w:tc>
      </w:tr>
    </w:tbl>
    <w:p>
      <w:pPr>
        <w:spacing w:after="160" w:before="8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* p-valor obtido pelo teste do qui-quadrado de Pearson (ou Fisher exato/Monte Carlo quando aplicável). ***p &lt; 0,001; **p &lt; 0,01; *p &lt; 0,05; ns = não significativo. NOTA: DMG (variável original) e Hipertensão gestacional/DHEG (variável original) apresentaram p &gt; 0,05 nos microdados filtrados pelo §3.3 — divergência em relação ao SPSS (que incluía 35+). Os valores exatos dos CSVs foram mantidos. Revisão com o orientador recomendada.</w:t>
      </w:r>
    </w:p>
    <w:p>
      <w:pPr>
        <w:spacing w:before="24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Tabela 4. Distribuição das vias de parto por faixa etária. HC-FMUSP, 1995–2017.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60"/>
        <w:gridCol w:w="1860"/>
        <w:gridCol w:w="1860"/>
        <w:gridCol w:w="1860"/>
      </w:tblGrid>
      <w:tr>
        <w:trPr>
          <w:tblHeader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Via de parto</w:t>
            </w:r>
          </w:p>
        </w:tc>
        <w:tc>
          <w:tcPr>
            <w:tcW w:type="dxa" w:w="1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Adolescentes precoces (11-15)
n = 538</w:t>
            </w:r>
          </w:p>
        </w:tc>
        <w:tc>
          <w:tcPr>
            <w:tcW w:type="dxa" w:w="1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Adolescentes tardias (16-19)
n = 829</w:t>
            </w:r>
          </w:p>
        </w:tc>
        <w:tc>
          <w:tcPr>
            <w:tcW w:type="dxa" w:w="1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Adultas (20-34)
n = 5.283</w:t>
            </w:r>
          </w:p>
        </w:tc>
        <w:tc>
          <w:tcPr>
            <w:tcW w:type="dxa" w:w="1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
n = 6.650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Normal</w:t>
            </w:r>
          </w:p>
        </w:tc>
        <w:tc>
          <w:tcPr>
            <w:tcW w:type="dxa" w:w="1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238 (44,2%)</w:t>
            </w:r>
          </w:p>
        </w:tc>
        <w:tc>
          <w:tcPr>
            <w:tcW w:type="dxa" w:w="1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333 (40,2%)</w:t>
            </w:r>
          </w:p>
        </w:tc>
        <w:tc>
          <w:tcPr>
            <w:tcW w:type="dxa" w:w="1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1.426 (27,0%)</w:t>
            </w:r>
          </w:p>
        </w:tc>
        <w:tc>
          <w:tcPr>
            <w:tcW w:type="dxa" w:w="1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1.997 (30,0%)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Cesárea</w:t>
            </w:r>
          </w:p>
        </w:tc>
        <w:tc>
          <w:tcPr>
            <w:tcW w:type="dxa" w:w="1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166 (30,9%)</w:t>
            </w:r>
          </w:p>
        </w:tc>
        <w:tc>
          <w:tcPr>
            <w:tcW w:type="dxa" w:w="1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267 (32,2%)</w:t>
            </w:r>
          </w:p>
        </w:tc>
        <w:tc>
          <w:tcPr>
            <w:tcW w:type="dxa" w:w="1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3.313 (62,7%)</w:t>
            </w:r>
          </w:p>
        </w:tc>
        <w:tc>
          <w:tcPr>
            <w:tcW w:type="dxa" w:w="1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3.746 (56,3%)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Fórcipe</w:t>
            </w:r>
          </w:p>
        </w:tc>
        <w:tc>
          <w:tcPr>
            <w:tcW w:type="dxa" w:w="1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134 (24,9%)</w:t>
            </w:r>
          </w:p>
        </w:tc>
        <w:tc>
          <w:tcPr>
            <w:tcW w:type="dxa" w:w="1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229 (27,6%)</w:t>
            </w:r>
          </w:p>
        </w:tc>
        <w:tc>
          <w:tcPr>
            <w:tcW w:type="dxa" w:w="1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544 (10,3%)</w:t>
            </w:r>
          </w:p>
        </w:tc>
        <w:tc>
          <w:tcPr>
            <w:tcW w:type="dxa" w:w="1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907 (13,6%)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538 (100,0%)</w:t>
            </w:r>
          </w:p>
        </w:tc>
        <w:tc>
          <w:tcPr>
            <w:tcW w:type="dxa" w:w="1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829 (100,0%)</w:t>
            </w:r>
          </w:p>
        </w:tc>
        <w:tc>
          <w:tcPr>
            <w:tcW w:type="dxa" w:w="1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5.283 (100,0%)</w:t>
            </w:r>
          </w:p>
        </w:tc>
        <w:tc>
          <w:tcPr>
            <w:tcW w:type="dxa" w:w="1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6.650 (100,0%)</w:t>
            </w:r>
          </w:p>
        </w:tc>
      </w:tr>
    </w:tbl>
    <w:p>
      <w:r>
        <w:br w:type="pag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Tabela 5. Distribuição das vias de parto por Grupo de Robson e faixa etária. HC-FMUSP, 1995–2017.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400"/>
        <w:gridCol w:w="1800"/>
        <w:gridCol w:w="1800"/>
        <w:gridCol w:w="1800"/>
        <w:gridCol w:w="1940"/>
      </w:tblGrid>
      <w:tr>
        <w:trPr>
          <w:tblHeader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Grupo
Robson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Via de parto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Adolescentes precoces (11-15)
n = 538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Adolescentes tardias (16-19)
n = 829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Adultas (20-34)
n = 5.283</w:t>
            </w:r>
          </w:p>
        </w:tc>
        <w:tc>
          <w:tcPr>
            <w:tcW w:type="dxa" w:w="1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</w:tr>
      <w:tr>
        <w:tc>
          <w:tcPr>
            <w:tcW w:type="dxa" w:w="9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Normal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188 (47,8%)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 (39,7%)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112 (28,6%)</w:t>
            </w:r>
          </w:p>
        </w:tc>
        <w:tc>
          <w:tcPr>
            <w:tcW w:type="dxa" w:w="1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502 (38,8%)</w:t>
            </w:r>
          </w:p>
        </w:tc>
      </w:tr>
      <w:t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Cesárea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109 (27,7%)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138 (27,1%)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147 (37,6%)</w:t>
            </w:r>
          </w:p>
        </w:tc>
        <w:tc>
          <w:tcPr>
            <w:tcW w:type="dxa" w:w="1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394 (30,5%)</w:t>
            </w:r>
          </w:p>
        </w:tc>
      </w:tr>
      <w:t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Fórcipe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96 (24,4%)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169 (33,2%)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132 (33,8%)</w:t>
            </w:r>
          </w:p>
        </w:tc>
        <w:tc>
          <w:tcPr>
            <w:tcW w:type="dxa" w:w="1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397 (30,7%)</w:t>
            </w:r>
          </w:p>
        </w:tc>
      </w:tr>
      <w:t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393 (100,0%)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509 (100,0%)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391 (100,0%)</w:t>
            </w:r>
          </w:p>
        </w:tc>
        <w:tc>
          <w:tcPr>
            <w:tcW w:type="dxa" w:w="1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1.293 (100,0%)</w:t>
            </w:r>
          </w:p>
        </w:tc>
      </w:tr>
      <w:tr>
        <w:tc>
          <w:tcPr>
            <w:tcW w:type="dxa" w:w="9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Normal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 (11,3%)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 (14,8%)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108 (11,5%)</w:t>
            </w:r>
          </w:p>
        </w:tc>
        <w:tc>
          <w:tcPr>
            <w:tcW w:type="dxa" w:w="1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126 (11,7%)</w:t>
            </w:r>
          </w:p>
        </w:tc>
      </w:tr>
      <w:t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Cesárea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 (47,2%)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47 (58,0%)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674 (71,8%)</w:t>
            </w:r>
          </w:p>
        </w:tc>
        <w:tc>
          <w:tcPr>
            <w:tcW w:type="dxa" w:w="1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746 (69,5%)</w:t>
            </w:r>
          </w:p>
        </w:tc>
      </w:tr>
      <w:t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Fórcipe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22 (41,5%)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22 (27,2%)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157 (16,7%)</w:t>
            </w:r>
          </w:p>
        </w:tc>
        <w:tc>
          <w:tcPr>
            <w:tcW w:type="dxa" w:w="1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201 (18,7%)</w:t>
            </w:r>
          </w:p>
        </w:tc>
      </w:tr>
      <w:t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53 (100,0%)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81 (100,0%)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939 (100,0%)</w:t>
            </w:r>
          </w:p>
        </w:tc>
        <w:tc>
          <w:tcPr>
            <w:tcW w:type="dxa" w:w="1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1.073 (100,0%)</w:t>
            </w:r>
          </w:p>
        </w:tc>
      </w:tr>
      <w:tr>
        <w:tc>
          <w:tcPr>
            <w:tcW w:type="dxa" w:w="9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Normal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 (38,5%)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57 (55,3%)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544 (68,7%)</w:t>
            </w:r>
          </w:p>
        </w:tc>
        <w:tc>
          <w:tcPr>
            <w:tcW w:type="dxa" w:w="1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611 (66,3%)</w:t>
            </w:r>
          </w:p>
        </w:tc>
      </w:tr>
      <w:t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Cesárea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 (42,3%)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26 (25,2%)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153 (19,3%)</w:t>
            </w:r>
          </w:p>
        </w:tc>
        <w:tc>
          <w:tcPr>
            <w:tcW w:type="dxa" w:w="1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190 (20,6%)</w:t>
            </w:r>
          </w:p>
        </w:tc>
      </w:tr>
      <w:t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Fórcipe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 (19,2%)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 (19,4%)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95 (12,0%)</w:t>
            </w:r>
          </w:p>
        </w:tc>
        <w:tc>
          <w:tcPr>
            <w:tcW w:type="dxa" w:w="1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120 (13,0%)</w:t>
            </w:r>
          </w:p>
        </w:tc>
      </w:tr>
      <w:t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26 (100,0%)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103 (100,0%)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792 (100,0%)</w:t>
            </w:r>
          </w:p>
        </w:tc>
        <w:tc>
          <w:tcPr>
            <w:tcW w:type="dxa" w:w="1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921 (100,0%)</w:t>
            </w:r>
          </w:p>
        </w:tc>
      </w:tr>
      <w:tr>
        <w:tc>
          <w:tcPr>
            <w:tcW w:type="dxa" w:w="9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Normal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179 (42,2%)</w:t>
            </w:r>
          </w:p>
        </w:tc>
        <w:tc>
          <w:tcPr>
            <w:tcW w:type="dxa" w:w="1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179 (42,2%)</w:t>
            </w:r>
          </w:p>
        </w:tc>
      </w:tr>
      <w:t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Cesárea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206 (48,6%)</w:t>
            </w:r>
          </w:p>
        </w:tc>
        <w:tc>
          <w:tcPr>
            <w:tcW w:type="dxa" w:w="1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206 (48,6%)</w:t>
            </w:r>
          </w:p>
        </w:tc>
      </w:tr>
      <w:t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Fórcipe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39 (9,2%)</w:t>
            </w:r>
          </w:p>
        </w:tc>
        <w:tc>
          <w:tcPr>
            <w:tcW w:type="dxa" w:w="1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39 (9,2%)</w:t>
            </w:r>
          </w:p>
        </w:tc>
      </w:tr>
      <w:t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—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—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424 (100,0%)</w:t>
            </w:r>
          </w:p>
        </w:tc>
        <w:tc>
          <w:tcPr>
            <w:tcW w:type="dxa" w:w="1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424 (100,0%)</w:t>
            </w:r>
          </w:p>
        </w:tc>
      </w:tr>
      <w:tr>
        <w:tc>
          <w:tcPr>
            <w:tcW w:type="dxa" w:w="9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Normal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73 (6,2%)</w:t>
            </w:r>
          </w:p>
        </w:tc>
        <w:tc>
          <w:tcPr>
            <w:tcW w:type="dxa" w:w="1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73 (6,2%)</w:t>
            </w:r>
          </w:p>
        </w:tc>
      </w:tr>
      <w:t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Cesárea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1.048 (89,2%)</w:t>
            </w:r>
          </w:p>
        </w:tc>
        <w:tc>
          <w:tcPr>
            <w:tcW w:type="dxa" w:w="1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1.048 (89,2%)</w:t>
            </w:r>
          </w:p>
        </w:tc>
      </w:tr>
      <w:t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Fórcipe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54 (4,6%)</w:t>
            </w:r>
          </w:p>
        </w:tc>
        <w:tc>
          <w:tcPr>
            <w:tcW w:type="dxa" w:w="1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54 (4,6%)</w:t>
            </w:r>
          </w:p>
        </w:tc>
      </w:tr>
      <w:t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—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—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1.175 (100,0%)</w:t>
            </w:r>
          </w:p>
        </w:tc>
        <w:tc>
          <w:tcPr>
            <w:tcW w:type="dxa" w:w="1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1.175 (100,0%)</w:t>
            </w:r>
          </w:p>
        </w:tc>
      </w:tr>
      <w:tr>
        <w:tc>
          <w:tcPr>
            <w:tcW w:type="dxa" w:w="9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Normal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 (0,0%)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 (0,0%)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(5,1%)</w:t>
            </w:r>
          </w:p>
        </w:tc>
        <w:tc>
          <w:tcPr>
            <w:tcW w:type="dxa" w:w="1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(4,9%)</w:t>
            </w:r>
          </w:p>
        </w:tc>
      </w:tr>
      <w:t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Cesárea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(100,0%)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(100,0%)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37 (94,9%)</w:t>
            </w:r>
          </w:p>
        </w:tc>
        <w:tc>
          <w:tcPr>
            <w:tcW w:type="dxa" w:w="1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39 (95,1%)</w:t>
            </w:r>
          </w:p>
        </w:tc>
      </w:tr>
      <w:t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Fórcipe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 (0,0%)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 (0,0%)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 (0,0%)</w:t>
            </w:r>
          </w:p>
        </w:tc>
        <w:tc>
          <w:tcPr>
            <w:tcW w:type="dxa" w:w="1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 (0,0%)</w:t>
            </w:r>
          </w:p>
        </w:tc>
      </w:tr>
      <w:t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 (100,0%)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 (100,0%)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39 (100,0%)</w:t>
            </w:r>
          </w:p>
        </w:tc>
        <w:tc>
          <w:tcPr>
            <w:tcW w:type="dxa" w:w="1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41 (100,0%)</w:t>
            </w:r>
          </w:p>
        </w:tc>
      </w:tr>
      <w:tr>
        <w:tc>
          <w:tcPr>
            <w:tcW w:type="dxa" w:w="9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Normal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 (0,0%)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(5,6%)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 (9,3%)</w:t>
            </w:r>
          </w:p>
        </w:tc>
        <w:tc>
          <w:tcPr>
            <w:tcW w:type="dxa" w:w="1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29 (9,0%)</w:t>
            </w:r>
          </w:p>
        </w:tc>
      </w:tr>
      <w:t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Cesárea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 (100,0%)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17 (94,4%)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272 (90,7%)</w:t>
            </w:r>
          </w:p>
        </w:tc>
        <w:tc>
          <w:tcPr>
            <w:tcW w:type="dxa" w:w="1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293 (91,0%)</w:t>
            </w:r>
          </w:p>
        </w:tc>
      </w:tr>
      <w:t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Fórcipe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 (0,0%)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 (0,0%)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 (0,0%)</w:t>
            </w:r>
          </w:p>
        </w:tc>
        <w:tc>
          <w:tcPr>
            <w:tcW w:type="dxa" w:w="1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 (0,0%)</w:t>
            </w:r>
          </w:p>
        </w:tc>
      </w:tr>
      <w:t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 (100,0%)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18 (100,0%)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300 (100,0%)</w:t>
            </w:r>
          </w:p>
        </w:tc>
        <w:tc>
          <w:tcPr>
            <w:tcW w:type="dxa" w:w="1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322 (100,0%)</w:t>
            </w:r>
          </w:p>
        </w:tc>
      </w:tr>
      <w:tr>
        <w:tc>
          <w:tcPr>
            <w:tcW w:type="dxa" w:w="9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9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Normal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 (0,0%)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 (0,0%)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 (10,0%)</w:t>
            </w:r>
          </w:p>
        </w:tc>
        <w:tc>
          <w:tcPr>
            <w:tcW w:type="dxa" w:w="1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 (8,5%)</w:t>
            </w:r>
          </w:p>
        </w:tc>
      </w:tr>
      <w:t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Cesárea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 (100,0%)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(100,0%)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36 (90,0%)</w:t>
            </w:r>
          </w:p>
        </w:tc>
        <w:tc>
          <w:tcPr>
            <w:tcW w:type="dxa" w:w="1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43 (91,5%)</w:t>
            </w:r>
          </w:p>
        </w:tc>
      </w:tr>
      <w:t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Fórcipe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 (0,0%)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 (0,0%)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 (0,0%)</w:t>
            </w:r>
          </w:p>
        </w:tc>
        <w:tc>
          <w:tcPr>
            <w:tcW w:type="dxa" w:w="1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 (0,0%)</w:t>
            </w:r>
          </w:p>
        </w:tc>
      </w:tr>
      <w:t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(100,0%)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 (100,0%)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40 (100,0%)</w:t>
            </w:r>
          </w:p>
        </w:tc>
        <w:tc>
          <w:tcPr>
            <w:tcW w:type="dxa" w:w="1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47 (100,0%)</w:t>
            </w:r>
          </w:p>
        </w:tc>
      </w:tr>
      <w:tr>
        <w:tc>
          <w:tcPr>
            <w:tcW w:type="dxa" w:w="9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Normal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34 (60,7%)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61 (53,0%)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376 (31,8%)</w:t>
            </w:r>
          </w:p>
        </w:tc>
        <w:tc>
          <w:tcPr>
            <w:tcW w:type="dxa" w:w="1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471 (34,8%)</w:t>
            </w:r>
          </w:p>
        </w:tc>
      </w:tr>
      <w:t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Cesárea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 (19,6%)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36 (31,3%)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740 (62,6%)</w:t>
            </w:r>
          </w:p>
        </w:tc>
        <w:tc>
          <w:tcPr>
            <w:tcW w:type="dxa" w:w="1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787 (58,1%)</w:t>
            </w:r>
          </w:p>
        </w:tc>
      </w:tr>
      <w:t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Fórcipe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 (19,6%)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18 (15,7%)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67 (5,7%)</w:t>
            </w:r>
          </w:p>
        </w:tc>
        <w:tc>
          <w:tcPr>
            <w:tcW w:type="dxa" w:w="1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96 (7,1%)</w:t>
            </w:r>
          </w:p>
        </w:tc>
      </w:tr>
      <w:t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56 (100,0%)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115 (100,0%)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1.183 (100,0%)</w:t>
            </w:r>
          </w:p>
        </w:tc>
        <w:tc>
          <w:tcPr>
            <w:tcW w:type="dxa" w:w="1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1.354 (100,0%)</w:t>
            </w:r>
          </w:p>
        </w:tc>
      </w:tr>
      <w:tr>
        <w:tc>
          <w:tcPr>
            <w:tcW w:type="dxa" w:w="230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geral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538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829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5.283</w:t>
            </w:r>
          </w:p>
        </w:tc>
        <w:tc>
          <w:tcPr>
            <w:tcW w:type="dxa" w:w="1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6.650</w:t>
            </w:r>
          </w:p>
        </w:tc>
      </w:tr>
    </w:tbl>
    <w:p>
      <w:pPr>
        <w:spacing w:after="160" w:before="8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Grupos 4 e 5 de Robson não ocorrem em adolescentes (exigem multiparidade ou cesárea prévia, respectivamente). — = categoria inexistente. Grupo 8 (todos os partos múltiplos) foi excluído por ausência de casos no período.</w:t>
      </w:r>
    </w:p>
    <w:p>
      <w:r>
        <w:br w:type="pag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Tabela 6. Taxa de cesárea (%) por Grupo de Robson e faixa etária, com IC 95% de Wilson. HC-FMUSP, 1995–2017.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1100"/>
        <w:gridCol w:w="1100"/>
        <w:gridCol w:w="1100"/>
        <w:gridCol w:w="3340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Grupo
Robson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Faixa etária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 total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 cesáreas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Taxa (%)</w:t>
            </w:r>
          </w:p>
        </w:tc>
        <w:tc>
          <w:tcPr>
            <w:tcW w:type="dxa" w:w="3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IC 95% (Wilson)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Adolescentes precoces (11-15)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393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109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27,7</w:t>
            </w:r>
          </w:p>
        </w:tc>
        <w:tc>
          <w:tcPr>
            <w:tcW w:type="dxa" w:w="3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23,5 – 32,4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Adolescentes tardias (16-19)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509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138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27,1</w:t>
            </w:r>
          </w:p>
        </w:tc>
        <w:tc>
          <w:tcPr>
            <w:tcW w:type="dxa" w:w="3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23,4 – 31,1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Adultas (20-34)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391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147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37,6</w:t>
            </w:r>
          </w:p>
        </w:tc>
        <w:tc>
          <w:tcPr>
            <w:tcW w:type="dxa" w:w="3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32,9 – 42,5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1.293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394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30,5</w:t>
            </w:r>
          </w:p>
        </w:tc>
        <w:tc>
          <w:tcPr>
            <w:tcW w:type="dxa" w:w="3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28,0 – 33,0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Adolescentes precoces (11-15)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53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47,2</w:t>
            </w:r>
          </w:p>
        </w:tc>
        <w:tc>
          <w:tcPr>
            <w:tcW w:type="dxa" w:w="3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34,4 – 60,3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Adolescentes tardias (16-19)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81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47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58,0</w:t>
            </w:r>
          </w:p>
        </w:tc>
        <w:tc>
          <w:tcPr>
            <w:tcW w:type="dxa" w:w="3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47,2 – 68,2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Adultas (20-34)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939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674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71,8</w:t>
            </w:r>
          </w:p>
        </w:tc>
        <w:tc>
          <w:tcPr>
            <w:tcW w:type="dxa" w:w="3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68,8 – 74,6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1.073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746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69,5</w:t>
            </w:r>
          </w:p>
        </w:tc>
        <w:tc>
          <w:tcPr>
            <w:tcW w:type="dxa" w:w="3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66,7 – 72,2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Adolescentes precoces (11-15)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26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42,3</w:t>
            </w:r>
          </w:p>
        </w:tc>
        <w:tc>
          <w:tcPr>
            <w:tcW w:type="dxa" w:w="3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25,5 – 61,1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Adolescentes tardias (16-19)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103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26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25,2</w:t>
            </w:r>
          </w:p>
        </w:tc>
        <w:tc>
          <w:tcPr>
            <w:tcW w:type="dxa" w:w="3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17,8 – 34,4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Adultas (20-34)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792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153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19,3</w:t>
            </w:r>
          </w:p>
        </w:tc>
        <w:tc>
          <w:tcPr>
            <w:tcW w:type="dxa" w:w="3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16,7 – 22,2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921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190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20,6</w:t>
            </w:r>
          </w:p>
        </w:tc>
        <w:tc>
          <w:tcPr>
            <w:tcW w:type="dxa" w:w="3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18,1 – 23,4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Adolescentes precoces (11-15)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3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Adolescentes tardias (16-19)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3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Adultas (20-34)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424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206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48,6</w:t>
            </w:r>
          </w:p>
        </w:tc>
        <w:tc>
          <w:tcPr>
            <w:tcW w:type="dxa" w:w="3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43,9 – 53,3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424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206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48,6</w:t>
            </w:r>
          </w:p>
        </w:tc>
        <w:tc>
          <w:tcPr>
            <w:tcW w:type="dxa" w:w="3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43,9 – 53,3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Adolescentes precoces (11-15)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3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Adolescentes tardias (16-19)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3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Adultas (20-34)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1.175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1.048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89,2</w:t>
            </w:r>
          </w:p>
        </w:tc>
        <w:tc>
          <w:tcPr>
            <w:tcW w:type="dxa" w:w="3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87,3 – 90,8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1.175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1.048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89,2</w:t>
            </w:r>
          </w:p>
        </w:tc>
        <w:tc>
          <w:tcPr>
            <w:tcW w:type="dxa" w:w="3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87,3 – 90,8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Adolescentes precoces (11-15)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100,0</w:t>
            </w:r>
          </w:p>
        </w:tc>
        <w:tc>
          <w:tcPr>
            <w:tcW w:type="dxa" w:w="3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20,7 – 100,0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Adolescentes tardias (16-19)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100,0</w:t>
            </w:r>
          </w:p>
        </w:tc>
        <w:tc>
          <w:tcPr>
            <w:tcW w:type="dxa" w:w="3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20,7 – 100,0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Adultas (20-34)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39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37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94,9</w:t>
            </w:r>
          </w:p>
        </w:tc>
        <w:tc>
          <w:tcPr>
            <w:tcW w:type="dxa" w:w="3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83,1 – 98,6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41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39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95,1</w:t>
            </w:r>
          </w:p>
        </w:tc>
        <w:tc>
          <w:tcPr>
            <w:tcW w:type="dxa" w:w="3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83,9 – 98,7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Adolescentes precoces (11-15)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100,0</w:t>
            </w:r>
          </w:p>
        </w:tc>
        <w:tc>
          <w:tcPr>
            <w:tcW w:type="dxa" w:w="3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51,0 – 100,0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Adolescentes tardias (16-19)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18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17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94,4</w:t>
            </w:r>
          </w:p>
        </w:tc>
        <w:tc>
          <w:tcPr>
            <w:tcW w:type="dxa" w:w="3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74,2 – 99,0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Adultas (20-34)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300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272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90,7</w:t>
            </w:r>
          </w:p>
        </w:tc>
        <w:tc>
          <w:tcPr>
            <w:tcW w:type="dxa" w:w="3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86,8 – 93,5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322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293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91,0</w:t>
            </w:r>
          </w:p>
        </w:tc>
        <w:tc>
          <w:tcPr>
            <w:tcW w:type="dxa" w:w="3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87,4 – 93,7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Adolescentes precoces (11-15)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100,0</w:t>
            </w:r>
          </w:p>
        </w:tc>
        <w:tc>
          <w:tcPr>
            <w:tcW w:type="dxa" w:w="3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56,6 – 100,0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Adolescentes tardias (16-19)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100,0</w:t>
            </w:r>
          </w:p>
        </w:tc>
        <w:tc>
          <w:tcPr>
            <w:tcW w:type="dxa" w:w="3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34,2 – 100,0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Adultas (20-34)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40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36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90,0</w:t>
            </w:r>
          </w:p>
        </w:tc>
        <w:tc>
          <w:tcPr>
            <w:tcW w:type="dxa" w:w="3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76,9 – 96,0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9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47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43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91,5</w:t>
            </w:r>
          </w:p>
        </w:tc>
        <w:tc>
          <w:tcPr>
            <w:tcW w:type="dxa" w:w="3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80,1 – 96,6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Adolescentes precoces (11-15)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56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19,6</w:t>
            </w:r>
          </w:p>
        </w:tc>
        <w:tc>
          <w:tcPr>
            <w:tcW w:type="dxa" w:w="3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11,3 – 31,8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Adolescentes tardias (16-19)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115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36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31,3</w:t>
            </w:r>
          </w:p>
        </w:tc>
        <w:tc>
          <w:tcPr>
            <w:tcW w:type="dxa" w:w="3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23,5 – 40,3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Adultas (20-34)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1.183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740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62,6</w:t>
            </w:r>
          </w:p>
        </w:tc>
        <w:tc>
          <w:tcPr>
            <w:tcW w:type="dxa" w:w="3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59,8 – 65,3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1.354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787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58,1</w:t>
            </w:r>
          </w:p>
        </w:tc>
        <w:tc>
          <w:tcPr>
            <w:tcW w:type="dxa" w:w="3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55,5 – 60,7</w:t>
            </w:r>
          </w:p>
        </w:tc>
      </w:tr>
    </w:tbl>
    <w:p>
      <w:pPr>
        <w:spacing w:after="160" w:before="8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IC 95% calculado pelo método de Wilson. — = ausência de parturientes nesse grupo/faixa.</w:t>
      </w:r>
    </w:p>
    <w:p>
      <w:pPr>
        <w:spacing w:before="24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Tabela 7. Resultados dos testes estatísticos para distribuição de via de parto por Grupo de Robson. HC-FMUSP, 1995–2017.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000"/>
        <w:gridCol w:w="1200"/>
        <w:gridCol w:w="900"/>
        <w:gridCol w:w="900"/>
        <w:gridCol w:w="1100"/>
        <w:gridCol w:w="3640"/>
      </w:tblGrid>
      <w:tr>
        <w:trPr>
          <w:tblHeader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Grupo
Robson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Teste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Estatística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gl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p-valor</w:t>
            </w:r>
          </w:p>
        </w:tc>
        <w:tc>
          <w:tcPr>
            <w:tcW w:type="dxa" w:w="3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Significância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1.293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Qui-quadrado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35,386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0,001</w:t>
            </w:r>
          </w:p>
        </w:tc>
        <w:tc>
          <w:tcPr>
            <w:tcW w:type="dxa" w:w="3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***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1.073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Qui-quadrado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26,522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0,001</w:t>
            </w:r>
          </w:p>
        </w:tc>
        <w:tc>
          <w:tcPr>
            <w:tcW w:type="dxa" w:w="3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***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921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Qui-quadrado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17,872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0,001</w:t>
            </w:r>
          </w:p>
        </w:tc>
        <w:tc>
          <w:tcPr>
            <w:tcW w:type="dxa" w:w="3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**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424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3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1.175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3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41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Qui-quadrado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0,108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0,948</w:t>
            </w:r>
          </w:p>
        </w:tc>
        <w:tc>
          <w:tcPr>
            <w:tcW w:type="dxa" w:w="3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ns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322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Qui-quadrado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0,697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0,706</w:t>
            </w:r>
          </w:p>
        </w:tc>
        <w:tc>
          <w:tcPr>
            <w:tcW w:type="dxa" w:w="3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ns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47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Qui-quadrado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0,765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0,682</w:t>
            </w:r>
          </w:p>
        </w:tc>
        <w:tc>
          <w:tcPr>
            <w:tcW w:type="dxa" w:w="3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ns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1.354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Qui-quadrado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85,130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0,001</w:t>
            </w:r>
          </w:p>
        </w:tc>
        <w:tc>
          <w:tcPr>
            <w:tcW w:type="dxa" w:w="3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***</w:t>
            </w:r>
          </w:p>
        </w:tc>
      </w:tr>
    </w:tbl>
    <w:p>
      <w:pPr>
        <w:spacing w:after="160" w:before="8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* p-valor obtido pelo teste do qui-quadrado de Pearson (ou Fisher exato/Monte Carlo quando aplicável). ***p &lt; 0,001; **p &lt; 0,01; *p &lt; 0,05; ns = não significativo. Grupos 4 e 5 não foram testados por ausência de adolescentes (apenas adultas). gl = graus de liberdade.</w:t>
      </w:r>
    </w:p>
    <w:p>
      <w:pPr>
        <w:spacing w:before="24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Tabela 8. Cinco principais indicações de cesárea por grupo etário (top 5). HC-FMUSP, 1995–2017.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200"/>
        <w:gridCol w:w="1900"/>
        <w:gridCol w:w="1790"/>
        <w:gridCol w:w="1850"/>
      </w:tblGrid>
      <w:tr>
        <w:trPr>
          <w:tblHeader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Posição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Indicação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Grupo</w:t>
            </w:r>
          </w:p>
        </w:tc>
        <w:tc>
          <w:tcPr>
            <w:tcW w:type="dxa" w:w="17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% (dentro do grupo)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1°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 informada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Adolescentes (11-19)</w:t>
            </w:r>
          </w:p>
        </w:tc>
        <w:tc>
          <w:tcPr>
            <w:tcW w:type="dxa" w:w="17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264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61,0%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2°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Distocia funcional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Adolescentes (11-19)</w:t>
            </w:r>
          </w:p>
        </w:tc>
        <w:tc>
          <w:tcPr>
            <w:tcW w:type="dxa" w:w="17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37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8,5%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3°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Mecônio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Adolescentes (11-19)</w:t>
            </w:r>
          </w:p>
        </w:tc>
        <w:tc>
          <w:tcPr>
            <w:tcW w:type="dxa" w:w="17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35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8,1%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4°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Sofrimento fetal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Adolescentes (11-19)</w:t>
            </w:r>
          </w:p>
        </w:tc>
        <w:tc>
          <w:tcPr>
            <w:tcW w:type="dxa" w:w="17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6,5%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5°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Desproporção céfalo-pélvica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Adolescentes (11-19)</w:t>
            </w:r>
          </w:p>
        </w:tc>
        <w:tc>
          <w:tcPr>
            <w:tcW w:type="dxa" w:w="17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22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5,1%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1°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Sofrimento fetal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Adultas (20-34)</w:t>
            </w:r>
          </w:p>
        </w:tc>
        <w:tc>
          <w:tcPr>
            <w:tcW w:type="dxa" w:w="17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552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16,7%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2°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 informada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Adultas (20-34)</w:t>
            </w:r>
          </w:p>
        </w:tc>
        <w:tc>
          <w:tcPr>
            <w:tcW w:type="dxa" w:w="17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514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15,5%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3°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Patologia materna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Adultas (20-34)</w:t>
            </w:r>
          </w:p>
        </w:tc>
        <w:tc>
          <w:tcPr>
            <w:tcW w:type="dxa" w:w="17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381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11,5%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4°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Distocia funcional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Adultas (20-34)</w:t>
            </w:r>
          </w:p>
        </w:tc>
        <w:tc>
          <w:tcPr>
            <w:tcW w:type="dxa" w:w="17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288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8,7%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5°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Iteratividade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Adultas (20-34)</w:t>
            </w:r>
          </w:p>
        </w:tc>
        <w:tc>
          <w:tcPr>
            <w:tcW w:type="dxa" w:w="17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263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7,9%</w:t>
            </w:r>
          </w:p>
        </w:tc>
      </w:tr>
      <w:tr>
        <w:tc>
          <w:tcPr>
            <w:tcW w:type="dxa" w:w="410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cesáreas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Adolescentes (11-19)</w:t>
            </w:r>
          </w:p>
        </w:tc>
        <w:tc>
          <w:tcPr>
            <w:tcW w:type="dxa" w:w="17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433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100,0%</w:t>
            </w:r>
          </w:p>
        </w:tc>
      </w:tr>
      <w:tr>
        <w:tc>
          <w:tcPr>
            <w:tcW w:type="dxa" w:w="410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cesáreas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Adultas (20-34)</w:t>
            </w:r>
          </w:p>
        </w:tc>
        <w:tc>
          <w:tcPr>
            <w:tcW w:type="dxa" w:w="17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3.313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100,0%</w:t>
            </w:r>
          </w:p>
        </w:tc>
      </w:tr>
    </w:tbl>
    <w:p>
      <w:pPr>
        <w:spacing w:after="160" w:before="8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Percentuais calculados sobre o total de cesáreas de cada grupo. Adolescentes = precoces (11-15) + tardias (16-19); n = 433 cesáreas. Adultas (20-34): n = 3.313 cesáreas.</w:t>
      </w:r>
    </w:p>
    <w:p>
      <w:pPr>
        <w:spacing w:before="24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Tabela 9. Cinco principais indicações de fórcipe por grupo etário (top 5). HC-FMUSP, 1995–2017.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200"/>
        <w:gridCol w:w="1900"/>
        <w:gridCol w:w="1790"/>
        <w:gridCol w:w="1850"/>
      </w:tblGrid>
      <w:tr>
        <w:trPr>
          <w:tblHeader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Posição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Indicação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Grupo</w:t>
            </w:r>
          </w:p>
        </w:tc>
        <w:tc>
          <w:tcPr>
            <w:tcW w:type="dxa" w:w="17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% (dentro do grupo)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1°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 informada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Adolescentes (11-19)</w:t>
            </w:r>
          </w:p>
        </w:tc>
        <w:tc>
          <w:tcPr>
            <w:tcW w:type="dxa" w:w="17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216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59,5%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2°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Alívio materno-fetal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Adolescentes (11-19)</w:t>
            </w:r>
          </w:p>
        </w:tc>
        <w:tc>
          <w:tcPr>
            <w:tcW w:type="dxa" w:w="17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62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17,1%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3°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Abreviação do período expulsivo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Adolescentes (11-19)</w:t>
            </w:r>
          </w:p>
        </w:tc>
        <w:tc>
          <w:tcPr>
            <w:tcW w:type="dxa" w:w="17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41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11,3%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4°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Distocia de rotação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Adolescentes (11-19)</w:t>
            </w:r>
          </w:p>
        </w:tc>
        <w:tc>
          <w:tcPr>
            <w:tcW w:type="dxa" w:w="17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36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9,9%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5°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Mecônio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Adolescentes (11-19)</w:t>
            </w:r>
          </w:p>
        </w:tc>
        <w:tc>
          <w:tcPr>
            <w:tcW w:type="dxa" w:w="17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1,1%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1°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Alívio materno-fetal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Adultas (20-34)</w:t>
            </w:r>
          </w:p>
        </w:tc>
        <w:tc>
          <w:tcPr>
            <w:tcW w:type="dxa" w:w="17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208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38,2%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2°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Abreviação do período expulsivo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Adultas (20-34)</w:t>
            </w:r>
          </w:p>
        </w:tc>
        <w:tc>
          <w:tcPr>
            <w:tcW w:type="dxa" w:w="17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177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32,5%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3°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Distocia de rotação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Adultas (20-34)</w:t>
            </w:r>
          </w:p>
        </w:tc>
        <w:tc>
          <w:tcPr>
            <w:tcW w:type="dxa" w:w="17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95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17,5%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4°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 informada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Adultas (20-34)</w:t>
            </w:r>
          </w:p>
        </w:tc>
        <w:tc>
          <w:tcPr>
            <w:tcW w:type="dxa" w:w="17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37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6,8%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5°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Sofrimento fetal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Adultas (20-34)</w:t>
            </w:r>
          </w:p>
        </w:tc>
        <w:tc>
          <w:tcPr>
            <w:tcW w:type="dxa" w:w="17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1,8%</w:t>
            </w:r>
          </w:p>
        </w:tc>
      </w:tr>
      <w:tr>
        <w:tc>
          <w:tcPr>
            <w:tcW w:type="dxa" w:w="410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fórcipes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Adolescentes (11-19)</w:t>
            </w:r>
          </w:p>
        </w:tc>
        <w:tc>
          <w:tcPr>
            <w:tcW w:type="dxa" w:w="17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363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100,0%</w:t>
            </w:r>
          </w:p>
        </w:tc>
      </w:tr>
      <w:tr>
        <w:tc>
          <w:tcPr>
            <w:tcW w:type="dxa" w:w="410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fórcipes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Adultas (20-34)</w:t>
            </w:r>
          </w:p>
        </w:tc>
        <w:tc>
          <w:tcPr>
            <w:tcW w:type="dxa" w:w="17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544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100,0%</w:t>
            </w:r>
          </w:p>
        </w:tc>
      </w:tr>
    </w:tbl>
    <w:p>
      <w:pPr>
        <w:spacing w:after="160" w:before="8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Percentuais calculados sobre o total de fórcipes de cada grupo. Adolescentes = precoces (11-15) + tardias (16-19); n = 363 fórcipes. Adultas (20-34): n = 544 fórcipes.</w:t>
      </w:r>
    </w:p>
    <w:p>
      <w:r>
        <w:br w:type="pag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Tabela 10. Modelo 4 de regressão logística múltipla para parto cesárea (SPSS). HC-FMUSP, 1995–2017.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900"/>
        <w:gridCol w:w="1200"/>
        <w:gridCol w:w="1000"/>
        <w:gridCol w:w="1200"/>
        <w:gridCol w:w="1140"/>
      </w:tblGrid>
      <w:tr>
        <w:trPr>
          <w:tblHeader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Variável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p-valor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IC 95% inf.</w:t>
            </w:r>
          </w:p>
        </w:tc>
        <w:tc>
          <w:tcPr>
            <w:tcW w:type="dxa" w:w="11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IC 95% sup.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Faixa etária adulta (vs. Adolescente)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0,581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0,015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1,79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1,12</w:t>
            </w:r>
          </w:p>
        </w:tc>
        <w:tc>
          <w:tcPr>
            <w:tcW w:type="dxa" w:w="11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2,86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Hipertensão obstétrica / DHEG (Sim)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−0,914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0,001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0,40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0,32</w:t>
            </w:r>
          </w:p>
        </w:tc>
        <w:tc>
          <w:tcPr>
            <w:tcW w:type="dxa" w:w="11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0,50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Grupo de Robson 2 (Nulípara, induzida/CS pré-parto)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1,478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0,001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4,38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3,30</w:t>
            </w:r>
          </w:p>
        </w:tc>
        <w:tc>
          <w:tcPr>
            <w:tcW w:type="dxa" w:w="11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5,82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Grupo de Robson 3 (Multípara, espontânea)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−0,727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0,001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0,48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0,35</w:t>
            </w:r>
          </w:p>
        </w:tc>
        <w:tc>
          <w:tcPr>
            <w:tcW w:type="dxa" w:w="11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0,66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Grupo de Robson 4 (Multípara, induzida/CS pré-parto)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0,620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0,001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1,86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1,33</w:t>
            </w:r>
          </w:p>
        </w:tc>
        <w:tc>
          <w:tcPr>
            <w:tcW w:type="dxa" w:w="11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2,59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Grupo de Robson 5 (Multípara com cesárea prévia)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2,613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0,001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13,65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9,88</w:t>
            </w:r>
          </w:p>
        </w:tc>
        <w:tc>
          <w:tcPr>
            <w:tcW w:type="dxa" w:w="11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18,85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Grupo de Robson 6 (Nulípara pélvica)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3,163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0,001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23,65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5,49</w:t>
            </w:r>
          </w:p>
        </w:tc>
        <w:tc>
          <w:tcPr>
            <w:tcW w:type="dxa" w:w="11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101,89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Grupo de Robson 7 (Multípara pélvica)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3,130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0,001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22,86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13,05</w:t>
            </w:r>
          </w:p>
        </w:tc>
        <w:tc>
          <w:tcPr>
            <w:tcW w:type="dxa" w:w="11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40,08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Grupo de Robson 9 (Apresentação anômala/transversa)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3,320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0,001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27,66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6,49</w:t>
            </w:r>
          </w:p>
        </w:tc>
        <w:tc>
          <w:tcPr>
            <w:tcW w:type="dxa" w:w="11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117,89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Grupo de Robson 10 (Pré-termo)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0,988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0,001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2,69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2,05</w:t>
            </w:r>
          </w:p>
        </w:tc>
        <w:tc>
          <w:tcPr>
            <w:tcW w:type="dxa" w:w="11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3,52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Constante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−0,384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0,073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0,68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1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60" w:before="8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Modelo de regressão logística múltipla ajustado por Grupo de Robson reduzido. Variável dependente: parto cesárea. Análise conduzida pela estatística do programa de pós-graduação no SPSS. Hosmer-Lemeshow χ² = 5,215; gl = 6; p = 0,517. Grupo de referência: Robson 1. OR = odds ratio; IC 95% = intervalo de confiança de 95%; B = coeficiente de regressão. Análise conduzida pela estatística do programa no SPSS.</w:t>
      </w:r>
    </w:p>
    <w:p>
      <w:pPr>
        <w:spacing w:before="24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Tabela 11. Desfechos neonatais por faixa etária materna. HC-FMUSP, 1995–2017.</w:t>
      </w:r>
    </w:p>
    <w:tbl>
      <w:tblPr>
        <w:tblW w:type="dxa" w:w="9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1460"/>
        <w:gridCol w:w="1460"/>
        <w:gridCol w:w="1460"/>
        <w:gridCol w:w="490"/>
      </w:tblGrid>
      <w:tr>
        <w:trPr>
          <w:tblHeader/>
        </w:trPr>
        <w:tc>
          <w:tcPr>
            <w:tcW w:type="dxa" w:w="480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Desfecho neonatal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Adolescentes precoces (11-15)
n = 538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Adolescentes tardias (16-19)
n = 829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Adultas (20-34)
n = 5.283</w:t>
            </w:r>
          </w:p>
        </w:tc>
        <w:tc>
          <w:tcPr>
            <w:tcW w:type="dxa" w:w="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</w:t>
            </w:r>
          </w:p>
        </w:tc>
      </w:tr>
      <w:tr>
        <w:tc>
          <w:tcPr>
            <w:tcW w:type="dxa" w:w="480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Apgar 1º min &lt; 7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49 (9,1%)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68 (8,2%)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711 (13,5%)</w:t>
            </w:r>
          </w:p>
        </w:tc>
        <w:tc>
          <w:tcPr>
            <w:tcW w:type="dxa" w:w="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0,001</w:t>
            </w:r>
          </w:p>
        </w:tc>
      </w:tr>
      <w:tr>
        <w:tc>
          <w:tcPr>
            <w:tcW w:type="dxa" w:w="480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Apgar 5º min &lt; 7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19 (3,5%)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21 (2,5%)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259 (4,9%)</w:t>
            </w:r>
          </w:p>
        </w:tc>
        <w:tc>
          <w:tcPr>
            <w:tcW w:type="dxa" w:w="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0,005</w:t>
            </w:r>
          </w:p>
        </w:tc>
      </w:tr>
      <w:tr>
        <w:tc>
          <w:tcPr>
            <w:tcW w:type="dxa" w:w="480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Malformação fetal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 (2,0%)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 (1,7%)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366 (6,9%)</w:t>
            </w:r>
          </w:p>
        </w:tc>
        <w:tc>
          <w:tcPr>
            <w:tcW w:type="dxa" w:w="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0,001</w:t>
            </w:r>
          </w:p>
        </w:tc>
      </w:tr>
      <w:tr>
        <w:tc>
          <w:tcPr>
            <w:tcW w:type="dxa" w:w="480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Prematuridade &lt; 32 semanas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 (1,3%)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22 (2,7%)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312 (6,0%)</w:t>
            </w:r>
          </w:p>
        </w:tc>
        <w:tc>
          <w:tcPr>
            <w:tcW w:type="dxa" w:w="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0,001</w:t>
            </w:r>
          </w:p>
        </w:tc>
      </w:tr>
      <w:tr>
        <w:tc>
          <w:tcPr>
            <w:tcW w:type="dxa" w:w="480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Prematuridade &lt; 37 semanas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57 (10,6%)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121 (14,6%)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1.270 (24,3%)</w:t>
            </w:r>
          </w:p>
        </w:tc>
        <w:tc>
          <w:tcPr>
            <w:tcW w:type="dxa" w:w="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0,001</w:t>
            </w:r>
          </w:p>
        </w:tc>
      </w:tr>
      <w:tr>
        <w:tc>
          <w:tcPr>
            <w:tcW w:type="dxa" w:w="480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RNBP &lt; 1.500 g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 (1,5%)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23 (2,8%)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330 (6,3%)</w:t>
            </w:r>
          </w:p>
        </w:tc>
        <w:tc>
          <w:tcPr>
            <w:tcW w:type="dxa" w:w="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0,001</w:t>
            </w:r>
          </w:p>
        </w:tc>
      </w:tr>
      <w:tr>
        <w:tc>
          <w:tcPr>
            <w:tcW w:type="dxa" w:w="480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RNBP &lt; 2.500 g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59 (11,0%)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106 (12,9%)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1.145 (21,7%)</w:t>
            </w:r>
          </w:p>
        </w:tc>
        <w:tc>
          <w:tcPr>
            <w:tcW w:type="dxa" w:w="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0,001</w:t>
            </w:r>
          </w:p>
        </w:tc>
      </w:tr>
      <w:tr>
        <w:tc>
          <w:tcPr>
            <w:tcW w:type="dxa" w:w="480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Óbito fetal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 (1,3%)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 (1,2%)</w:t>
            </w:r>
          </w:p>
        </w:tc>
        <w:tc>
          <w:tcPr>
            <w:tcW w:type="dxa" w:w="1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124 (2,3%)</w:t>
            </w:r>
          </w:p>
        </w:tc>
        <w:tc>
          <w:tcPr>
            <w:tcW w:type="dxa" w:w="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0,041</w:t>
            </w:r>
          </w:p>
        </w:tc>
      </w:tr>
    </w:tbl>
    <w:p>
      <w:pPr>
        <w:spacing w:after="160" w:before="8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* p-valor obtido pelo teste do qui-quadrado de Pearson (ou Fisher exato/Monte Carlo quando aplicável). ***p &lt; 0,001; **p &lt; 0,01; *p &lt; 0,05; ns = não significativo. RNBP = recém-nascido de baixo peso.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2026-05-22T23:28:17.415Z</dcterms:created>
  <dcterms:modified xsi:type="dcterms:W3CDTF">2026-05-22T23:28:17.416Z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