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8E67" w14:textId="77777777" w:rsidR="00F81460" w:rsidRPr="00E97F6A" w:rsidRDefault="00000000">
      <w:pPr>
        <w:pStyle w:val="Heading1"/>
        <w:rPr>
          <w:lang w:val="pt-BR"/>
        </w:rPr>
      </w:pPr>
      <w:r w:rsidRPr="00E97F6A">
        <w:rPr>
          <w:lang w:val="pt-BR"/>
        </w:rPr>
        <w:t>4. Resultados</w:t>
      </w:r>
    </w:p>
    <w:p w14:paraId="23F7EA80" w14:textId="77777777" w:rsidR="00F81460" w:rsidRPr="00E97F6A" w:rsidRDefault="00000000">
      <w:pPr>
        <w:pStyle w:val="Heading2"/>
        <w:rPr>
          <w:lang w:val="pt-BR"/>
        </w:rPr>
      </w:pPr>
      <w:r w:rsidRPr="00E97F6A">
        <w:rPr>
          <w:lang w:val="pt-BR"/>
        </w:rPr>
        <w:t>4.1 Caracterização da amostra</w:t>
      </w:r>
    </w:p>
    <w:p w14:paraId="78EBE53F" w14:textId="77777777" w:rsidR="00F81460" w:rsidRPr="00E97F6A" w:rsidRDefault="00000000">
      <w:pPr>
        <w:spacing w:before="160" w:after="160" w:line="360" w:lineRule="auto"/>
        <w:jc w:val="both"/>
        <w:rPr>
          <w:lang w:val="pt-BR"/>
        </w:rPr>
      </w:pPr>
      <w:r w:rsidRPr="00E97F6A">
        <w:rPr>
          <w:lang w:val="pt-BR"/>
        </w:rPr>
        <w:t>Após aplicação dos critérios de elegibilidade descritos na seção 3.3, foram analisados [N_TOTAL] partos, sendo [N_ADOL] parturientes adolescentes ([N_PREC] precoces de 11 a 15 anos e [N_TARD] tardias de 16 a 19 anos) e [N_ADUL] adultas (Tabela 1).</w:t>
      </w:r>
    </w:p>
    <w:p w14:paraId="0CC69D4C" w14:textId="77777777" w:rsidR="00F81460" w:rsidRPr="00E97F6A" w:rsidRDefault="00F81460">
      <w:pPr>
        <w:spacing w:after="80"/>
        <w:rPr>
          <w:lang w:val="pt-BR"/>
        </w:rPr>
      </w:pPr>
    </w:p>
    <w:p w14:paraId="3A8D2661" w14:textId="77777777" w:rsidR="00F81460" w:rsidRPr="00E97F6A" w:rsidRDefault="00000000">
      <w:pPr>
        <w:pStyle w:val="Heading3"/>
        <w:rPr>
          <w:lang w:val="pt-BR"/>
        </w:rPr>
      </w:pPr>
      <w:r w:rsidRPr="00E97F6A">
        <w:rPr>
          <w:lang w:val="pt-BR"/>
        </w:rPr>
        <w:t>4.1.1 Idade</w:t>
      </w:r>
    </w:p>
    <w:p w14:paraId="540632CD" w14:textId="77777777" w:rsidR="00F81460" w:rsidRPr="00E97F6A" w:rsidRDefault="00000000">
      <w:pPr>
        <w:spacing w:before="160" w:after="160" w:line="360" w:lineRule="auto"/>
        <w:jc w:val="both"/>
        <w:rPr>
          <w:lang w:val="pt-BR"/>
        </w:rPr>
      </w:pPr>
      <w:r w:rsidRPr="00E97F6A">
        <w:rPr>
          <w:lang w:val="pt-BR"/>
        </w:rPr>
        <w:t>A distribuição etária das parturientes acompanha os limites definidos pelos critérios de elegibilidade. As adolescentes precoces, com idades entre 11 e 15 anos, corresponderam a [N_PREC] participantes; as adolescentes tardias, com idades entre 16 e 19 anos, totalizaram [N_TARD] participantes; e as adultas, com idades entre 20 e 34 anos, corresponderam a [N_ADUL] participantes. A distribuição foi marcadamente assimétrica entre as faixas, com as adultas representando a maior parcela da amostra. A análise comparativa das médias de idade por subgrupo evidencia a diferença esperada entre as categorias e está detalhada na Tabela 1.</w:t>
      </w:r>
    </w:p>
    <w:p w14:paraId="0CD7BAF7" w14:textId="77777777" w:rsidR="00F81460" w:rsidRPr="00E97F6A" w:rsidRDefault="00F81460">
      <w:pPr>
        <w:spacing w:after="80"/>
        <w:rPr>
          <w:lang w:val="pt-BR"/>
        </w:rPr>
      </w:pPr>
    </w:p>
    <w:p w14:paraId="4B2C5D10" w14:textId="77777777" w:rsidR="00F81460" w:rsidRPr="00E97F6A" w:rsidRDefault="00000000">
      <w:pPr>
        <w:pStyle w:val="Heading3"/>
        <w:rPr>
          <w:lang w:val="pt-BR"/>
        </w:rPr>
      </w:pPr>
      <w:r w:rsidRPr="00E97F6A">
        <w:rPr>
          <w:lang w:val="pt-BR"/>
        </w:rPr>
        <w:t>4.1.2 Cor/raça</w:t>
      </w:r>
    </w:p>
    <w:p w14:paraId="7FFB05A7" w14:textId="77777777" w:rsidR="00F81460" w:rsidRPr="00E97F6A" w:rsidRDefault="00000000">
      <w:pPr>
        <w:spacing w:before="160" w:after="160" w:line="360" w:lineRule="auto"/>
        <w:jc w:val="both"/>
        <w:rPr>
          <w:lang w:val="pt-BR"/>
        </w:rPr>
      </w:pPr>
      <w:r w:rsidRPr="00E97F6A">
        <w:rPr>
          <w:lang w:val="pt-BR"/>
        </w:rPr>
        <w:t xml:space="preserve">Em relação à cor/raça das participantes, identificou-se que 56,3% das adolescentes foram classificadas como brancas, em comparação com 60,2% das adultas; as não brancas corresponderam a 43,7% e 39,8%, respectivamente. O teste </w:t>
      </w:r>
      <w:proofErr w:type="spellStart"/>
      <w:r w:rsidRPr="00E97F6A">
        <w:rPr>
          <w:lang w:val="pt-BR"/>
        </w:rPr>
        <w:t>qui</w:t>
      </w:r>
      <w:proofErr w:type="spellEnd"/>
      <w:r w:rsidRPr="00E97F6A">
        <w:rPr>
          <w:lang w:val="pt-BR"/>
        </w:rPr>
        <w:t>-quadrado não revelou diferença estatisticamente significativa entre os grupos para essa variável (p = 0,337), indicando distribuição homogênea da cor/raça entre adolescentes e adultas na presente casuística.</w:t>
      </w:r>
    </w:p>
    <w:p w14:paraId="5C14C583" w14:textId="77777777" w:rsidR="00F81460" w:rsidRPr="00E97F6A" w:rsidRDefault="00F81460">
      <w:pPr>
        <w:spacing w:after="80"/>
        <w:rPr>
          <w:lang w:val="pt-BR"/>
        </w:rPr>
      </w:pPr>
    </w:p>
    <w:p w14:paraId="23EA175F" w14:textId="77777777" w:rsidR="00F81460" w:rsidRPr="00E97F6A" w:rsidRDefault="00000000">
      <w:pPr>
        <w:pStyle w:val="Heading3"/>
        <w:rPr>
          <w:lang w:val="pt-BR"/>
        </w:rPr>
      </w:pPr>
      <w:r w:rsidRPr="00E97F6A">
        <w:rPr>
          <w:lang w:val="pt-BR"/>
        </w:rPr>
        <w:t>4.1.3 Estado civil</w:t>
      </w:r>
    </w:p>
    <w:p w14:paraId="668F56C0" w14:textId="77777777" w:rsidR="00F81460" w:rsidRPr="00E97F6A" w:rsidRDefault="00000000">
      <w:pPr>
        <w:spacing w:before="160" w:after="160" w:line="360" w:lineRule="auto"/>
        <w:jc w:val="both"/>
        <w:rPr>
          <w:lang w:val="pt-BR"/>
        </w:rPr>
      </w:pPr>
      <w:r w:rsidRPr="00E97F6A">
        <w:rPr>
          <w:lang w:val="pt-BR"/>
        </w:rPr>
        <w:t xml:space="preserve">Em relação ao estado civil, observou-se diferença altamente significativa entre os grupos (p &lt; 0,001). Entre as adolescentes, a maior proporção declarou-se solteira com companheiro (48,8%), seguida de união estável (29,0%) e, em menor frequência, solteira sem companheiro (17,2%). Já entre as adultas, predominaram as casadas (36,3%), seguidas das que viviam em união estável (32,7%) e, em terceiro lugar, das solteiras sem companheiro (29,7%). Esses dados indicam que, nas adolescentes, a maternidade ocorre predominantemente fora do casamento </w:t>
      </w:r>
      <w:r w:rsidRPr="00E97F6A">
        <w:rPr>
          <w:lang w:val="pt-BR"/>
        </w:rPr>
        <w:lastRenderedPageBreak/>
        <w:t>formal, ainda que a presença de companheiro seja frequente. Nas adultas, ao contrário, observa-se maior formalização das relações conjugais, com prevalência do casamento civil.</w:t>
      </w:r>
    </w:p>
    <w:p w14:paraId="23FFE948" w14:textId="77777777" w:rsidR="00F81460" w:rsidRPr="00E97F6A" w:rsidRDefault="00F81460">
      <w:pPr>
        <w:spacing w:after="80"/>
        <w:rPr>
          <w:lang w:val="pt-BR"/>
        </w:rPr>
      </w:pPr>
    </w:p>
    <w:p w14:paraId="2BA5275B" w14:textId="77777777" w:rsidR="00F81460" w:rsidRPr="00E97F6A" w:rsidRDefault="00000000">
      <w:pPr>
        <w:pStyle w:val="Heading3"/>
        <w:rPr>
          <w:lang w:val="pt-BR"/>
        </w:rPr>
      </w:pPr>
      <w:r w:rsidRPr="00E97F6A">
        <w:rPr>
          <w:lang w:val="pt-BR"/>
        </w:rPr>
        <w:t>4.1.4 Escolaridade</w:t>
      </w:r>
    </w:p>
    <w:p w14:paraId="79E38A5F" w14:textId="77777777" w:rsidR="00F81460" w:rsidRPr="00E97F6A" w:rsidRDefault="00000000">
      <w:pPr>
        <w:spacing w:before="160" w:after="160" w:line="360" w:lineRule="auto"/>
        <w:jc w:val="both"/>
        <w:rPr>
          <w:lang w:val="pt-BR"/>
        </w:rPr>
      </w:pPr>
      <w:r w:rsidRPr="00E97F6A">
        <w:rPr>
          <w:lang w:val="pt-BR"/>
        </w:rPr>
        <w:t>No que se refere à escolaridade, a diferença entre os grupos também foi estatisticamente significativa (p &lt; 0,001). Mais da metade das adolescentes (50,4%) apresentou menos de 9 anos de estudo, valor compatível com a interrupção ou retardo escolar frequentemente associado à gravidez nessa faixa etária. Entre as adultas, predominou a escolaridade de 9 a 12 anos (55,3%), e 5,8% possuíam 13 anos ou mais de estudo, categoria praticamente ausente entre as adolescentes (0,0%). A taxa de analfabetismo foi baixa em ambos os grupos, sendo praticamente inexistente nas adolescentes (0,1%) e de 1,0% nas adultas.</w:t>
      </w:r>
    </w:p>
    <w:p w14:paraId="2940672F" w14:textId="77777777" w:rsidR="00F81460" w:rsidRPr="00E97F6A" w:rsidRDefault="00F81460">
      <w:pPr>
        <w:spacing w:after="80"/>
        <w:rPr>
          <w:lang w:val="pt-BR"/>
        </w:rPr>
      </w:pPr>
    </w:p>
    <w:p w14:paraId="26C3358A" w14:textId="77777777" w:rsidR="00F81460" w:rsidRPr="00E97F6A" w:rsidRDefault="00000000">
      <w:pPr>
        <w:pStyle w:val="Heading3"/>
        <w:rPr>
          <w:lang w:val="pt-BR"/>
        </w:rPr>
      </w:pPr>
      <w:r w:rsidRPr="00E97F6A">
        <w:rPr>
          <w:lang w:val="pt-BR"/>
        </w:rPr>
        <w:t>4.1.5 Hábitos de vida</w:t>
      </w:r>
    </w:p>
    <w:p w14:paraId="29E9C334" w14:textId="77777777" w:rsidR="00F81460" w:rsidRPr="00E97F6A" w:rsidRDefault="00000000">
      <w:pPr>
        <w:spacing w:before="160" w:after="160" w:line="360" w:lineRule="auto"/>
        <w:jc w:val="both"/>
        <w:rPr>
          <w:lang w:val="pt-BR"/>
        </w:rPr>
      </w:pPr>
      <w:r w:rsidRPr="00E97F6A">
        <w:rPr>
          <w:lang w:val="pt-BR"/>
        </w:rPr>
        <w:t>O perfil de hábitos de vida das participantes é apresentado na Tabela 2. Ressalta-se que o uso declarado de álcool, tabaco e drogas ilícitas foi significativamente maior nas adolescentes do que nas adultas (p &lt; 0,001 para todas as variáveis). O consumo de álcool foi referido por 5,3% a 5,4% das adolescentes (precoces e tardias, respectivamente); o tabagismo foi declarado por 7,6% das precoces e 13,2% das tardias; e o uso de drogas ilícitas por 7,6% e 11,8%, respectivamente. Esse achado, aparentemente contraintuitivo, possivelmente reflete subnotificação no grupo adulto e o contexto de vulnerabilidade social característico da gestação na adolescência.</w:t>
      </w:r>
    </w:p>
    <w:p w14:paraId="07F27417" w14:textId="77777777" w:rsidR="00F81460" w:rsidRPr="00E97F6A" w:rsidRDefault="00F81460">
      <w:pPr>
        <w:spacing w:after="80"/>
        <w:rPr>
          <w:lang w:val="pt-BR"/>
        </w:rPr>
      </w:pPr>
    </w:p>
    <w:p w14:paraId="7B5C53CB" w14:textId="77777777" w:rsidR="00F81460" w:rsidRPr="00E97F6A" w:rsidRDefault="00000000">
      <w:pPr>
        <w:pStyle w:val="Heading2"/>
        <w:rPr>
          <w:lang w:val="pt-BR"/>
        </w:rPr>
      </w:pPr>
      <w:r w:rsidRPr="00E97F6A">
        <w:rPr>
          <w:lang w:val="pt-BR"/>
        </w:rPr>
        <w:t>4.2 Comorbidades e patologias da gestação</w:t>
      </w:r>
    </w:p>
    <w:p w14:paraId="200790DA" w14:textId="77777777" w:rsidR="00F81460" w:rsidRPr="00E97F6A" w:rsidRDefault="00000000">
      <w:pPr>
        <w:spacing w:before="160" w:after="160" w:line="360" w:lineRule="auto"/>
        <w:jc w:val="both"/>
        <w:rPr>
          <w:lang w:val="pt-BR"/>
        </w:rPr>
      </w:pPr>
      <w:r w:rsidRPr="00E97F6A">
        <w:rPr>
          <w:lang w:val="pt-BR"/>
        </w:rPr>
        <w:t xml:space="preserve">As comorbidades </w:t>
      </w:r>
      <w:proofErr w:type="spellStart"/>
      <w:r w:rsidRPr="00E97F6A">
        <w:rPr>
          <w:lang w:val="pt-BR"/>
        </w:rPr>
        <w:t>pré</w:t>
      </w:r>
      <w:proofErr w:type="spellEnd"/>
      <w:r w:rsidRPr="00E97F6A">
        <w:rPr>
          <w:lang w:val="pt-BR"/>
        </w:rPr>
        <w:t>-gestacionais e as patologias identificadas durante a gestação atual são apresentadas na Tabela 3. A seguir, descrevem-se os principais achados por categoria.</w:t>
      </w:r>
    </w:p>
    <w:p w14:paraId="5D4CC9A5" w14:textId="77777777" w:rsidR="00F81460" w:rsidRPr="00E97F6A" w:rsidRDefault="00F81460">
      <w:pPr>
        <w:spacing w:after="80"/>
        <w:rPr>
          <w:lang w:val="pt-BR"/>
        </w:rPr>
      </w:pPr>
    </w:p>
    <w:p w14:paraId="65E09F99" w14:textId="77777777" w:rsidR="00F81460" w:rsidRPr="00E97F6A" w:rsidRDefault="00000000">
      <w:pPr>
        <w:spacing w:before="160" w:after="160" w:line="360" w:lineRule="auto"/>
        <w:jc w:val="both"/>
        <w:rPr>
          <w:lang w:val="pt-BR"/>
        </w:rPr>
      </w:pPr>
      <w:r w:rsidRPr="00E97F6A">
        <w:rPr>
          <w:b/>
          <w:bCs/>
          <w:lang w:val="pt-BR"/>
        </w:rPr>
        <w:t xml:space="preserve">Comorbidades crônicas pré-existentes. </w:t>
      </w:r>
      <w:r w:rsidRPr="00E97F6A">
        <w:rPr>
          <w:lang w:val="pt-BR"/>
        </w:rPr>
        <w:t xml:space="preserve">As patologias </w:t>
      </w:r>
      <w:proofErr w:type="spellStart"/>
      <w:r w:rsidRPr="00E97F6A">
        <w:rPr>
          <w:lang w:val="pt-BR"/>
        </w:rPr>
        <w:t>pré</w:t>
      </w:r>
      <w:proofErr w:type="spellEnd"/>
      <w:r w:rsidRPr="00E97F6A">
        <w:rPr>
          <w:lang w:val="pt-BR"/>
        </w:rPr>
        <w:t xml:space="preserve">-gestacionais foram significativamente mais frequentes no grupo de adultas. A hipertensão arterial crônica esteve presente em 7,4% das adultas frente a 0,4% das adolescentes (p &lt; 0,001); o diabetes </w:t>
      </w:r>
      <w:proofErr w:type="spellStart"/>
      <w:r w:rsidRPr="00E97F6A">
        <w:rPr>
          <w:lang w:val="pt-BR"/>
        </w:rPr>
        <w:t>pré</w:t>
      </w:r>
      <w:proofErr w:type="spellEnd"/>
      <w:r w:rsidRPr="00E97F6A">
        <w:rPr>
          <w:lang w:val="pt-BR"/>
        </w:rPr>
        <w:t xml:space="preserve">-gestacional foi registrado em 3,3% das adultas e em 0,0% das adolescentes (p &lt; 0,001). De maneira similar, cardiopatia materna, asma, epilepsia (p = 0,004) e trombofilias </w:t>
      </w:r>
      <w:proofErr w:type="spellStart"/>
      <w:r w:rsidRPr="00E97F6A">
        <w:rPr>
          <w:lang w:val="pt-BR"/>
        </w:rPr>
        <w:t>pré</w:t>
      </w:r>
      <w:proofErr w:type="spellEnd"/>
      <w:r w:rsidRPr="00E97F6A">
        <w:rPr>
          <w:lang w:val="pt-BR"/>
        </w:rPr>
        <w:t>-</w:t>
      </w:r>
      <w:r w:rsidRPr="00E97F6A">
        <w:rPr>
          <w:lang w:val="pt-BR"/>
        </w:rPr>
        <w:lastRenderedPageBreak/>
        <w:t>gestacionais (p = 0,009) foram mais prevalentes nas adultas. A variável composta de patologia materna prévia variou de 3,4% nas adolescentes precoces a 28,7% nas adultas, diferença que reflete o acúmulo esperado de doenças crônicas com o avanço da idade.</w:t>
      </w:r>
    </w:p>
    <w:p w14:paraId="7557968E" w14:textId="77777777" w:rsidR="00F81460" w:rsidRPr="00E97F6A" w:rsidRDefault="00F81460">
      <w:pPr>
        <w:spacing w:after="80"/>
        <w:rPr>
          <w:lang w:val="pt-BR"/>
        </w:rPr>
      </w:pPr>
    </w:p>
    <w:p w14:paraId="3C37CDF5" w14:textId="77777777" w:rsidR="00F81460" w:rsidRPr="00E97F6A" w:rsidRDefault="00000000">
      <w:pPr>
        <w:spacing w:before="160" w:after="160" w:line="360" w:lineRule="auto"/>
        <w:jc w:val="both"/>
        <w:rPr>
          <w:lang w:val="pt-BR"/>
        </w:rPr>
      </w:pPr>
      <w:r w:rsidRPr="00E97F6A">
        <w:rPr>
          <w:b/>
          <w:bCs/>
          <w:lang w:val="pt-BR"/>
        </w:rPr>
        <w:t xml:space="preserve">Patologias da gestação atual. </w:t>
      </w:r>
      <w:r w:rsidRPr="00E97F6A">
        <w:rPr>
          <w:lang w:val="pt-BR"/>
        </w:rPr>
        <w:t>As intercorrências gestacionais exibiram padrão bimodal de distribuição entre as faixas etárias. O diabetes mellitus gestacional (DMG) foi substancialmente mais frequente nas adultas (10,6%) do que nas adolescentes (0,5%), com diferença altamente significativa (p &lt; 0,001). Em sentido oposto, os distúrbios hipertensivos específicos da gestação concentraram-se nas adolescentes: a hipertensão obstétrica (DHEG) e a pré-eclâmpsia obstétrica foram registradas em 100,0% das adolescentes precoces e em 94,6% a 96,7% das tardias que apresentaram esses diagnósticos (p &lt; 0,001 para ambas). A eclâmpsia, embora de ocorrência rara, atingiu 33,3% das adolescentes tardias com o diagnóstico registrado, em contraste com 1,8% das adultas (p &lt; 0,001). Por sua vez, a ruptura prematura de membranas ovulares (RPMO) foi mais prevalente nas adultas (8,6%) do que nas adolescentes precoces (0,2%) e tardias (0,0%), com diferença igualmente significativa (p &lt; 0,001).</w:t>
      </w:r>
    </w:p>
    <w:p w14:paraId="43E4F9F5" w14:textId="77777777" w:rsidR="00F81460" w:rsidRPr="00E97F6A" w:rsidRDefault="00F81460">
      <w:pPr>
        <w:spacing w:after="80"/>
        <w:rPr>
          <w:lang w:val="pt-BR"/>
        </w:rPr>
      </w:pPr>
    </w:p>
    <w:p w14:paraId="4256108F" w14:textId="77777777" w:rsidR="00F81460" w:rsidRPr="00E97F6A" w:rsidRDefault="00000000">
      <w:pPr>
        <w:spacing w:before="160" w:after="160" w:line="360" w:lineRule="auto"/>
        <w:jc w:val="both"/>
        <w:rPr>
          <w:lang w:val="pt-BR"/>
        </w:rPr>
      </w:pPr>
      <w:r w:rsidRPr="00E97F6A">
        <w:rPr>
          <w:lang w:val="pt-BR"/>
        </w:rPr>
        <w:t>Em síntese, observou-se que adolescentes e adultas apresentam perfis de risco gestacional qualitativamente distintos: enquanto as adultas acumulam comorbidades metabólicas e crônicas — como DMG, hipertensão arterial crônica e RPMO —, as adolescentes concentram os distúrbios hipertensivos induzidos pela gestação, em especial a pré-eclâmpsia e a eclâmpsia, condições associadas à menor maturidade imunológica e vascular características desse grupo etário.</w:t>
      </w:r>
    </w:p>
    <w:p w14:paraId="7AC60EA5" w14:textId="77777777" w:rsidR="00F81460" w:rsidRPr="00E97F6A" w:rsidRDefault="00F81460">
      <w:pPr>
        <w:spacing w:after="80"/>
        <w:rPr>
          <w:lang w:val="pt-BR"/>
        </w:rPr>
      </w:pPr>
    </w:p>
    <w:p w14:paraId="1B2CC1D6" w14:textId="77777777" w:rsidR="00F81460" w:rsidRPr="00E97F6A" w:rsidRDefault="00000000">
      <w:pPr>
        <w:pStyle w:val="Heading2"/>
        <w:rPr>
          <w:lang w:val="pt-BR"/>
        </w:rPr>
      </w:pPr>
      <w:r w:rsidRPr="00E97F6A">
        <w:rPr>
          <w:lang w:val="pt-BR"/>
        </w:rPr>
        <w:t>4.3 Vias de parto</w:t>
      </w:r>
    </w:p>
    <w:p w14:paraId="1F14E5D1" w14:textId="77777777" w:rsidR="00F81460" w:rsidRPr="00E97F6A" w:rsidRDefault="00000000">
      <w:pPr>
        <w:pStyle w:val="Heading3"/>
        <w:rPr>
          <w:lang w:val="pt-BR"/>
        </w:rPr>
      </w:pPr>
      <w:r w:rsidRPr="00E97F6A">
        <w:rPr>
          <w:lang w:val="pt-BR"/>
        </w:rPr>
        <w:t>4.3.1 Distribuição geral</w:t>
      </w:r>
    </w:p>
    <w:p w14:paraId="7FC149CE" w14:textId="77777777" w:rsidR="00F81460" w:rsidRPr="00E97F6A" w:rsidRDefault="00000000">
      <w:pPr>
        <w:spacing w:before="160" w:after="160" w:line="360" w:lineRule="auto"/>
        <w:jc w:val="both"/>
        <w:rPr>
          <w:lang w:val="pt-BR"/>
        </w:rPr>
      </w:pPr>
      <w:r w:rsidRPr="00E97F6A">
        <w:rPr>
          <w:lang w:val="pt-BR"/>
        </w:rPr>
        <w:t>A distribuição das vias de parto entre os grupos etários é apresentada na Tabela 4 e ilustrada na Figura 1. A análise revelou associação altamente significativa entre faixa etária e tipo de parto (p &lt; 0,001).</w:t>
      </w:r>
    </w:p>
    <w:p w14:paraId="35395D98" w14:textId="77777777" w:rsidR="00F81460" w:rsidRPr="00E97F6A" w:rsidRDefault="00F81460">
      <w:pPr>
        <w:spacing w:after="80"/>
        <w:rPr>
          <w:lang w:val="pt-BR"/>
        </w:rPr>
      </w:pPr>
    </w:p>
    <w:p w14:paraId="74C87080" w14:textId="77777777" w:rsidR="00F81460" w:rsidRPr="00E97F6A" w:rsidRDefault="00000000">
      <w:pPr>
        <w:spacing w:before="160" w:after="160" w:line="360" w:lineRule="auto"/>
        <w:jc w:val="both"/>
        <w:rPr>
          <w:lang w:val="pt-BR"/>
        </w:rPr>
      </w:pPr>
      <w:r w:rsidRPr="00E97F6A">
        <w:rPr>
          <w:lang w:val="pt-BR"/>
        </w:rPr>
        <w:t xml:space="preserve">Entre as adolescentes precoces (11–15 anos), o parto vaginal espontâneo correspondeu a 44,2% dos casos (n = 238), o parto instrumentalizado por fórcipe a 24,9% (n = 134) e a cesárea a </w:t>
      </w:r>
      <w:r w:rsidRPr="00E97F6A">
        <w:rPr>
          <w:lang w:val="pt-BR"/>
        </w:rPr>
        <w:lastRenderedPageBreak/>
        <w:t>30,9% (n = 166). Nas adolescentes tardias (16–19 anos), observou-se distribuição semelhante: 40,2% de partos vaginais espontâneos (n = 334), 27,6% de fórcipe (n = 229) e 32,2% de cesáreas (n = 267). No grupo das adultas (20–34 anos), o padrão foi marcadamente diferente: a cesárea predominou amplamente, correspondendo a 62,6% dos partos (n = 3.314), com apenas 27,1% de partos vaginais espontâneos (n = 1.436) e 10,3% de fórcipe (n = 545).</w:t>
      </w:r>
    </w:p>
    <w:p w14:paraId="4890C800" w14:textId="77777777" w:rsidR="00F81460" w:rsidRPr="00E97F6A" w:rsidRDefault="00F81460">
      <w:pPr>
        <w:spacing w:after="80"/>
        <w:rPr>
          <w:lang w:val="pt-BR"/>
        </w:rPr>
      </w:pPr>
    </w:p>
    <w:p w14:paraId="7555783F" w14:textId="77777777" w:rsidR="00F81460" w:rsidRPr="00E97F6A" w:rsidRDefault="00000000">
      <w:pPr>
        <w:spacing w:before="160" w:after="160" w:line="360" w:lineRule="auto"/>
        <w:jc w:val="both"/>
        <w:rPr>
          <w:lang w:val="pt-BR"/>
        </w:rPr>
      </w:pPr>
      <w:r w:rsidRPr="00E97F6A">
        <w:rPr>
          <w:lang w:val="pt-BR"/>
        </w:rPr>
        <w:t>A análise dos resíduos padronizados indicou que as células com maior contribuição para a significância estatística foram a de cesárea no grupo das adultas (resíduo positivo elevado) e a de fórcipe no grupo das adolescentes (resíduo positivo elevado), confirmando que a sobrerrepresentação de cesáreas nas adultas e de parto instrumentalizado nas adolescentes são os principais pontos de desvio em relação à distribuição esperada sob hipótese de independência.</w:t>
      </w:r>
    </w:p>
    <w:p w14:paraId="6AF2F754" w14:textId="77777777" w:rsidR="00F81460" w:rsidRPr="00E97F6A" w:rsidRDefault="00F81460">
      <w:pPr>
        <w:spacing w:after="80"/>
        <w:rPr>
          <w:lang w:val="pt-BR"/>
        </w:rPr>
      </w:pPr>
    </w:p>
    <w:p w14:paraId="060747AE" w14:textId="77777777" w:rsidR="00F81460" w:rsidRPr="00E97F6A" w:rsidRDefault="00000000">
      <w:pPr>
        <w:spacing w:before="160" w:after="160" w:line="360" w:lineRule="auto"/>
        <w:jc w:val="both"/>
        <w:rPr>
          <w:lang w:val="pt-BR"/>
        </w:rPr>
      </w:pPr>
      <w:r w:rsidRPr="00E97F6A">
        <w:rPr>
          <w:lang w:val="pt-BR"/>
        </w:rPr>
        <w:t>Ressalta-se que a comparação direta das vias de parto entre os grupos etários, sem estratificação clínica, deve ser interpretada com cautela. Adolescentes são predominantemente nulíparas em trabalho de parto espontâneo, enquanto adultas incluem parcela expressiva de multíparas com cesárea prévia — condição que, por si só, eleva substancialmente a taxa de cesárea independentemente da idade. A estratificação pela classificação de Robson, descrita a seguir, permite contornar esse viés de composição.</w:t>
      </w:r>
    </w:p>
    <w:p w14:paraId="6055A2EB" w14:textId="77777777" w:rsidR="00F81460" w:rsidRPr="00E97F6A" w:rsidRDefault="00F81460">
      <w:pPr>
        <w:spacing w:after="80"/>
        <w:rPr>
          <w:lang w:val="pt-BR"/>
        </w:rPr>
      </w:pPr>
    </w:p>
    <w:p w14:paraId="505800DD" w14:textId="77777777" w:rsidR="00F81460" w:rsidRPr="00E97F6A" w:rsidRDefault="00000000">
      <w:pPr>
        <w:pStyle w:val="Heading3"/>
        <w:rPr>
          <w:lang w:val="pt-BR"/>
        </w:rPr>
      </w:pPr>
      <w:r w:rsidRPr="00E97F6A">
        <w:rPr>
          <w:lang w:val="pt-BR"/>
        </w:rPr>
        <w:t>4.3.2 Estratificação pela classificação de Robson</w:t>
      </w:r>
    </w:p>
    <w:p w14:paraId="5B2602EA" w14:textId="77777777" w:rsidR="00F81460" w:rsidRPr="00E97F6A" w:rsidRDefault="00000000">
      <w:pPr>
        <w:spacing w:before="160" w:after="160" w:line="360" w:lineRule="auto"/>
        <w:jc w:val="both"/>
        <w:rPr>
          <w:lang w:val="pt-BR"/>
        </w:rPr>
      </w:pPr>
      <w:r w:rsidRPr="00E97F6A">
        <w:rPr>
          <w:lang w:val="pt-BR"/>
        </w:rPr>
        <w:t xml:space="preserve">Para uma análise clinicamente mais informativa, as participantes foram estratificadas segundo a Classificação de Robson, que agrupa gestantes em categorias mutuamente exclusivas e sistematicamente exaustivas com base em características obstétricas objetivas: paridade, apresentação fetal, tipo de início do trabalho de parto e idade gestacional. Essa abordagem permite comparar grupos com perfis clínicos semelhantes, minimizando os </w:t>
      </w:r>
      <w:proofErr w:type="spellStart"/>
      <w:r w:rsidRPr="00E97F6A">
        <w:rPr>
          <w:lang w:val="pt-BR"/>
        </w:rPr>
        <w:t>confundidores</w:t>
      </w:r>
      <w:proofErr w:type="spellEnd"/>
      <w:r w:rsidRPr="00E97F6A">
        <w:rPr>
          <w:lang w:val="pt-BR"/>
        </w:rPr>
        <w:t xml:space="preserve"> inerentes à comparação bruta entre adolescentes e adultas. As taxas de cesárea por grupo de Robson e faixa etária são apresentadas nas Tabelas 5, 6 e 7, com representação gráfica nas Figuras 2, 3 e 4.</w:t>
      </w:r>
    </w:p>
    <w:p w14:paraId="5C4AA2AC" w14:textId="77777777" w:rsidR="00F81460" w:rsidRPr="00E97F6A" w:rsidRDefault="00F81460">
      <w:pPr>
        <w:spacing w:after="80"/>
        <w:rPr>
          <w:lang w:val="pt-BR"/>
        </w:rPr>
      </w:pPr>
    </w:p>
    <w:p w14:paraId="364F8E41" w14:textId="77777777" w:rsidR="00F81460" w:rsidRPr="00E97F6A" w:rsidRDefault="00000000">
      <w:pPr>
        <w:spacing w:before="160" w:after="160" w:line="360" w:lineRule="auto"/>
        <w:jc w:val="both"/>
        <w:rPr>
          <w:lang w:val="pt-BR"/>
        </w:rPr>
      </w:pPr>
      <w:r w:rsidRPr="00E97F6A">
        <w:rPr>
          <w:b/>
          <w:bCs/>
          <w:lang w:val="pt-BR"/>
        </w:rPr>
        <w:t xml:space="preserve">Grupo 1 (nulíparas, gestação única cefálica, ≥ 37 semanas, trabalho de parto espontâneo). </w:t>
      </w:r>
      <w:r w:rsidRPr="00E97F6A">
        <w:rPr>
          <w:lang w:val="pt-BR"/>
        </w:rPr>
        <w:t xml:space="preserve">Esse grupo representa o cenário obstétrico mais favorável e, portanto, serve como referência </w:t>
      </w:r>
      <w:r w:rsidRPr="00E97F6A">
        <w:rPr>
          <w:lang w:val="pt-BR"/>
        </w:rPr>
        <w:lastRenderedPageBreak/>
        <w:t>clínica fundamental. A taxa de cesárea foi de 27,7% entre as adolescentes precoces (n = 393), 27,1% entre as tardias (n = 509) e 37,6% entre as adultas (n = 391), com diferença estatisticamente significativa (</w:t>
      </w:r>
      <w:proofErr w:type="spellStart"/>
      <w:r w:rsidRPr="00E97F6A">
        <w:rPr>
          <w:lang w:val="pt-BR"/>
        </w:rPr>
        <w:t>qui</w:t>
      </w:r>
      <w:proofErr w:type="spellEnd"/>
      <w:r w:rsidRPr="00E97F6A">
        <w:rPr>
          <w:lang w:val="pt-BR"/>
        </w:rPr>
        <w:t>-quadrado, p &lt; 0,001). Mesmo no grupo clinicamente mais favorável, as adultas apresentaram taxa de cesárea aproximadamente 10 pontos percentuais acima das adolescentes.</w:t>
      </w:r>
    </w:p>
    <w:p w14:paraId="2511316D" w14:textId="77777777" w:rsidR="00F81460" w:rsidRPr="00E97F6A" w:rsidRDefault="00F81460">
      <w:pPr>
        <w:spacing w:after="80"/>
        <w:rPr>
          <w:lang w:val="pt-BR"/>
        </w:rPr>
      </w:pPr>
    </w:p>
    <w:p w14:paraId="1FA1E5F6" w14:textId="77777777" w:rsidR="00F81460" w:rsidRPr="00E97F6A" w:rsidRDefault="00000000">
      <w:pPr>
        <w:spacing w:before="160" w:after="160" w:line="360" w:lineRule="auto"/>
        <w:jc w:val="both"/>
        <w:rPr>
          <w:lang w:val="pt-BR"/>
        </w:rPr>
      </w:pPr>
      <w:r w:rsidRPr="00E97F6A">
        <w:rPr>
          <w:b/>
          <w:bCs/>
          <w:lang w:val="pt-BR"/>
        </w:rPr>
        <w:t xml:space="preserve">Grupo 2 (nulíparas, trabalho de parto induzido ou cesárea pré-trabalho). </w:t>
      </w:r>
      <w:r w:rsidRPr="00E97F6A">
        <w:rPr>
          <w:lang w:val="pt-BR"/>
        </w:rPr>
        <w:t>Neste grupo, observou-se gradiente crescente de cesárea com a faixa etária: 47,2% nas adolescentes precoces (n = 53), 58,0% nas tardias (n = 81) e 71,8% nas adultas (n = 939), com diferença altamente significativa (</w:t>
      </w:r>
      <w:proofErr w:type="spellStart"/>
      <w:r w:rsidRPr="00E97F6A">
        <w:rPr>
          <w:lang w:val="pt-BR"/>
        </w:rPr>
        <w:t>qui</w:t>
      </w:r>
      <w:proofErr w:type="spellEnd"/>
      <w:r w:rsidRPr="00E97F6A">
        <w:rPr>
          <w:lang w:val="pt-BR"/>
        </w:rPr>
        <w:t>-quadrado, p &lt; 0,001). O padrão reflete que, quando o trabalho de parto é induzido ou não se inicia espontaneamente, a taxa de cesárea aumenta progressivamente com a idade, possivelmente em razão da maior prevalência de indicações maternas nas adultas.</w:t>
      </w:r>
    </w:p>
    <w:p w14:paraId="20FFCD29" w14:textId="77777777" w:rsidR="00F81460" w:rsidRPr="00E97F6A" w:rsidRDefault="00F81460">
      <w:pPr>
        <w:spacing w:after="80"/>
        <w:rPr>
          <w:lang w:val="pt-BR"/>
        </w:rPr>
      </w:pPr>
    </w:p>
    <w:p w14:paraId="106E599E" w14:textId="77777777" w:rsidR="00F81460" w:rsidRPr="00E97F6A" w:rsidRDefault="00000000">
      <w:pPr>
        <w:spacing w:before="160" w:after="160" w:line="360" w:lineRule="auto"/>
        <w:jc w:val="both"/>
        <w:rPr>
          <w:lang w:val="pt-BR"/>
        </w:rPr>
      </w:pPr>
      <w:r w:rsidRPr="00E97F6A">
        <w:rPr>
          <w:b/>
          <w:bCs/>
          <w:lang w:val="pt-BR"/>
        </w:rPr>
        <w:t xml:space="preserve">Grupos 3 e 10. </w:t>
      </w:r>
      <w:r w:rsidRPr="00E97F6A">
        <w:rPr>
          <w:lang w:val="pt-BR"/>
        </w:rPr>
        <w:t>O Grupo 3 (multíparas em trabalho de parto espontâneo) apresentou padrão invertido: a taxa de cesárea foi de 42,3% nas adolescentes precoces (n = 26), 25,2% nas tardias (n = 103) e 19,3% nas adultas (n = 792), com diferença estatisticamente significativa (Fisher por Monte Carlo, p = 0,001). Nesse grupo, as adolescentes precoces apresentaram a maior taxa de cesárea, achado que deve ser interpretado com cautela dado o pequeno tamanho amostral (n = 26). O Grupo 10 (gestações pré-termo, &lt; 37 semanas) exibiu a maior diferença absoluta entre as faixas: 19,6% de cesárea nas precoces (n = 56), 31,0% nas tardias (n = 116) e 62,0% nas adultas (n = 1.193), com diferença altamente significativa (p &lt; 0,001). Esse achado reflete a maior prevalência de indicações maternas de cesárea nas gestantes adultas com parto pré-termo, frequentemente associadas a comorbidades como hipertensão arterial crônica e DMG.</w:t>
      </w:r>
    </w:p>
    <w:p w14:paraId="7470ACF4" w14:textId="77777777" w:rsidR="00F81460" w:rsidRPr="00E97F6A" w:rsidRDefault="00F81460">
      <w:pPr>
        <w:spacing w:after="80"/>
        <w:rPr>
          <w:lang w:val="pt-BR"/>
        </w:rPr>
      </w:pPr>
    </w:p>
    <w:p w14:paraId="21A81370" w14:textId="77777777" w:rsidR="00F81460" w:rsidRPr="00E97F6A" w:rsidRDefault="00000000">
      <w:pPr>
        <w:spacing w:before="160" w:after="160" w:line="360" w:lineRule="auto"/>
        <w:jc w:val="both"/>
        <w:rPr>
          <w:lang w:val="pt-BR"/>
        </w:rPr>
      </w:pPr>
      <w:r w:rsidRPr="00E97F6A">
        <w:rPr>
          <w:b/>
          <w:bCs/>
          <w:lang w:val="pt-BR"/>
        </w:rPr>
        <w:t xml:space="preserve">Grupos 4 e 5 (exclusivos de adultas). </w:t>
      </w:r>
      <w:r w:rsidRPr="00E97F6A">
        <w:rPr>
          <w:lang w:val="pt-BR"/>
        </w:rPr>
        <w:t>Os Grupos 4 (multíparas com trabalho de parto induzido ou cesárea pré-trabalho) e 5 (multíparas com cesárea uterina prévia) foram compostos exclusivamente por adultas, com n = 424 e n = 1.175, respectivamente. As taxas de cesárea foram de 48,6% e 89,2%, nessa ordem. Essa distribuição é esperada pela própria definição clínica dos grupos: adolescentes dificilmente apresentam histórico de gestação anterior com cesárea (Grupo 5) ou paridade suficiente para integrar os grupos de multíparas induzidas (Grupo 4). A comparação estatística entre faixas etárias não é aplicável nesses grupos, conforme indicado na Tabela 7.</w:t>
      </w:r>
    </w:p>
    <w:p w14:paraId="47FE80D6" w14:textId="77777777" w:rsidR="00F81460" w:rsidRPr="00E97F6A" w:rsidRDefault="00F81460">
      <w:pPr>
        <w:spacing w:after="80"/>
        <w:rPr>
          <w:lang w:val="pt-BR"/>
        </w:rPr>
      </w:pPr>
    </w:p>
    <w:p w14:paraId="09A160B8" w14:textId="77777777" w:rsidR="00F81460" w:rsidRPr="00E97F6A" w:rsidRDefault="00000000">
      <w:pPr>
        <w:spacing w:before="160" w:after="160" w:line="360" w:lineRule="auto"/>
        <w:jc w:val="both"/>
        <w:rPr>
          <w:lang w:val="pt-BR"/>
        </w:rPr>
      </w:pPr>
      <w:r w:rsidRPr="00E97F6A">
        <w:rPr>
          <w:b/>
          <w:bCs/>
          <w:lang w:val="pt-BR"/>
        </w:rPr>
        <w:t xml:space="preserve">Grupos 6, 7 e 9 (apresentações anômalas). </w:t>
      </w:r>
      <w:r w:rsidRPr="00E97F6A">
        <w:rPr>
          <w:lang w:val="pt-BR"/>
        </w:rPr>
        <w:t>Os Grupos 6 (nulíparas com apresentação pélvica), 7 (multíparas com apresentação pélvica) e 9 (apresentação transversa ou oblíqua) apresentaram taxas de cesárea próximas de 100% em todos os subgrupos etários — achado clinicamente esperado, dado que apresentações anômalas constituem indicação consagrada de parto cirúrgico. O número de adolescentes nesses grupos foi muito reduzido: 1 precoce e 1 tardia no Grupo 6; 4 precoces e 18 tardias no Grupo 7; 5 precoces e 2 tardias no Grupo 9. Os testes de associação (Fisher por Monte Carlo) não atingiram significância estatística (p = 1,000 para todos os grupos), o que reflete a ausência de poder estatístico e não implica ausência de associação clínica.</w:t>
      </w:r>
    </w:p>
    <w:p w14:paraId="0F08378E" w14:textId="77777777" w:rsidR="00F81460" w:rsidRPr="00E97F6A" w:rsidRDefault="00F81460">
      <w:pPr>
        <w:spacing w:after="80"/>
        <w:rPr>
          <w:lang w:val="pt-BR"/>
        </w:rPr>
      </w:pPr>
    </w:p>
    <w:p w14:paraId="49480BB7" w14:textId="77777777" w:rsidR="00F81460" w:rsidRPr="00E97F6A" w:rsidRDefault="00000000">
      <w:pPr>
        <w:spacing w:before="160" w:after="160" w:line="360" w:lineRule="auto"/>
        <w:jc w:val="both"/>
        <w:rPr>
          <w:lang w:val="pt-BR"/>
        </w:rPr>
      </w:pPr>
      <w:r w:rsidRPr="00E97F6A">
        <w:rPr>
          <w:lang w:val="pt-BR"/>
        </w:rPr>
        <w:t>A síntese dos testes de associação por grupo de Robson é apresentada na Tabela 7. Foram identificadas associações estatisticamente significativas nos Grupos 1 (p &lt; 0,001), 2 (p &lt; 0,001), 3 (p = 0,001) e 10 (p &lt; 0,001). Nos Grupos 4 e 5, a análise não foi aplicável por ausência de adolescentes. Nos Grupos 6, 7 e 9, a ausência de significância decorre do tamanho amostral insuficiente.</w:t>
      </w:r>
    </w:p>
    <w:p w14:paraId="6BF6501B" w14:textId="77777777" w:rsidR="00F81460" w:rsidRPr="00E97F6A" w:rsidRDefault="00F81460">
      <w:pPr>
        <w:spacing w:after="80"/>
        <w:rPr>
          <w:lang w:val="pt-BR"/>
        </w:rPr>
      </w:pPr>
    </w:p>
    <w:p w14:paraId="636C19D6" w14:textId="77777777" w:rsidR="00F81460" w:rsidRPr="00E97F6A" w:rsidRDefault="00000000">
      <w:pPr>
        <w:pStyle w:val="Heading2"/>
        <w:rPr>
          <w:lang w:val="pt-BR"/>
        </w:rPr>
      </w:pPr>
      <w:r w:rsidRPr="00E97F6A">
        <w:rPr>
          <w:lang w:val="pt-BR"/>
        </w:rPr>
        <w:t>4.4 Indicações de parto operatório</w:t>
      </w:r>
    </w:p>
    <w:p w14:paraId="45281483" w14:textId="77777777" w:rsidR="00F81460" w:rsidRPr="00E97F6A" w:rsidRDefault="00000000">
      <w:pPr>
        <w:spacing w:before="160" w:after="160" w:line="360" w:lineRule="auto"/>
        <w:jc w:val="both"/>
        <w:rPr>
          <w:lang w:val="pt-BR"/>
        </w:rPr>
      </w:pPr>
      <w:r w:rsidRPr="00E97F6A">
        <w:rPr>
          <w:lang w:val="pt-BR"/>
        </w:rPr>
        <w:t>As indicações de parto operatório foram analisadas separadamente para cesárea (Tabela 8, Figura 5) e para fórcipe (Tabela 9, Figura 6), estratificando adolescentes (n = 433 cesáreas; n = 363 fórcipes) e adultas (n = 3.310 cesáreas; n = 544 fórcipes).</w:t>
      </w:r>
    </w:p>
    <w:p w14:paraId="2DA7C367" w14:textId="77777777" w:rsidR="00F81460" w:rsidRPr="00E97F6A" w:rsidRDefault="00F81460">
      <w:pPr>
        <w:spacing w:after="80"/>
        <w:rPr>
          <w:lang w:val="pt-BR"/>
        </w:rPr>
      </w:pPr>
    </w:p>
    <w:p w14:paraId="180009C8" w14:textId="77777777" w:rsidR="00F81460" w:rsidRPr="00E97F6A" w:rsidRDefault="00000000">
      <w:pPr>
        <w:spacing w:before="160" w:after="160" w:line="360" w:lineRule="auto"/>
        <w:jc w:val="both"/>
        <w:rPr>
          <w:lang w:val="pt-BR"/>
        </w:rPr>
      </w:pPr>
      <w:r w:rsidRPr="00E97F6A">
        <w:rPr>
          <w:b/>
          <w:bCs/>
          <w:lang w:val="pt-BR"/>
        </w:rPr>
        <w:t xml:space="preserve">Indicações de cesárea. Nas adolescentes (11–19 anos, n = 433), a categoria mais frequente foi "Não informada" — indicação sem registro explícito no prontuário — correspondendo a 264 casos (68,4% das 5 indicações mais frequentes; 61,0% do total de adolescentes com cesárea). Excluindo-se os registros sem indicação, as principais causas documentadas foram: distocia funcional (n = 37; 9,6%), mecônio (n = 35; 9,1%), sofrimento fetal (n = 28; 7,3%) e desproporção </w:t>
      </w:r>
      <w:proofErr w:type="spellStart"/>
      <w:r w:rsidRPr="00E97F6A">
        <w:rPr>
          <w:b/>
          <w:bCs/>
          <w:lang w:val="pt-BR"/>
        </w:rPr>
        <w:t>céfalo</w:t>
      </w:r>
      <w:proofErr w:type="spellEnd"/>
      <w:r w:rsidRPr="00E97F6A">
        <w:rPr>
          <w:b/>
          <w:bCs/>
          <w:lang w:val="pt-BR"/>
        </w:rPr>
        <w:t xml:space="preserve">-pélvica — DCP (n = 22; 5,7%). Nas adultas (20–34 anos, n = 3.310), as indicações foram distribuídas de forma mais equilibrada: sofrimento fetal liderou o ranking (n = 551; 27,6%), seguida de registros sem indicação (n = 512; 25,7%), patologia materna (n = 381; 19,1%), distocia funcional (n = 288; 14,4%) e iteratividade — cesárea prévia repetida (n = 263; 13,2%). A iteratividade, praticamente ausente nas </w:t>
      </w:r>
      <w:r w:rsidRPr="00E97F6A">
        <w:rPr>
          <w:b/>
          <w:bCs/>
          <w:lang w:val="pt-BR"/>
        </w:rPr>
        <w:lastRenderedPageBreak/>
        <w:t>adolescentes, representou a quinta indicação mais comum no grupo adulto, refletindo o maior histórico obstétrico desse grupo.</w:t>
      </w:r>
    </w:p>
    <w:p w14:paraId="5483FC72" w14:textId="77777777" w:rsidR="00F81460" w:rsidRPr="00E97F6A" w:rsidRDefault="00F81460">
      <w:pPr>
        <w:spacing w:after="80"/>
        <w:rPr>
          <w:lang w:val="pt-BR"/>
        </w:rPr>
      </w:pPr>
    </w:p>
    <w:p w14:paraId="6678837E" w14:textId="77777777" w:rsidR="00F81460" w:rsidRPr="00E97F6A" w:rsidRDefault="00000000">
      <w:pPr>
        <w:spacing w:before="160" w:after="160" w:line="360" w:lineRule="auto"/>
        <w:jc w:val="both"/>
        <w:rPr>
          <w:lang w:val="pt-BR"/>
        </w:rPr>
      </w:pPr>
      <w:r w:rsidRPr="00E97F6A">
        <w:rPr>
          <w:b/>
          <w:bCs/>
          <w:lang w:val="pt-BR"/>
        </w:rPr>
        <w:t xml:space="preserve">Indicações de fórcipe. Entre as adolescentes (n = 363), a maioria dos registros não apresentava indicação documentada no prontuário: 216 casos (60,2% do top 5; 59,5% do total de adolescentes com fórcipe). Das indicações registradas, destacaram-se alívio materno-fetal — abreviação do expulsivo por fadiga ou sofrimento fetal iminente — (n = 62; 17,3%), abreviação do período expulsivo (n = 41; 11,4%), distocia de rotação (n = 36; 10,0%) e mecônio (n = 4; 1,1%). Nas adultas (n = 544), o perfil foi distinto: alívio materno-fetal foi a indicação mais comum (n = 208; 39,5%), seguida de abreviação do período expulsivo (n = 177; 33,6%), distocia de rotação (n = 95; 18,0%), registros sem indicação (n = 37; 7,0%) e sofrimento fetal (n = 10; 1,9%). A alta proporção de indicações não documentadas nas adolescentes (59,5% vs. 6,8% nas adultas) é um achado clinicamente relevante que pode indicar </w:t>
      </w:r>
      <w:proofErr w:type="spellStart"/>
      <w:r w:rsidRPr="00E97F6A">
        <w:rPr>
          <w:b/>
          <w:bCs/>
          <w:lang w:val="pt-BR"/>
        </w:rPr>
        <w:t>subregistro</w:t>
      </w:r>
      <w:proofErr w:type="spellEnd"/>
      <w:r w:rsidRPr="00E97F6A">
        <w:rPr>
          <w:b/>
          <w:bCs/>
          <w:lang w:val="pt-BR"/>
        </w:rPr>
        <w:t xml:space="preserve"> sistemático de indicações obstétricas nesse grupo etário, ou a maior frequência de indicações emergenciais de difícil classificação nesta faixa. Recomenda-se análise qualitativa dos prontuários correspondentes.</w:t>
      </w:r>
    </w:p>
    <w:p w14:paraId="3859700F" w14:textId="77777777" w:rsidR="00F81460" w:rsidRPr="00E97F6A" w:rsidRDefault="00F81460">
      <w:pPr>
        <w:spacing w:after="80"/>
        <w:rPr>
          <w:lang w:val="pt-BR"/>
        </w:rPr>
      </w:pPr>
    </w:p>
    <w:p w14:paraId="5A2CCFE1" w14:textId="77777777" w:rsidR="00F81460" w:rsidRPr="00E97F6A" w:rsidRDefault="00000000">
      <w:pPr>
        <w:pStyle w:val="Heading2"/>
        <w:rPr>
          <w:lang w:val="pt-BR"/>
        </w:rPr>
      </w:pPr>
      <w:r w:rsidRPr="00E97F6A">
        <w:rPr>
          <w:lang w:val="pt-BR"/>
        </w:rPr>
        <w:t>4.5 Fatores associados à cesárea — análise multivariada</w:t>
      </w:r>
    </w:p>
    <w:p w14:paraId="042FE22E" w14:textId="77777777" w:rsidR="00F81460" w:rsidRPr="00E97F6A" w:rsidRDefault="00000000">
      <w:pPr>
        <w:spacing w:before="160" w:after="160" w:line="360" w:lineRule="auto"/>
        <w:jc w:val="both"/>
        <w:rPr>
          <w:lang w:val="pt-BR"/>
        </w:rPr>
      </w:pPr>
      <w:r w:rsidRPr="00E97F6A">
        <w:rPr>
          <w:lang w:val="pt-BR"/>
        </w:rPr>
        <w:t xml:space="preserve">A fim de identificar os fatores independentemente associados à ocorrência de parto cesárea, foram construídos e avaliados quatro modelos de regressão logística múltipla. Essas análises foram conduzidas pela estatística do programa de pós-graduação, com auxílio do software IBM SPSS </w:t>
      </w:r>
      <w:proofErr w:type="spellStart"/>
      <w:r w:rsidRPr="00E97F6A">
        <w:rPr>
          <w:lang w:val="pt-BR"/>
        </w:rPr>
        <w:t>Statistics</w:t>
      </w:r>
      <w:proofErr w:type="spellEnd"/>
      <w:r w:rsidRPr="00E97F6A">
        <w:rPr>
          <w:lang w:val="pt-BR"/>
        </w:rPr>
        <w:t xml:space="preserve">, e os resultados são detalhados na Tabela 10 e na Figura 7. Os modelos testados foram: Sugestão 1 (modelo clínico clássico, com faixa etária, hipertensão obstétrica e apresentação fetal); Sugestão 2 (adicionando DMG ao modelo anterior); Sugestão 3 (com grupos de Robson e apresentação fetal — apresentou problema de </w:t>
      </w:r>
      <w:proofErr w:type="spellStart"/>
      <w:r w:rsidRPr="00E97F6A">
        <w:rPr>
          <w:lang w:val="pt-BR"/>
        </w:rPr>
        <w:t>multicolinearidade</w:t>
      </w:r>
      <w:proofErr w:type="spellEnd"/>
      <w:r w:rsidRPr="00E97F6A">
        <w:rPr>
          <w:lang w:val="pt-BR"/>
        </w:rPr>
        <w:t xml:space="preserve">, pois a apresentação fetal já compõe o critério de classificação de Robson); e Sugestão 4, adotada como modelo definitivo por melhor calibração (teste de </w:t>
      </w:r>
      <w:proofErr w:type="spellStart"/>
      <w:r w:rsidRPr="00E97F6A">
        <w:rPr>
          <w:lang w:val="pt-BR"/>
        </w:rPr>
        <w:t>Hosmer-Lemeshow</w:t>
      </w:r>
      <w:proofErr w:type="spellEnd"/>
      <w:r w:rsidRPr="00E97F6A">
        <w:rPr>
          <w:lang w:val="pt-BR"/>
        </w:rPr>
        <w:t xml:space="preserve">: χ² = 5,215; </w:t>
      </w:r>
      <w:proofErr w:type="spellStart"/>
      <w:r w:rsidRPr="00E97F6A">
        <w:rPr>
          <w:lang w:val="pt-BR"/>
        </w:rPr>
        <w:t>gl</w:t>
      </w:r>
      <w:proofErr w:type="spellEnd"/>
      <w:r w:rsidRPr="00E97F6A">
        <w:rPr>
          <w:lang w:val="pt-BR"/>
        </w:rPr>
        <w:t xml:space="preserve"> = 6; p = 0,517) e por evitar a redundância identificada no Modelo 3.</w:t>
      </w:r>
    </w:p>
    <w:p w14:paraId="3C04A05B" w14:textId="77777777" w:rsidR="00F81460" w:rsidRPr="00E97F6A" w:rsidRDefault="00F81460">
      <w:pPr>
        <w:spacing w:after="80"/>
        <w:rPr>
          <w:lang w:val="pt-BR"/>
        </w:rPr>
      </w:pPr>
    </w:p>
    <w:p w14:paraId="18888BE4" w14:textId="77777777" w:rsidR="00F81460" w:rsidRPr="00E97F6A" w:rsidRDefault="00000000">
      <w:pPr>
        <w:spacing w:before="160" w:after="160" w:line="360" w:lineRule="auto"/>
        <w:jc w:val="both"/>
        <w:rPr>
          <w:lang w:val="pt-BR"/>
        </w:rPr>
      </w:pPr>
      <w:r w:rsidRPr="00E97F6A">
        <w:rPr>
          <w:lang w:val="pt-BR"/>
        </w:rPr>
        <w:t xml:space="preserve">O Modelo 4 (Sugestão 4) ajustou simultaneamente faixa etária, hipertensão obstétrica (DHEG) e grupos de Robson reduzidos, com o Grupo 1 como categoria de referência. Os principais achados são apresentados a seguir (Tabela 10). A faixa etária adulta (20–34 anos) permaneceu </w:t>
      </w:r>
      <w:r w:rsidRPr="00E97F6A">
        <w:rPr>
          <w:lang w:val="pt-BR"/>
        </w:rPr>
        <w:lastRenderedPageBreak/>
        <w:t>como fator de risco independente para cesárea após ajuste por todos os demais covariáveis: OR = 1,79 (IC 95% 1,12–2,86; p = 0,015). Esse resultado indica que, mesmo após controlar por paridade, tipo de início do trabalho de parto, apresentação fetal e presença de hipertensão — conforme capturado pela Classificação de Robson —, as adultas apresentaram chance 79% maior de cesárea em comparação com as adolescentes. O Grupo de Robson 5 (multíparas com cesárea uterina prévia) foi o preditor de maior magnitude no modelo: OR = 13,65 (IC 95% 9,88–18,85; p &lt; 0,001), confirmando a iteratividade como principal determinante isolado de cesárea na casuística. Os Grupos 6 (OR = 23,65; IC 95% 5,49–101,89) e 9 (OR = 27,66; IC 95% 6,49–117,89) apresentaram os maiores OR, porém com intervalos de confiança amplos, refletindo o pequeno tamanho amostral nesses subgrupos. O Grupo 3 (multíparas em trabalho espontâneo) funcionou como fator protetor em relação ao Grupo 1: OR = 0,48 (IC 95% 0,35–0,66; p &lt; 0,001) — resultado clinicamente esperado, pois multíparas em trabalho espontâneo têm menor probabilidade de cesárea do que nulíparas na mesma condição.</w:t>
      </w:r>
    </w:p>
    <w:p w14:paraId="496B7295" w14:textId="77777777" w:rsidR="00F81460" w:rsidRPr="00E97F6A" w:rsidRDefault="00F81460">
      <w:pPr>
        <w:spacing w:after="80"/>
        <w:rPr>
          <w:lang w:val="pt-BR"/>
        </w:rPr>
      </w:pPr>
    </w:p>
    <w:p w14:paraId="3A17A648" w14:textId="77777777" w:rsidR="00F81460" w:rsidRPr="00E97F6A" w:rsidRDefault="00000000">
      <w:pPr>
        <w:spacing w:before="160" w:after="160" w:line="360" w:lineRule="auto"/>
        <w:jc w:val="both"/>
        <w:rPr>
          <w:lang w:val="pt-BR"/>
        </w:rPr>
      </w:pPr>
      <w:r w:rsidRPr="00E97F6A">
        <w:rPr>
          <w:b/>
          <w:bCs/>
          <w:lang w:val="pt-BR"/>
        </w:rPr>
        <w:t xml:space="preserve">Nota interpretativa sobre o efeito da DHEG no Modelo 4. </w:t>
      </w:r>
      <w:r w:rsidRPr="00E97F6A">
        <w:rPr>
          <w:lang w:val="pt-BR"/>
        </w:rPr>
        <w:t>No Modelo 4, a hipertensão obstétrica apresentou coeficiente negativo (B = −0,914), resultando em OR = 0,40 (IC 95% 0,32–0,50; p &lt; 0,001). Esse achado, aparentemente contraintuitivo, deve ser interpretado à luz do ajuste simultâneo pelos grupos de Robson. Gestações complicadas por DHEG frequentemente culminam em indução do trabalho de parto, alocando as pacientes nos Grupos 2, 4 ou 10 da Classificação de Robson. Uma vez ajustado pelo grupo em que a parturiente foi classificada, a presença isolada de hipertensão obstétrica associa-se a maior proporção de partos vaginais induzidos bem-sucedidos do que de cesáreas diretas. Em outras palavras, o efeito protetor aparente da DHEG no modelo não reflete um benefício clínico da hipertensão, mas sim o perfil de resolução obstétrica das pacientes hipertensas alocadas em grupos de indução, nas quais uma parcela significativa logra o parto vaginal.</w:t>
      </w:r>
    </w:p>
    <w:p w14:paraId="3852DE11" w14:textId="77777777" w:rsidR="00F81460" w:rsidRPr="00E97F6A" w:rsidRDefault="00F81460">
      <w:pPr>
        <w:spacing w:after="80"/>
        <w:rPr>
          <w:lang w:val="pt-BR"/>
        </w:rPr>
      </w:pPr>
    </w:p>
    <w:p w14:paraId="5E1DF7B5" w14:textId="77777777" w:rsidR="00F81460" w:rsidRPr="00E97F6A" w:rsidRDefault="00000000">
      <w:pPr>
        <w:spacing w:before="160" w:after="160" w:line="360" w:lineRule="auto"/>
        <w:jc w:val="both"/>
        <w:rPr>
          <w:lang w:val="pt-BR"/>
        </w:rPr>
      </w:pPr>
      <w:r w:rsidRPr="00E97F6A">
        <w:rPr>
          <w:lang w:val="pt-BR"/>
        </w:rPr>
        <w:t>Em conjunto, os resultados da análise multivariada sustentam a conclusão de que a faixa etária adulta é fator de risco independente para cesárea, mesmo após controle rigoroso pelo perfil obstétrico estruturado pela Classificação de Robson. A iteratividade (Grupo 5) constitui o preditor dominante na amostra, seguida das apresentações anômalas (Grupos 6, 7 e 9). A consistência dos achados entre a análise bivariada e os modelos ajustados reforça a robustez das conclusões.</w:t>
      </w:r>
    </w:p>
    <w:p w14:paraId="3EB4CA2C" w14:textId="77777777" w:rsidR="00F81460" w:rsidRPr="00E97F6A" w:rsidRDefault="00F81460">
      <w:pPr>
        <w:spacing w:after="80"/>
        <w:rPr>
          <w:lang w:val="pt-BR"/>
        </w:rPr>
      </w:pPr>
    </w:p>
    <w:p w14:paraId="38BCD7A5" w14:textId="77777777" w:rsidR="00F81460" w:rsidRPr="00E97F6A" w:rsidRDefault="00000000">
      <w:pPr>
        <w:pBdr>
          <w:top w:val="single" w:sz="6" w:space="4" w:color="CC0000"/>
          <w:bottom w:val="single" w:sz="6" w:space="4" w:color="CC0000"/>
        </w:pBdr>
        <w:spacing w:before="320" w:after="160" w:line="276" w:lineRule="auto"/>
        <w:rPr>
          <w:lang w:val="pt-BR"/>
        </w:rPr>
      </w:pPr>
      <w:r w:rsidRPr="00E97F6A">
        <w:rPr>
          <w:b/>
          <w:bCs/>
          <w:color w:val="CC0000"/>
          <w:sz w:val="20"/>
          <w:szCs w:val="20"/>
          <w:lang w:val="pt-BR"/>
        </w:rPr>
        <w:t xml:space="preserve">Nota de preenchimento: </w:t>
      </w:r>
      <w:r w:rsidRPr="00E97F6A">
        <w:rPr>
          <w:color w:val="CC0000"/>
          <w:sz w:val="20"/>
          <w:szCs w:val="20"/>
          <w:lang w:val="pt-BR"/>
        </w:rPr>
        <w:t>Os valores [N_TOTAL], [N_ADOL], [N_PREC], [N_TARD] e [N_ADUL] devem ser preenchidos pela Letícia após reconciliação do n final entre as análises do R e do SPSS (ver PLANO_RESULTADOS_DISSERTACAO.md, seção 1 e seção 5.1).</w:t>
      </w:r>
    </w:p>
    <w:sectPr w:rsidR="00F81460" w:rsidRPr="00E97F6A">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1458F"/>
    <w:multiLevelType w:val="hybridMultilevel"/>
    <w:tmpl w:val="BD2CEBB4"/>
    <w:lvl w:ilvl="0" w:tplc="0CCA217C">
      <w:start w:val="1"/>
      <w:numFmt w:val="bullet"/>
      <w:lvlText w:val="●"/>
      <w:lvlJc w:val="left"/>
      <w:pPr>
        <w:ind w:left="720" w:hanging="360"/>
      </w:pPr>
    </w:lvl>
    <w:lvl w:ilvl="1" w:tplc="02500DE8">
      <w:start w:val="1"/>
      <w:numFmt w:val="bullet"/>
      <w:lvlText w:val="○"/>
      <w:lvlJc w:val="left"/>
      <w:pPr>
        <w:ind w:left="1440" w:hanging="360"/>
      </w:pPr>
    </w:lvl>
    <w:lvl w:ilvl="2" w:tplc="C3F63E5C">
      <w:start w:val="1"/>
      <w:numFmt w:val="bullet"/>
      <w:lvlText w:val="■"/>
      <w:lvlJc w:val="left"/>
      <w:pPr>
        <w:ind w:left="2160" w:hanging="360"/>
      </w:pPr>
    </w:lvl>
    <w:lvl w:ilvl="3" w:tplc="9F1C6D6A">
      <w:start w:val="1"/>
      <w:numFmt w:val="bullet"/>
      <w:lvlText w:val="●"/>
      <w:lvlJc w:val="left"/>
      <w:pPr>
        <w:ind w:left="2880" w:hanging="360"/>
      </w:pPr>
    </w:lvl>
    <w:lvl w:ilvl="4" w:tplc="F3FCA7B2">
      <w:start w:val="1"/>
      <w:numFmt w:val="bullet"/>
      <w:lvlText w:val="○"/>
      <w:lvlJc w:val="left"/>
      <w:pPr>
        <w:ind w:left="3600" w:hanging="360"/>
      </w:pPr>
    </w:lvl>
    <w:lvl w:ilvl="5" w:tplc="F65CDAB8">
      <w:start w:val="1"/>
      <w:numFmt w:val="bullet"/>
      <w:lvlText w:val="■"/>
      <w:lvlJc w:val="left"/>
      <w:pPr>
        <w:ind w:left="4320" w:hanging="360"/>
      </w:pPr>
    </w:lvl>
    <w:lvl w:ilvl="6" w:tplc="419E9948">
      <w:start w:val="1"/>
      <w:numFmt w:val="bullet"/>
      <w:lvlText w:val="●"/>
      <w:lvlJc w:val="left"/>
      <w:pPr>
        <w:ind w:left="5040" w:hanging="360"/>
      </w:pPr>
    </w:lvl>
    <w:lvl w:ilvl="7" w:tplc="F176F2F6">
      <w:start w:val="1"/>
      <w:numFmt w:val="bullet"/>
      <w:lvlText w:val="●"/>
      <w:lvlJc w:val="left"/>
      <w:pPr>
        <w:ind w:left="5760" w:hanging="360"/>
      </w:pPr>
    </w:lvl>
    <w:lvl w:ilvl="8" w:tplc="54E070EE">
      <w:start w:val="1"/>
      <w:numFmt w:val="bullet"/>
      <w:lvlText w:val="●"/>
      <w:lvlJc w:val="left"/>
      <w:pPr>
        <w:ind w:left="6480" w:hanging="360"/>
      </w:pPr>
    </w:lvl>
  </w:abstractNum>
  <w:num w:numId="1" w16cid:durableId="1297562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460"/>
    <w:rsid w:val="001302F4"/>
    <w:rsid w:val="00E97F6A"/>
    <w:rsid w:val="00F814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A20ADA"/>
  <w15:docId w15:val="{EFBFD848-1AE3-B849-ABE7-C7F5B35D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60" w:after="160"/>
      <w:outlineLvl w:val="1"/>
    </w:pPr>
    <w:rPr>
      <w:b/>
      <w:bCs/>
      <w:sz w:val="26"/>
      <w:szCs w:val="26"/>
    </w:rPr>
  </w:style>
  <w:style w:type="paragraph" w:styleId="Heading3">
    <w:name w:val="heading 3"/>
    <w:uiPriority w:val="9"/>
    <w:unhideWhenUsed/>
    <w:qFormat/>
    <w:pPr>
      <w:spacing w:before="28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2775</Words>
  <Characters>15823</Characters>
  <Application>Microsoft Office Word</Application>
  <DocSecurity>0</DocSecurity>
  <Lines>131</Lines>
  <Paragraphs>37</Paragraphs>
  <ScaleCrop>false</ScaleCrop>
  <Company/>
  <LinksUpToDate>false</LinksUpToDate>
  <CharactersWithSpaces>18561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Santos</cp:lastModifiedBy>
  <cp:revision>2</cp:revision>
  <dcterms:created xsi:type="dcterms:W3CDTF">2026-05-19T17:08:00Z</dcterms:created>
  <dcterms:modified xsi:type="dcterms:W3CDTF">2026-05-20T02:23:00Z</dcterms:modified>
</cp:coreProperties>
</file>