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Caracterização da amostra segundo a faixa etária</w:t>
      </w:r>
    </w:p>
    <w:p>
      <w:r>
        <w:rPr>
          <w:i/>
          <w:iCs/>
          <w:sz w:val="18"/>
          <w:szCs w:val="18"/>
        </w:rPr>
        <w:t xml:space="preserve">Microdados §3.3 (N = 6.650; 538 precoces, 829 tardias, 5.283 adultas). Mediana (IIQ) para variáveis contínuas e n (%) para proporções. *Kruskal-Wallis (contínuas) e qui-quadrado de Pearson (proporções).</w:t>
      </w:r>
    </w:p>
    <w:p>
      <w:pPr>
        <w:pStyle w:val="Heading2"/>
      </w:pPr>
      <w:r>
        <w:t xml:space="preserve">Tabela 12. Variáveis contínuas obstétricas e neonatais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1620"/>
        <w:gridCol w:w="1620"/>
        <w:gridCol w:w="1620"/>
        <w:gridCol w:w="1140"/>
      </w:tblGrid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Variável</w:t>
            </w:r>
          </w:p>
        </w:tc>
        <w:tc>
          <w:tcPr>
            <w:tcW w:type="dxa" w:w="1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Precoces (11–15)</w:t>
            </w:r>
          </w:p>
        </w:tc>
        <w:tc>
          <w:tcPr>
            <w:tcW w:type="dxa" w:w="1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Tardias (16–19)</w:t>
            </w:r>
          </w:p>
        </w:tc>
        <w:tc>
          <w:tcPr>
            <w:tcW w:type="dxa" w:w="1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Adultas (20–34)</w:t>
            </w:r>
          </w:p>
        </w:tc>
        <w:tc>
          <w:tcPr>
            <w:tcW w:type="dxa" w:w="11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p*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IG de início do pré-natal (semanas)</w:t>
            </w:r>
          </w:p>
        </w:tc>
        <w:tc>
          <w:tcPr>
            <w:tcW w:type="dxa" w:w="1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19,4 (15,1–24,5)</w:t>
            </w:r>
          </w:p>
        </w:tc>
        <w:tc>
          <w:tcPr>
            <w:tcW w:type="dxa" w:w="1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18,3 (14,2–23,1)</w:t>
            </w:r>
          </w:p>
        </w:tc>
        <w:tc>
          <w:tcPr>
            <w:tcW w:type="dxa" w:w="1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15,0 (11,0–22,0)</w:t>
            </w:r>
          </w:p>
        </w:tc>
        <w:tc>
          <w:tcPr>
            <w:tcW w:type="dxa" w:w="11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&lt;0,001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Número de gestações</w:t>
            </w:r>
          </w:p>
        </w:tc>
        <w:tc>
          <w:tcPr>
            <w:tcW w:type="dxa" w:w="1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1,0 (1,0–1,0)</w:t>
            </w:r>
          </w:p>
        </w:tc>
        <w:tc>
          <w:tcPr>
            <w:tcW w:type="dxa" w:w="1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1,0 (1,0–1,0)</w:t>
            </w:r>
          </w:p>
        </w:tc>
        <w:tc>
          <w:tcPr>
            <w:tcW w:type="dxa" w:w="1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2,0 (1,0–3,0)</w:t>
            </w:r>
          </w:p>
        </w:tc>
        <w:tc>
          <w:tcPr>
            <w:tcW w:type="dxa" w:w="11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&lt;0,001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Paridade (partos prévios)</w:t>
            </w:r>
          </w:p>
        </w:tc>
        <w:tc>
          <w:tcPr>
            <w:tcW w:type="dxa" w:w="1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0,0 (0,0–0,0)</w:t>
            </w:r>
          </w:p>
        </w:tc>
        <w:tc>
          <w:tcPr>
            <w:tcW w:type="dxa" w:w="1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0,0 (0,0–0,0)</w:t>
            </w:r>
          </w:p>
        </w:tc>
        <w:tc>
          <w:tcPr>
            <w:tcW w:type="dxa" w:w="1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1,0 (0,0–2,0)</w:t>
            </w:r>
          </w:p>
        </w:tc>
        <w:tc>
          <w:tcPr>
            <w:tcW w:type="dxa" w:w="11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&lt;0,001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Abortos prévios</w:t>
            </w:r>
          </w:p>
        </w:tc>
        <w:tc>
          <w:tcPr>
            <w:tcW w:type="dxa" w:w="1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0,0 (0,0–0,0)</w:t>
            </w:r>
          </w:p>
        </w:tc>
        <w:tc>
          <w:tcPr>
            <w:tcW w:type="dxa" w:w="1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0,0 (0,0–0,0)</w:t>
            </w:r>
          </w:p>
        </w:tc>
        <w:tc>
          <w:tcPr>
            <w:tcW w:type="dxa" w:w="1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0,0 (0,0–0,0)</w:t>
            </w:r>
          </w:p>
        </w:tc>
        <w:tc>
          <w:tcPr>
            <w:tcW w:type="dxa" w:w="11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&lt;0,001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IMC (kg/m²)</w:t>
            </w:r>
          </w:p>
        </w:tc>
        <w:tc>
          <w:tcPr>
            <w:tcW w:type="dxa" w:w="1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22,6 (20,7–24,7)</w:t>
            </w:r>
          </w:p>
        </w:tc>
        <w:tc>
          <w:tcPr>
            <w:tcW w:type="dxa" w:w="1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22,6 (20,6–24,7)</w:t>
            </w:r>
          </w:p>
        </w:tc>
        <w:tc>
          <w:tcPr>
            <w:tcW w:type="dxa" w:w="1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26,1 (23,1–30,0)</w:t>
            </w:r>
          </w:p>
        </w:tc>
        <w:tc>
          <w:tcPr>
            <w:tcW w:type="dxa" w:w="11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&lt;0,001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Número de consultas de pré-natal</w:t>
            </w:r>
          </w:p>
        </w:tc>
        <w:tc>
          <w:tcPr>
            <w:tcW w:type="dxa" w:w="1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7,0 (6,0–9,0)</w:t>
            </w:r>
          </w:p>
        </w:tc>
        <w:tc>
          <w:tcPr>
            <w:tcW w:type="dxa" w:w="1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8,0 (6,0–10,0)</w:t>
            </w:r>
          </w:p>
        </w:tc>
        <w:tc>
          <w:tcPr>
            <w:tcW w:type="dxa" w:w="1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8,0 (6,0–10,0)</w:t>
            </w:r>
          </w:p>
        </w:tc>
        <w:tc>
          <w:tcPr>
            <w:tcW w:type="dxa" w:w="11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&lt;0,001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IG no parto (semanas)</w:t>
            </w:r>
          </w:p>
        </w:tc>
        <w:tc>
          <w:tcPr>
            <w:tcW w:type="dxa" w:w="1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39,1 (38,0–40,0)</w:t>
            </w:r>
          </w:p>
        </w:tc>
        <w:tc>
          <w:tcPr>
            <w:tcW w:type="dxa" w:w="1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39,0 (38,0–40,0)</w:t>
            </w:r>
          </w:p>
        </w:tc>
        <w:tc>
          <w:tcPr>
            <w:tcW w:type="dxa" w:w="1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38,3 (37,0–39,6)</w:t>
            </w:r>
          </w:p>
        </w:tc>
        <w:tc>
          <w:tcPr>
            <w:tcW w:type="dxa" w:w="11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&lt;0,001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Peso do recém-nascido (g)</w:t>
            </w:r>
          </w:p>
        </w:tc>
        <w:tc>
          <w:tcPr>
            <w:tcW w:type="dxa" w:w="1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3110 (2800–3400)</w:t>
            </w:r>
          </w:p>
        </w:tc>
        <w:tc>
          <w:tcPr>
            <w:tcW w:type="dxa" w:w="1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3080 (2760–3375)</w:t>
            </w:r>
          </w:p>
        </w:tc>
        <w:tc>
          <w:tcPr>
            <w:tcW w:type="dxa" w:w="1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3010 (2580–3370)</w:t>
            </w:r>
          </w:p>
        </w:tc>
        <w:tc>
          <w:tcPr>
            <w:tcW w:type="dxa" w:w="11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&lt;0,001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Apgar 1º minuto</w:t>
            </w:r>
          </w:p>
        </w:tc>
        <w:tc>
          <w:tcPr>
            <w:tcW w:type="dxa" w:w="1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9,0 (8,0–9,0)</w:t>
            </w:r>
          </w:p>
        </w:tc>
        <w:tc>
          <w:tcPr>
            <w:tcW w:type="dxa" w:w="1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9,0 (8,0–9,0)</w:t>
            </w:r>
          </w:p>
        </w:tc>
        <w:tc>
          <w:tcPr>
            <w:tcW w:type="dxa" w:w="1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9,0 (8,0–9,0)</w:t>
            </w:r>
          </w:p>
        </w:tc>
        <w:tc>
          <w:tcPr>
            <w:tcW w:type="dxa" w:w="11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0,223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Apgar 5º minuto</w:t>
            </w:r>
          </w:p>
        </w:tc>
        <w:tc>
          <w:tcPr>
            <w:tcW w:type="dxa" w:w="1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9,0 (9,0–10,0)</w:t>
            </w:r>
          </w:p>
        </w:tc>
        <w:tc>
          <w:tcPr>
            <w:tcW w:type="dxa" w:w="1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9,0 (9,0–10,0)</w:t>
            </w:r>
          </w:p>
        </w:tc>
        <w:tc>
          <w:tcPr>
            <w:tcW w:type="dxa" w:w="1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9,0 (9,0–10,0)</w:t>
            </w:r>
          </w:p>
        </w:tc>
        <w:tc>
          <w:tcPr>
            <w:tcW w:type="dxa" w:w="11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0,868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Apgar 10º minuto</w:t>
            </w:r>
          </w:p>
        </w:tc>
        <w:tc>
          <w:tcPr>
            <w:tcW w:type="dxa" w:w="1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10,0 (9,0–10,0)</w:t>
            </w:r>
          </w:p>
        </w:tc>
        <w:tc>
          <w:tcPr>
            <w:tcW w:type="dxa" w:w="1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10,0 (9,0–10,0)</w:t>
            </w:r>
          </w:p>
        </w:tc>
        <w:tc>
          <w:tcPr>
            <w:tcW w:type="dxa" w:w="1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10,0 (9,0–10,0)</w:t>
            </w:r>
          </w:p>
        </w:tc>
        <w:tc>
          <w:tcPr>
            <w:tcW w:type="dxa" w:w="11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0,141</w:t>
            </w:r>
          </w:p>
        </w:tc>
      </w:tr>
    </w:tbl>
    <w:p>
      <w:r>
        <w:rPr>
          <w:i/>
          <w:iCs/>
          <w:sz w:val="16"/>
          <w:szCs w:val="16"/>
        </w:rPr>
        <w:t xml:space="preserve">IG no parto exclui zeros (ausentes). IMC disponível em subconjunto (n=1.709).</w:t>
      </w:r>
    </w:p>
    <w:p>
      <w:pPr>
        <w:pStyle w:val="Heading2"/>
      </w:pPr>
      <w:r>
        <w:t xml:space="preserve">Tabela 13. Proporções derivadas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1620"/>
        <w:gridCol w:w="1620"/>
        <w:gridCol w:w="1620"/>
        <w:gridCol w:w="1140"/>
      </w:tblGrid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Variável</w:t>
            </w:r>
          </w:p>
        </w:tc>
        <w:tc>
          <w:tcPr>
            <w:tcW w:type="dxa" w:w="1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Precoces (11–15)</w:t>
            </w:r>
          </w:p>
        </w:tc>
        <w:tc>
          <w:tcPr>
            <w:tcW w:type="dxa" w:w="1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Tardias (16–19)</w:t>
            </w:r>
          </w:p>
        </w:tc>
        <w:tc>
          <w:tcPr>
            <w:tcW w:type="dxa" w:w="1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Adultas (20–34)</w:t>
            </w:r>
          </w:p>
        </w:tc>
        <w:tc>
          <w:tcPr>
            <w:tcW w:type="dxa" w:w="11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p*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Prematuridade (&lt; 37 semanas)</w:t>
            </w:r>
          </w:p>
        </w:tc>
        <w:tc>
          <w:tcPr>
            <w:tcW w:type="dxa" w:w="1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57 (10,6%)</w:t>
            </w:r>
          </w:p>
        </w:tc>
        <w:tc>
          <w:tcPr>
            <w:tcW w:type="dxa" w:w="1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121 (14,6%)</w:t>
            </w:r>
          </w:p>
        </w:tc>
        <w:tc>
          <w:tcPr>
            <w:tcW w:type="dxa" w:w="1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1066 (20,2%)</w:t>
            </w:r>
          </w:p>
        </w:tc>
        <w:tc>
          <w:tcPr>
            <w:tcW w:type="dxa" w:w="11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&lt;0,001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Baixo peso ao nascer (&lt; 2500 g)</w:t>
            </w:r>
          </w:p>
        </w:tc>
        <w:tc>
          <w:tcPr>
            <w:tcW w:type="dxa" w:w="1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59 (11,0%)</w:t>
            </w:r>
          </w:p>
        </w:tc>
        <w:tc>
          <w:tcPr>
            <w:tcW w:type="dxa" w:w="1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106 (12,8%)</w:t>
            </w:r>
          </w:p>
        </w:tc>
        <w:tc>
          <w:tcPr>
            <w:tcW w:type="dxa" w:w="1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1145 (21,7%)</w:t>
            </w:r>
          </w:p>
        </w:tc>
        <w:tc>
          <w:tcPr>
            <w:tcW w:type="dxa" w:w="11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&lt;0,001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Apgar 1º min &lt; 7</w:t>
            </w:r>
          </w:p>
        </w:tc>
        <w:tc>
          <w:tcPr>
            <w:tcW w:type="dxa" w:w="1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49 (9,1%)</w:t>
            </w:r>
          </w:p>
        </w:tc>
        <w:tc>
          <w:tcPr>
            <w:tcW w:type="dxa" w:w="1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68 (8,2%)</w:t>
            </w:r>
          </w:p>
        </w:tc>
        <w:tc>
          <w:tcPr>
            <w:tcW w:type="dxa" w:w="1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712 (13,5%)</w:t>
            </w:r>
          </w:p>
        </w:tc>
        <w:tc>
          <w:tcPr>
            <w:tcW w:type="dxa" w:w="11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&lt;0,001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Apgar 5º min &lt; 7</w:t>
            </w:r>
          </w:p>
        </w:tc>
        <w:tc>
          <w:tcPr>
            <w:tcW w:type="dxa" w:w="1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 (3,5%)</w:t>
            </w:r>
          </w:p>
        </w:tc>
        <w:tc>
          <w:tcPr>
            <w:tcW w:type="dxa" w:w="1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 (2,5%)</w:t>
            </w:r>
          </w:p>
        </w:tc>
        <w:tc>
          <w:tcPr>
            <w:tcW w:type="dxa" w:w="1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259 (4,9%)</w:t>
            </w:r>
          </w:p>
        </w:tc>
        <w:tc>
          <w:tcPr>
            <w:tcW w:type="dxa" w:w="11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0,005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Nuliparidade</w:t>
            </w:r>
          </w:p>
        </w:tc>
        <w:tc>
          <w:tcPr>
            <w:tcW w:type="dxa" w:w="1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478 (88,8%)</w:t>
            </w:r>
          </w:p>
        </w:tc>
        <w:tc>
          <w:tcPr>
            <w:tcW w:type="dxa" w:w="1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634 (76,5%)</w:t>
            </w:r>
          </w:p>
        </w:tc>
        <w:tc>
          <w:tcPr>
            <w:tcW w:type="dxa" w:w="1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2048 (38,8%)</w:t>
            </w:r>
          </w:p>
        </w:tc>
        <w:tc>
          <w:tcPr>
            <w:tcW w:type="dxa" w:w="11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&lt;0,001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Primigestação</w:t>
            </w:r>
          </w:p>
        </w:tc>
        <w:tc>
          <w:tcPr>
            <w:tcW w:type="dxa" w:w="1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477 (88,7%)</w:t>
            </w:r>
          </w:p>
        </w:tc>
        <w:tc>
          <w:tcPr>
            <w:tcW w:type="dxa" w:w="1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631 (76,1%)</w:t>
            </w:r>
          </w:p>
        </w:tc>
        <w:tc>
          <w:tcPr>
            <w:tcW w:type="dxa" w:w="1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1670 (31,6%)</w:t>
            </w:r>
          </w:p>
        </w:tc>
        <w:tc>
          <w:tcPr>
            <w:tcW w:type="dxa" w:w="11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&lt;0,001</w:t>
            </w:r>
          </w:p>
        </w:tc>
      </w:tr>
    </w:tbl>
    <w:p>
      <w:pPr>
        <w:pStyle w:val="Heading2"/>
      </w:pPr>
      <w:r>
        <w:t xml:space="preserve">Figura 1. Variáveis contínuas por faixa etária</w:t>
      </w:r>
    </w:p>
    <w:p>
      <w:pPr>
        <w:jc w:val="center"/>
      </w:pPr>
      <w:r>
        <w:drawing>
          <wp:inline distT="0" distB="0" distL="0" distR="0">
            <wp:extent cx="5334000" cy="3467100"/>
            <wp:effectExtent t="0" r="0" b="0" l="0"/>
            <wp:docPr id="1" name="figura" descr="figura" title="fig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Figura 2. Proporções derivadas por faixa etária</w:t>
      </w:r>
    </w:p>
    <w:p>
      <w:pPr>
        <w:jc w:val="center"/>
      </w:pPr>
      <w:r>
        <w:drawing>
          <wp:inline distT="0" distB="0" distL="0" distR="0">
            <wp:extent cx="4953000" cy="3028950"/>
            <wp:effectExtent t="0" r="0" b="0" l="0"/>
            <wp:docPr id="1" name="figura" descr="figura" title="fig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37c475ff22c45144894c1f8906c9f190aaf858f.png"/><Relationship Id="rId8" Type="http://schemas.openxmlformats.org/officeDocument/2006/relationships/image" Target="media/c7c32d602094867197cfc9a891569363f4af3f2e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2026-05-31T22:17:33.144Z</dcterms:created>
  <dcterms:modified xsi:type="dcterms:W3CDTF">2026-05-31T22:17:33.144Z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