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center"/>
        <w:rPr>
          <w:rFonts w:ascii="Courier 10cpi" w:hAnsi="Courier 10cpi" w:eastAsia="Courier 10cpi" w:cs="Courier 10cpi"/>
          <w:color w:val="000000"/>
          <w:sz w:val="24"/>
          <w:szCs w:val="24"/>
          <w:u w:val="single"/>
        </w:rPr>
      </w:pPr>
      <w:r>
        <w:rPr>
          <w:rFonts w:eastAsia="Courier 10cpi" w:cs="Courier 10cpi" w:ascii="Courier 10cpi" w:hAnsi="Courier 10cpi"/>
          <w:color w:val="000000"/>
          <w:sz w:val="24"/>
          <w:szCs w:val="24"/>
          <w:u w:val="single"/>
        </w:rPr>
        <w:t>EXHIBIT A</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center"/>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Supplementary Declaration of Covenants</w:t>
      </w:r>
    </w:p>
    <w:p>
      <w:pPr>
        <w:pStyle w:val="Normal"/>
        <w:bidi w:val="0"/>
        <w:spacing w:lineRule="auto" w:line="240" w:before="0" w:after="0"/>
        <w:ind w:hanging="0" w:start="0" w:end="0"/>
        <w:jc w:val="center"/>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Cambridge Farms Homeowners Association</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LOTS Numbered sixty-nine (69) through eighty-eight (88), in a Subdivision known as "Cambridge Farms", as per Plat thereof entitled "Plat III, Section II, Cambridge Farms", recorded among the Land Records of Frederick County, Maryland, in Plat Book 49, page ll7.</w:t>
      </w:r>
    </w:p>
    <w:p>
      <w:pPr>
        <w:pStyle w:val="Normal"/>
        <w:bidi w:val="0"/>
        <w:spacing w:lineRule="auto" w:line="48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480" w:before="0" w:after="0"/>
        <w:ind w:firstLine="576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CambFarm.ExA\cwdan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