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55555"/>
          <w:sz w:val="22"/>
          <w:szCs w:val="22"/>
        </w:rPr>
        <w:t xml:space="preserve">Reference document, not part of the source corpus itself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Synthetic Corpus: Collision Register</w:t>
      </w:r>
    </w:p>
    <w:tbl>
      <w:tblPr>
        <w:tblW w:type="dxa" w:w="9360"/>
        <w:tblBorders>
          <w:top w:val="single" w:color="AAAAAA" w:sz="2"/>
          <w:left w:val="none"/>
          <w:bottom w:val="single" w:color="AAAAAA" w:sz="2"/>
          <w:right w:val="none"/>
          <w:insideH w:val="single" w:color="DDDDDD" w:sz="2"/>
          <w:insideV w:val="none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Covers</w:t>
            </w:r>
          </w:p>
        </w:tc>
        <w:tc>
          <w:tcPr>
            <w:tcW w:type="dxa" w:w="6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9"/>
                <w:szCs w:val="19"/>
              </w:rPr>
              <w:t xml:space="preserve">4 source documents, 2 projects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Collision terms</w:t>
            </w:r>
          </w:p>
        </w:tc>
        <w:tc>
          <w:tcPr>
            <w:tcW w:type="dxa" w:w="6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Deliberate internal disagreements</w:t>
            </w:r>
          </w:p>
        </w:tc>
        <w:tc>
          <w:tcPr>
            <w:tcW w:type="dxa" w:w="6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</w:tbl>
    <w:p>
      <w:pPr>
        <w:spacing w:after="300"/>
      </w:pPr>
    </w:p>
    <w:p>
      <w:pPr>
        <w:pStyle w:val="Heading1"/>
        <w:spacing w:after="120" w:before="320"/>
      </w:pPr>
      <w:r>
        <w:t xml:space="preserve">Collision Register</w:t>
      </w:r>
    </w:p>
    <w:p>
      <w:pPr>
        <w:spacing w:after="140"/>
        <w:jc w:val="both"/>
      </w:pPr>
      <w:r>
        <w:rPr>
          <w:sz w:val="21"/>
          <w:szCs w:val="21"/>
        </w:rPr>
        <w:t xml:space="preserve">This register lists every term, metric or procedure name that appears in more than one of the four documents, with the value it takes in each. A dash means the term does not appear by name in that document, though the underlying concept may still apply.</w:t>
      </w:r>
    </w:p>
    <w:p>
      <w:pPr>
        <w:spacing w:after="140"/>
        <w:jc w:val="both"/>
      </w:pPr>
      <w:r>
        <w:rPr>
          <w:sz w:val="21"/>
          <w:szCs w:val="21"/>
        </w:rPr>
        <w:t xml:space="preserve">Four entries carry a deliberate disagreement between a project's own architecture/platform document and its own runbook/field guide, marked explicitly below: escalation threshold, calibration interval, failover window and buffer capacity.</w:t>
      </w:r>
    </w:p>
    <w:p>
      <w:pPr>
        <w:spacing w:after="80" w:before="160"/>
      </w:pPr>
      <w:r>
        <w:rPr>
          <w:i/>
          <w:iCs/>
          <w:sz w:val="19"/>
          <w:szCs w:val="19"/>
        </w:rPr>
        <w:t xml:space="preserve">Table 1. Full collision register, 25 terms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872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Riverside Architecture</w:t>
            </w:r>
          </w:p>
        </w:tc>
        <w:tc>
          <w:tcPr>
            <w:tcW w:type="dxa" w:w="1872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Riverside Runbook</w:t>
            </w:r>
          </w:p>
        </w:tc>
        <w:tc>
          <w:tcPr>
            <w:tcW w:type="dxa" w:w="1872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Northline Platform</w:t>
            </w:r>
          </w:p>
        </w:tc>
        <w:tc>
          <w:tcPr>
            <w:tcW w:type="dxa" w:w="1872"/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Northline Field Guide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threshold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consecutive missed polls within 15 min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missed polls business hours, 3 after hours — disagrees with Architecture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2.5°C sustained 12 min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as Platform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Retention policy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days raw, 7-year hourly average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References Architecture's figures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 days raw, 3-year daily summary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References Platform's figures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Calibration interval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 days, design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 days, field revision Q2 2025 — disagrees with Architecture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days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days, confirmed, no disagreement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 requests/min, API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1,200 messages/min per gateway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Recovery procedure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R-7, 4 steps, ~8 min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R-7 field execution detail, same figures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CT-R3, 5 steps, ~6 min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CT-R3 field awareness, same figures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Heartbeat interval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seconds, RTU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seconds, gateway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Failover window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 seconds to cellular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seconds to Iridium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not complete within 2 min, power-cycle — stricter than Platform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 window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2nd Tuesday, 02:00–04:00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1st Sunday, 01:00–03:00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Alarm suppression period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minutes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minutes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Buffer capacity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 hours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 hours, same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 hours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Gateways on firmware &lt;1.8 buffer only 72 hours — disagrees with Platform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synchronisation tolerance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milliseconds, NTP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seconds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 token lifetime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hours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hours, same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hours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hours, same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Nightly 23:30 full + 11:30 differential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6 hours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Checksum validation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CRC-16, serial radio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CRC-32, MQTT payloads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Firmware update cadence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Quarterly, max 6 stations at once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Quarterly, same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OTA, max 20 trailers at once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OTA, same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Battery replacement interval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months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months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Geofence radius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 metres, reservoir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metres, depot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metres, same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 loss threshold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 over rolling 1 hour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8% over rolling 30 min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 depth limit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10,000 messages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25,000 messages per topic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min, HMI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min, same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min, dispatcher portal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min, same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 retention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years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years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positive rate target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2%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2%, same (Runbook)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3%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Cold start delay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90s normal / 150s with integrity check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45s normal / 80s with integrity check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Dead-band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0.5% of instrument span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0.2°C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0.2°C, same (Field Guide)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Watchdog timer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seconds, PLC (Architecture)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seconds, gateway (Platform)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Collision Register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CORPUS-REF-01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2026-09-16T06:58:54.946Z</dcterms:created>
  <dcterms:modified xsi:type="dcterms:W3CDTF">2026-09-16T06:58:54.947Z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