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2"/>
          <w:szCs w:val="22"/>
        </w:rPr>
        <w:t xml:space="preserve">Riverside Water Utility — Engineering Document</w:t>
      </w:r>
    </w:p>
    <w:p>
      <w:pPr>
        <w:spacing w:after="200"/>
      </w:pPr>
      <w:r>
        <w:rPr>
          <w:b/>
          <w:bCs/>
          <w:sz w:val="40"/>
          <w:szCs w:val="40"/>
        </w:rPr>
        <w:t xml:space="preserve">AquaGrid SCADA Platform: System Architecture and Design Specification</w:t>
      </w:r>
    </w:p>
    <w:tbl>
      <w:tblPr>
        <w:tblW w:type="dxa" w:w="9360"/>
        <w:tblBorders>
          <w:top w:val="single" w:color="AAAAAA" w:sz="2"/>
          <w:left w:val="none"/>
          <w:bottom w:val="single" w:color="AAAAAA" w:sz="2"/>
          <w:right w:val="none"/>
          <w:insideH w:val="single" w:color="DDDDDD" w:sz="2"/>
          <w:insideV w:val="none"/>
        </w:tblBorders>
      </w:tblPr>
      <w:tblGrid>
        <w:gridCol w:w="2400"/>
        <w:gridCol w:w="6960"/>
      </w:tblGrid>
      <w:tr>
        <w:tc>
          <w:tcPr>
            <w:tcW w:type="dxa" w:w="2400"/>
            <w:tcMar>
              <w:top w:type="dxa" w:w="40"/>
              <w:left w:type="dxa" w:w="60"/>
              <w:bottom w:type="dxa" w:w="40"/>
              <w:right w:type="dxa" w:w="60"/>
            </w:tcMar>
          </w:tcPr>
          <w:p>
            <w:r>
              <w:rPr>
                <w:b/>
                <w:bCs/>
                <w:sz w:val="19"/>
                <w:szCs w:val="19"/>
              </w:rPr>
              <w:t xml:space="preserve">Document ID</w:t>
            </w:r>
          </w:p>
        </w:tc>
        <w:tc>
          <w:tcPr>
            <w:tcW w:type="dxa" w:w="6960"/>
            <w:tcMar>
              <w:top w:type="dxa" w:w="40"/>
              <w:left w:type="dxa" w:w="60"/>
              <w:bottom w:type="dxa" w:w="40"/>
              <w:right w:type="dxa" w:w="60"/>
            </w:tcMar>
          </w:tcPr>
          <w:p>
            <w:r>
              <w:rPr>
                <w:sz w:val="19"/>
                <w:szCs w:val="19"/>
              </w:rPr>
              <w:t xml:space="preserve">RWU-ENG-014</w:t>
            </w:r>
          </w:p>
        </w:tc>
      </w:tr>
      <w:tr>
        <w:tc>
          <w:tcPr>
            <w:tcW w:type="dxa" w:w="2400"/>
            <w:tcMar>
              <w:top w:type="dxa" w:w="40"/>
              <w:left w:type="dxa" w:w="60"/>
              <w:bottom w:type="dxa" w:w="40"/>
              <w:right w:type="dxa" w:w="60"/>
            </w:tcMar>
          </w:tcPr>
          <w:p>
            <w:r>
              <w:rPr>
                <w:b/>
                <w:bCs/>
                <w:sz w:val="19"/>
                <w:szCs w:val="19"/>
              </w:rPr>
              <w:t xml:space="preserve">Revision</w:t>
            </w:r>
          </w:p>
        </w:tc>
        <w:tc>
          <w:tcPr>
            <w:tcW w:type="dxa" w:w="6960"/>
            <w:tcMar>
              <w:top w:type="dxa" w:w="40"/>
              <w:left w:type="dxa" w:w="60"/>
              <w:bottom w:type="dxa" w:w="40"/>
              <w:right w:type="dxa" w:w="60"/>
            </w:tcMar>
          </w:tcPr>
          <w:p>
            <w:r>
              <w:rPr>
                <w:sz w:val="19"/>
                <w:szCs w:val="19"/>
              </w:rPr>
              <w:t xml:space="preserve">3.1</w:t>
            </w:r>
          </w:p>
        </w:tc>
      </w:tr>
      <w:tr>
        <w:tc>
          <w:tcPr>
            <w:tcW w:type="dxa" w:w="2400"/>
            <w:tcMar>
              <w:top w:type="dxa" w:w="40"/>
              <w:left w:type="dxa" w:w="60"/>
              <w:bottom w:type="dxa" w:w="40"/>
              <w:right w:type="dxa" w:w="60"/>
            </w:tcMar>
          </w:tcPr>
          <w:p>
            <w:r>
              <w:rPr>
                <w:b/>
                <w:bCs/>
                <w:sz w:val="19"/>
                <w:szCs w:val="19"/>
              </w:rPr>
              <w:t xml:space="preserve">Effective date</w:t>
            </w:r>
          </w:p>
        </w:tc>
        <w:tc>
          <w:tcPr>
            <w:tcW w:type="dxa" w:w="6960"/>
            <w:tcMar>
              <w:top w:type="dxa" w:w="40"/>
              <w:left w:type="dxa" w:w="60"/>
              <w:bottom w:type="dxa" w:w="40"/>
              <w:right w:type="dxa" w:w="60"/>
            </w:tcMar>
          </w:tcPr>
          <w:p>
            <w:r>
              <w:rPr>
                <w:sz w:val="19"/>
                <w:szCs w:val="19"/>
              </w:rPr>
              <w:t xml:space="preserve">14 March 2025</w:t>
            </w:r>
          </w:p>
        </w:tc>
      </w:tr>
      <w:tr>
        <w:tc>
          <w:tcPr>
            <w:tcW w:type="dxa" w:w="2400"/>
            <w:tcMar>
              <w:top w:type="dxa" w:w="40"/>
              <w:left w:type="dxa" w:w="60"/>
              <w:bottom w:type="dxa" w:w="40"/>
              <w:right w:type="dxa" w:w="60"/>
            </w:tcMar>
          </w:tcPr>
          <w:p>
            <w:r>
              <w:rPr>
                <w:b/>
                <w:bCs/>
                <w:sz w:val="19"/>
                <w:szCs w:val="19"/>
              </w:rPr>
              <w:t xml:space="preserve">Classification</w:t>
            </w:r>
          </w:p>
        </w:tc>
        <w:tc>
          <w:tcPr>
            <w:tcW w:type="dxa" w:w="6960"/>
            <w:tcMar>
              <w:top w:type="dxa" w:w="40"/>
              <w:left w:type="dxa" w:w="60"/>
              <w:bottom w:type="dxa" w:w="40"/>
              <w:right w:type="dxa" w:w="60"/>
            </w:tcMar>
          </w:tcPr>
          <w:p>
            <w:r>
              <w:rPr>
                <w:sz w:val="19"/>
                <w:szCs w:val="19"/>
              </w:rPr>
              <w:t xml:space="preserve">Internal Engineering</w:t>
            </w:r>
          </w:p>
        </w:tc>
      </w:tr>
      <w:tr>
        <w:tc>
          <w:tcPr>
            <w:tcW w:type="dxa" w:w="2400"/>
            <w:tcMar>
              <w:top w:type="dxa" w:w="40"/>
              <w:left w:type="dxa" w:w="60"/>
              <w:bottom w:type="dxa" w:w="40"/>
              <w:right w:type="dxa" w:w="60"/>
            </w:tcMar>
          </w:tcPr>
          <w:p>
            <w:r>
              <w:rPr>
                <w:b/>
                <w:bCs/>
                <w:sz w:val="19"/>
                <w:szCs w:val="19"/>
              </w:rPr>
              <w:t xml:space="preserve">Owner</w:t>
            </w:r>
          </w:p>
        </w:tc>
        <w:tc>
          <w:tcPr>
            <w:tcW w:type="dxa" w:w="6960"/>
            <w:tcMar>
              <w:top w:type="dxa" w:w="40"/>
              <w:left w:type="dxa" w:w="60"/>
              <w:bottom w:type="dxa" w:w="40"/>
              <w:right w:type="dxa" w:w="60"/>
            </w:tcMar>
          </w:tcPr>
          <w:p>
            <w:r>
              <w:rPr>
                <w:sz w:val="19"/>
                <w:szCs w:val="19"/>
              </w:rPr>
              <w:t xml:space="preserve">Water Systems Engineering Group</w:t>
            </w:r>
          </w:p>
        </w:tc>
      </w:tr>
    </w:tbl>
    <w:p>
      <w:pPr>
        <w:spacing w:after="300"/>
      </w:pPr>
    </w:p>
    <w:p>
      <w:pPr>
        <w:pStyle w:val="Heading1"/>
        <w:spacing w:after="120" w:before="320"/>
      </w:pPr>
      <w:r>
        <w:t xml:space="preserve">1. Purpose and Scope</w:t>
      </w:r>
    </w:p>
    <w:p>
      <w:pPr>
        <w:spacing w:after="140"/>
        <w:jc w:val="both"/>
      </w:pPr>
      <w:r>
        <w:rPr>
          <w:sz w:val="21"/>
          <w:szCs w:val="21"/>
        </w:rPr>
        <w:t xml:space="preserve">This specification defines the architecture of the AquaGrid SCADA Platform, version 4.2.1, as deployed across the Riverside Water Utility distribution network. It covers 34 remote pump stations, 9 reservoirs and 3 treatment plants as of the effective date on the cover page. It is the authoritative design reference for engineering, procurement and commissioning decisions on this platform. Field operating procedures are governed separately by document RWU-OPS-007 and are referenced here only where a design constraint directly shapes an operating limit.</w:t>
      </w:r>
    </w:p>
    <w:p>
      <w:pPr>
        <w:spacing w:after="140"/>
        <w:jc w:val="both"/>
      </w:pPr>
      <w:r>
        <w:rPr>
          <w:sz w:val="21"/>
          <w:szCs w:val="21"/>
        </w:rPr>
        <w:t xml:space="preserve">The intended readers are the Water Systems Engineering group, the SCADA integration contractor, and any auditor reviewing the control system for the utility's five-year infrastructure recertification. A reader unfamiliar with DNP3 or OPC-UA should consult Appendix A before proceeding past Section 4.</w:t>
      </w:r>
    </w:p>
    <w:p>
      <w:pPr>
        <w:spacing w:after="140"/>
        <w:jc w:val="both"/>
      </w:pPr>
      <w:r>
        <w:rPr>
          <w:sz w:val="21"/>
          <w:szCs w:val="21"/>
        </w:rPr>
        <w:t xml:space="preserve">Out of scope for this document: billing system integration, GIS asset mapping, and the customer-facing outage map, all of which are covered under separate specifications RWU-ENG-021, RWU-ENG-009 and RWU-ENG-033 respectively.</w:t>
      </w:r>
    </w:p>
    <w:p>
      <w:pPr>
        <w:pStyle w:val="Heading2"/>
        <w:spacing w:after="100" w:before="200"/>
      </w:pPr>
      <w:r>
        <w:t xml:space="preserve">1.1 Related Documents</w:t>
      </w:r>
    </w:p>
    <w:p>
      <w:pPr>
        <w:spacing w:after="140"/>
        <w:jc w:val="both"/>
      </w:pPr>
      <w:r>
        <w:rPr>
          <w:sz w:val="21"/>
          <w:szCs w:val="21"/>
        </w:rPr>
        <w:t xml:space="preserve">The table below lists documents referenced elsewhere in this specification. Where a related document and this specification appear to conflict, this specification governs for design matters and RWU-OPS-007 governs for field procedure.</w:t>
      </w:r>
    </w:p>
    <w:p>
      <w:pPr>
        <w:spacing w:after="80" w:before="160"/>
      </w:pPr>
      <w:r>
        <w:rPr>
          <w:i/>
          <w:iCs/>
          <w:sz w:val="19"/>
          <w:szCs w:val="19"/>
        </w:rPr>
        <w:t xml:space="preserve">Table 1. Related documents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Document ID</w:t>
            </w:r>
          </w:p>
        </w:tc>
        <w:tc>
          <w:tcPr>
            <w:tcW w:type="dxa" w:w="3120"/>
            <w:shd w:fill="2B2B2B" w:val="clear"/>
            <w:tcMar>
              <w:top w:type="dxa" w:w="60"/>
              <w:left w:type="dxa" w:w="100"/>
              <w:bottom w:type="dxa" w:w="60"/>
              <w:right w:type="dxa" w:w="100"/>
            </w:tcMar>
          </w:tcPr>
          <w:p>
            <w:r>
              <w:rPr>
                <w:b/>
                <w:bCs/>
                <w:color w:val="FFFFFF"/>
                <w:sz w:val="20"/>
                <w:szCs w:val="20"/>
              </w:rPr>
              <w:t xml:space="preserve">Title</w:t>
            </w:r>
          </w:p>
        </w:tc>
        <w:tc>
          <w:tcPr>
            <w:tcW w:type="dxa" w:w="3120"/>
            <w:shd w:fill="2B2B2B" w:val="clear"/>
            <w:tcMar>
              <w:top w:type="dxa" w:w="60"/>
              <w:left w:type="dxa" w:w="100"/>
              <w:bottom w:type="dxa" w:w="60"/>
              <w:right w:type="dxa" w:w="100"/>
            </w:tcMar>
          </w:tcPr>
          <w:p>
            <w:r>
              <w:rPr>
                <w:b/>
                <w:bCs/>
                <w:color w:val="FFFFFF"/>
                <w:sz w:val="20"/>
                <w:szCs w:val="20"/>
              </w:rPr>
              <w:t xml:space="preserve">Owner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RWU-OPS-007</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AquaGrid Operations Runbook</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Operations Group</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RWU-ENG-021</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Billing System Integration Specification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IT Integration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RWU-ENG-009</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GIS Asset Mapping Interface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Asset Management</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RWU-ENG-033</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Public Outage Map Specification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IT Integration</w:t>
            </w:r>
          </w:p>
        </w:tc>
      </w:tr>
    </w:tbl>
    <w:p>
      <w:pPr>
        <w:spacing w:after="160"/>
      </w:pPr>
    </w:p>
    <w:p>
      <w:pPr>
        <w:pStyle w:val="Heading1"/>
        <w:spacing w:after="120" w:before="320"/>
      </w:pPr>
      <w:r>
        <w:t xml:space="preserve">2. System Overview</w:t>
      </w:r>
    </w:p>
    <w:p>
      <w:pPr>
        <w:spacing w:after="140"/>
        <w:jc w:val="both"/>
      </w:pPr>
      <w:r>
        <w:rPr>
          <w:sz w:val="21"/>
          <w:szCs w:val="21"/>
        </w:rPr>
        <w:t xml:space="preserve">The AquaGrid platform follows a three-tier architecture: field RTUs and PLCs at Tier 1, a redundant SCADA server pair at Tier 2 hosted at the Riverside Operations Center, and the FlowVault Historian at Tier 3 for long-term storage and reporting.</w:t>
      </w:r>
    </w:p>
    <w:p>
      <w:pPr>
        <w:spacing w:after="140"/>
        <w:jc w:val="both"/>
      </w:pPr>
      <w:r>
        <w:rPr>
          <w:sz w:val="21"/>
          <w:szCs w:val="21"/>
        </w:rPr>
        <w:t xml:space="preserve">Tier 1 devices poll local instrumentation and report upstream over a mix of licensed radio and cellular backup, detailed in Section 4. Tier 2 servers run AquaGrid Core version 4.2.1 on a Windows Server 2022 cluster with automatic failover configured at a 12-second detection interval.</w:t>
      </w:r>
    </w:p>
    <w:p>
      <w:pPr>
        <w:spacing w:after="140"/>
        <w:jc w:val="both"/>
      </w:pPr>
      <w:r>
        <w:rPr>
          <w:sz w:val="21"/>
          <w:szCs w:val="21"/>
        </w:rPr>
        <w:t xml:space="preserve">A single AquaGrid deployment supports up to 500 field points before a second server pair is required; Riverside currently uses 312 of that 500-point licence, leaving headroom for the planned Cedar Hills expansion in 2027.</w:t>
      </w:r>
    </w:p>
    <w:p>
      <w:pPr>
        <w:spacing w:after="80" w:before="160"/>
      </w:pPr>
      <w:r>
        <w:rPr>
          <w:i/>
          <w:iCs/>
          <w:sz w:val="19"/>
          <w:szCs w:val="19"/>
        </w:rPr>
        <w:t xml:space="preserve">Table 2. Tier summary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Tier</w:t>
            </w:r>
          </w:p>
        </w:tc>
        <w:tc>
          <w:tcPr>
            <w:tcW w:type="dxa" w:w="2340"/>
            <w:shd w:fill="2B2B2B" w:val="clear"/>
            <w:tcMar>
              <w:top w:type="dxa" w:w="60"/>
              <w:left w:type="dxa" w:w="100"/>
              <w:bottom w:type="dxa" w:w="60"/>
              <w:right w:type="dxa" w:w="100"/>
            </w:tcMar>
          </w:tcPr>
          <w:p>
            <w:r>
              <w:rPr>
                <w:b/>
                <w:bCs/>
                <w:color w:val="FFFFFF"/>
                <w:sz w:val="20"/>
                <w:szCs w:val="20"/>
              </w:rPr>
              <w:t xml:space="preserve">Function</w:t>
            </w:r>
          </w:p>
        </w:tc>
        <w:tc>
          <w:tcPr>
            <w:tcW w:type="dxa" w:w="2340"/>
            <w:shd w:fill="2B2B2B" w:val="clear"/>
            <w:tcMar>
              <w:top w:type="dxa" w:w="60"/>
              <w:left w:type="dxa" w:w="100"/>
              <w:bottom w:type="dxa" w:w="60"/>
              <w:right w:type="dxa" w:w="100"/>
            </w:tcMar>
          </w:tcPr>
          <w:p>
            <w:r>
              <w:rPr>
                <w:b/>
                <w:bCs/>
                <w:color w:val="FFFFFF"/>
                <w:sz w:val="20"/>
                <w:szCs w:val="20"/>
              </w:rPr>
              <w:t xml:space="preserve">Primary hardware</w:t>
            </w:r>
          </w:p>
        </w:tc>
        <w:tc>
          <w:tcPr>
            <w:tcW w:type="dxa" w:w="2340"/>
            <w:shd w:fill="2B2B2B" w:val="clear"/>
            <w:tcMar>
              <w:top w:type="dxa" w:w="60"/>
              <w:left w:type="dxa" w:w="100"/>
              <w:bottom w:type="dxa" w:w="60"/>
              <w:right w:type="dxa" w:w="100"/>
            </w:tcMar>
          </w:tcPr>
          <w:p>
            <w:r>
              <w:rPr>
                <w:b/>
                <w:bCs/>
                <w:color w:val="FFFFFF"/>
                <w:sz w:val="20"/>
                <w:szCs w:val="20"/>
              </w:rPr>
              <w:t xml:space="preserve">Count</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Field acquisition and control</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Modicon M580 / ControlLogix 5580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34 stations, 3 plants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SCADA server, HMI, alarm engine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AquaGrid Core 4.2.1 on Windows Server 2022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 (active/standby)</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Historian and reporting</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FlowVault Historian 6.2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cluster, 3 nodes</w:t>
            </w:r>
          </w:p>
        </w:tc>
      </w:tr>
    </w:tbl>
    <w:p>
      <w:pPr>
        <w:spacing w:after="160"/>
      </w:pPr>
    </w:p>
    <w:p>
      <w:pPr>
        <w:pStyle w:val="Heading2"/>
        <w:spacing w:after="100" w:before="200"/>
      </w:pPr>
      <w:r>
        <w:t xml:space="preserve">2.1 Design Principles</w:t>
      </w:r>
    </w:p>
    <w:p>
      <w:pPr>
        <w:spacing w:after="140"/>
        <w:jc w:val="both"/>
      </w:pPr>
      <w:r>
        <w:rPr>
          <w:sz w:val="21"/>
          <w:szCs w:val="21"/>
        </w:rPr>
        <w:t xml:space="preserve">Three principles guided the 4.x redesign completed in 2024: no single field device outage should affect another station, every control action must be attributable to a named operator, and every alarm must be actionable rather than purely informational.</w:t>
      </w:r>
    </w:p>
    <w:p>
      <w:pPr>
        <w:spacing w:after="140"/>
        <w:jc w:val="both"/>
      </w:pPr>
      <w:r>
        <w:rPr>
          <w:sz w:val="21"/>
          <w:szCs w:val="21"/>
        </w:rPr>
        <w:t xml:space="preserve">The previous platform, AquaGrid 3.8, violated the second principle because shared service accounts made setpoint changes untraceable to an individual; this was corrected in 4.0 with mandatory per-operator Active Directory login, described further in Section 7.</w:t>
      </w:r>
    </w:p>
    <w:p>
      <w:pPr>
        <w:pStyle w:val="Heading2"/>
        <w:spacing w:after="100" w:before="200"/>
      </w:pPr>
      <w:r>
        <w:t xml:space="preserve">2.2 Redundancy Model</w:t>
      </w:r>
    </w:p>
    <w:p>
      <w:pPr>
        <w:spacing w:after="140"/>
        <w:jc w:val="both"/>
      </w:pPr>
      <w:r>
        <w:rPr>
          <w:sz w:val="21"/>
          <w:szCs w:val="21"/>
        </w:rPr>
        <w:t xml:space="preserve">The Tier 2 server pair operates in active-standby mode, not active-active, because AquaGrid Core does not support write-conflict resolution across two simultaneously active alarm engines.</w:t>
      </w:r>
    </w:p>
    <w:p>
      <w:pPr>
        <w:spacing w:after="140"/>
        <w:jc w:val="both"/>
      </w:pPr>
      <w:r>
        <w:rPr>
          <w:sz w:val="21"/>
          <w:szCs w:val="21"/>
        </w:rPr>
        <w:t xml:space="preserve">Failover from the active to the standby server completes within a target of 30 seconds, including HMI client reconnection, and is tested during every scheduled maintenance window described in Section 8.2.</w:t>
      </w:r>
    </w:p>
    <w:p>
      <w:pPr>
        <w:pStyle w:val="Heading2"/>
        <w:spacing w:after="100" w:before="200"/>
      </w:pPr>
      <w:r>
        <w:t xml:space="preserve">2.3 Client Access and HMI Distribution</w:t>
      </w:r>
    </w:p>
    <w:p>
      <w:pPr>
        <w:spacing w:after="140"/>
        <w:jc w:val="both"/>
      </w:pPr>
      <w:r>
        <w:rPr>
          <w:sz w:val="21"/>
          <w:szCs w:val="21"/>
        </w:rPr>
        <w:t xml:space="preserve">The Operations Center runs 6 fixed HMI workstations on the control room floor, each connected to the active Tier 2 server over a dedicated VLAN isolated from the utility's general office network.</w:t>
      </w:r>
    </w:p>
    <w:p>
      <w:pPr>
        <w:spacing w:after="140"/>
        <w:jc w:val="both"/>
      </w:pPr>
      <w:r>
        <w:rPr>
          <w:sz w:val="21"/>
          <w:szCs w:val="21"/>
        </w:rPr>
        <w:t xml:space="preserve">Two additional read-only HMI licences are provisioned for the Water Systems Engineering group's laptops, used during field diagnostics and limited to viewing trend data without setpoint control.</w:t>
      </w:r>
    </w:p>
    <w:p>
      <w:pPr>
        <w:spacing w:after="140"/>
        <w:jc w:val="both"/>
      </w:pPr>
      <w:r>
        <w:rPr>
          <w:sz w:val="21"/>
          <w:szCs w:val="21"/>
        </w:rPr>
        <w:t xml:space="preserve">A Shift Supervisor's control action from a fixed HMI workstation is logged with the workstation's asset tag in addition to the operator's Active Directory identity, giving two independent identifiers for every recorded action.</w:t>
      </w:r>
    </w:p>
    <w:p>
      <w:pPr>
        <w:pStyle w:val="Heading1"/>
        <w:spacing w:after="120" w:before="320"/>
      </w:pPr>
      <w:r>
        <w:t xml:space="preserve">3. Component Inventory</w:t>
      </w:r>
    </w:p>
    <w:p>
      <w:pPr>
        <w:spacing w:after="140"/>
        <w:jc w:val="both"/>
      </w:pPr>
      <w:r>
        <w:rPr>
          <w:sz w:val="21"/>
          <w:szCs w:val="21"/>
        </w:rPr>
        <w:t xml:space="preserve">Pump stations use Schneider Electric Modicon M580 PLCs, model BMEP584040, running firmware 3.14.2 as of the last fleet-wide update completed 2 February 2025. Treatment plants use Allen-Bradley ControlLogix 5580 PLCs, model 1756-L85E, running firmware 33.011.</w:t>
      </w:r>
    </w:p>
    <w:p>
      <w:pPr>
        <w:spacing w:after="140"/>
        <w:jc w:val="both"/>
      </w:pPr>
      <w:r>
        <w:rPr>
          <w:sz w:val="21"/>
          <w:szCs w:val="21"/>
        </w:rPr>
        <w:t xml:space="preserve">The utility operates 56 flow sensors in total: 41 magnetic flow meters at pump stations, 9 ultrasonic level sensors at reservoirs, and 6 Coriolis meters at treatment plant chemical dosing points.</w:t>
      </w:r>
    </w:p>
    <w:p>
      <w:pPr>
        <w:spacing w:after="80" w:before="160"/>
      </w:pPr>
      <w:r>
        <w:rPr>
          <w:i/>
          <w:iCs/>
          <w:sz w:val="19"/>
          <w:szCs w:val="19"/>
        </w:rPr>
        <w:t xml:space="preserve">Table 3. Field hardware by site type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872"/>
        <w:gridCol w:w="1872"/>
        <w:gridCol w:w="1872"/>
        <w:gridCol w:w="1872"/>
        <w:gridCol w:w="1872"/>
      </w:tblGrid>
      <w:tr>
        <w:trPr>
          <w:tblHeader/>
        </w:trPr>
        <w:tc>
          <w:tcPr>
            <w:tcW w:type="dxa" w:w="1872"/>
            <w:shd w:fill="2B2B2B" w:val="clear"/>
            <w:tcMar>
              <w:top w:type="dxa" w:w="60"/>
              <w:left w:type="dxa" w:w="100"/>
              <w:bottom w:type="dxa" w:w="60"/>
              <w:right w:type="dxa" w:w="100"/>
            </w:tcMar>
          </w:tcPr>
          <w:p>
            <w:r>
              <w:rPr>
                <w:b/>
                <w:bCs/>
                <w:color w:val="FFFFFF"/>
                <w:sz w:val="20"/>
                <w:szCs w:val="20"/>
              </w:rPr>
              <w:t xml:space="preserve">Site type</w:t>
            </w:r>
          </w:p>
        </w:tc>
        <w:tc>
          <w:tcPr>
            <w:tcW w:type="dxa" w:w="1872"/>
            <w:shd w:fill="2B2B2B" w:val="clear"/>
            <w:tcMar>
              <w:top w:type="dxa" w:w="60"/>
              <w:left w:type="dxa" w:w="100"/>
              <w:bottom w:type="dxa" w:w="60"/>
              <w:right w:type="dxa" w:w="100"/>
            </w:tcMar>
          </w:tcPr>
          <w:p>
            <w:r>
              <w:rPr>
                <w:b/>
                <w:bCs/>
                <w:color w:val="FFFFFF"/>
                <w:sz w:val="20"/>
                <w:szCs w:val="20"/>
              </w:rPr>
              <w:t xml:space="preserve">Count</w:t>
            </w:r>
          </w:p>
        </w:tc>
        <w:tc>
          <w:tcPr>
            <w:tcW w:type="dxa" w:w="1872"/>
            <w:shd w:fill="2B2B2B" w:val="clear"/>
            <w:tcMar>
              <w:top w:type="dxa" w:w="60"/>
              <w:left w:type="dxa" w:w="100"/>
              <w:bottom w:type="dxa" w:w="60"/>
              <w:right w:type="dxa" w:w="100"/>
            </w:tcMar>
          </w:tcPr>
          <w:p>
            <w:r>
              <w:rPr>
                <w:b/>
                <w:bCs/>
                <w:color w:val="FFFFFF"/>
                <w:sz w:val="20"/>
                <w:szCs w:val="20"/>
              </w:rPr>
              <w:t xml:space="preserve">PLC model</w:t>
            </w:r>
          </w:p>
        </w:tc>
        <w:tc>
          <w:tcPr>
            <w:tcW w:type="dxa" w:w="1872"/>
            <w:shd w:fill="2B2B2B" w:val="clear"/>
            <w:tcMar>
              <w:top w:type="dxa" w:w="60"/>
              <w:left w:type="dxa" w:w="100"/>
              <w:bottom w:type="dxa" w:w="60"/>
              <w:right w:type="dxa" w:w="100"/>
            </w:tcMar>
          </w:tcPr>
          <w:p>
            <w:r>
              <w:rPr>
                <w:b/>
                <w:bCs/>
                <w:color w:val="FFFFFF"/>
                <w:sz w:val="20"/>
                <w:szCs w:val="20"/>
              </w:rPr>
              <w:t xml:space="preserve">Firmware</w:t>
            </w:r>
          </w:p>
        </w:tc>
        <w:tc>
          <w:tcPr>
            <w:tcW w:type="dxa" w:w="1872"/>
            <w:shd w:fill="2B2B2B" w:val="clear"/>
            <w:tcMar>
              <w:top w:type="dxa" w:w="60"/>
              <w:left w:type="dxa" w:w="100"/>
              <w:bottom w:type="dxa" w:w="60"/>
              <w:right w:type="dxa" w:w="100"/>
            </w:tcMar>
          </w:tcPr>
          <w:p>
            <w:r>
              <w:rPr>
                <w:b/>
                <w:bCs/>
                <w:color w:val="FFFFFF"/>
                <w:sz w:val="20"/>
                <w:szCs w:val="20"/>
              </w:rPr>
              <w:t xml:space="preserve">Sensors per site</w:t>
            </w:r>
          </w:p>
        </w:tc>
      </w:tr>
      <w:tr>
        <w:tc>
          <w:tcPr>
            <w:tcW w:type="dxa" w:w="1872"/>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34</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Modicon M580 BMEP584040</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3.14.2</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1 to 2 flow meters</w:t>
            </w:r>
          </w:p>
        </w:tc>
      </w:tr>
      <w:tr>
        <w:tc>
          <w:tcPr>
            <w:tcW w:type="dxa" w:w="1872"/>
            <w:shd w:fill="FFFFFF" w:val="clear"/>
            <w:tcMar>
              <w:top w:type="dxa" w:w="60"/>
              <w:left w:type="dxa" w:w="100"/>
              <w:bottom w:type="dxa" w:w="60"/>
              <w:right w:type="dxa" w:w="100"/>
            </w:tcMar>
          </w:tcPr>
          <w:p>
            <w:r>
              <w:rPr>
                <w:b w:val="false"/>
                <w:bCs w:val="false"/>
                <w:color w:val="000000"/>
                <w:sz w:val="20"/>
                <w:szCs w:val="20"/>
              </w:rPr>
              <w:t xml:space="preserve">Reservoir</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9</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Modicon M340 BMXP342020</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2.90.1</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1 level sensor, 1 turbidity probe</w:t>
            </w:r>
          </w:p>
        </w:tc>
      </w:tr>
      <w:tr>
        <w:tc>
          <w:tcPr>
            <w:tcW w:type="dxa" w:w="1872"/>
            <w:shd w:fill="FFFFFF" w:val="clear"/>
            <w:tcMar>
              <w:top w:type="dxa" w:w="60"/>
              <w:left w:type="dxa" w:w="100"/>
              <w:bottom w:type="dxa" w:w="60"/>
              <w:right w:type="dxa" w:w="100"/>
            </w:tcMar>
          </w:tcPr>
          <w:p>
            <w:r>
              <w:rPr>
                <w:b w:val="false"/>
                <w:bCs w:val="false"/>
                <w:color w:val="000000"/>
                <w:sz w:val="20"/>
                <w:szCs w:val="20"/>
              </w:rPr>
              <w:t xml:space="preserve">Treatment plant</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3</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ControlLogix 5580 1756-L85E</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33.011</w:t>
            </w:r>
          </w:p>
        </w:tc>
        <w:tc>
          <w:tcPr>
            <w:tcW w:type="dxa" w:w="1872"/>
            <w:shd w:fill="FFFFFF" w:val="clear"/>
            <w:tcMar>
              <w:top w:type="dxa" w:w="60"/>
              <w:left w:type="dxa" w:w="100"/>
              <w:bottom w:type="dxa" w:w="60"/>
              <w:right w:type="dxa" w:w="100"/>
            </w:tcMar>
          </w:tcPr>
          <w:p>
            <w:r>
              <w:rPr>
                <w:b w:val="false"/>
                <w:bCs w:val="false"/>
                <w:color w:val="000000"/>
                <w:sz w:val="20"/>
                <w:szCs w:val="20"/>
              </w:rPr>
              <w:t xml:space="preserve">2 Coriolis meters, 4 analysers</w:t>
            </w:r>
          </w:p>
        </w:tc>
      </w:tr>
    </w:tbl>
    <w:p>
      <w:pPr>
        <w:spacing w:after="160"/>
      </w:pPr>
    </w:p>
    <w:p>
      <w:pPr>
        <w:spacing w:after="140"/>
        <w:jc w:val="both"/>
      </w:pPr>
      <w:r>
        <w:rPr>
          <w:sz w:val="21"/>
          <w:szCs w:val="21"/>
        </w:rPr>
        <w:t xml:space="preserve">Configuration for every station is stored centrally at /opt/aquagrid/config/stations.yaml on the primary SCADA server, following the stations.yaml schema version 2 introduced with the 4.2.0 release.</w:t>
      </w:r>
    </w:p>
    <w:p>
      <w:pPr>
        <w:pStyle w:val="Heading2"/>
        <w:spacing w:after="100" w:before="200"/>
      </w:pPr>
      <w:r>
        <w:t xml:space="preserve">3.1 Power Systems</w:t>
      </w:r>
    </w:p>
    <w:p>
      <w:pPr>
        <w:spacing w:after="140"/>
        <w:jc w:val="both"/>
      </w:pPr>
      <w:r>
        <w:rPr>
          <w:sz w:val="21"/>
          <w:szCs w:val="21"/>
        </w:rPr>
        <w:t xml:space="preserve">Each pump station RTU carries a sealed lead-acid backup battery rated for 18 hours of autonomous operation during a mains power loss, sized against an average station draw of 2.1 amps at 24 volts DC.</w:t>
      </w:r>
    </w:p>
    <w:p>
      <w:pPr>
        <w:spacing w:after="140"/>
        <w:jc w:val="both"/>
      </w:pPr>
      <w:r>
        <w:rPr>
          <w:sz w:val="21"/>
          <w:szCs w:val="21"/>
        </w:rPr>
        <w:t xml:space="preserve">Reservoir sites, which have no mains power in 6 of the 9 locations, instead run on a 340-watt solar array paired with two 100-amp-hour lithium batteries, sized for 4 consecutive overcast days.</w:t>
      </w:r>
    </w:p>
    <w:p>
      <w:pPr>
        <w:spacing w:after="140"/>
        <w:jc w:val="both"/>
      </w:pPr>
      <w:r>
        <w:rPr>
          <w:sz w:val="21"/>
          <w:szCs w:val="21"/>
        </w:rPr>
        <w:t xml:space="preserve">A station's cold start delay, the time from power restoration to the RTU reporting valid data upstream, is 90 seconds under normal conditions and up to 150 seconds if a firmware integrity check is triggered by an unclean shutdown.</w:t>
      </w:r>
    </w:p>
    <w:p>
      <w:pPr>
        <w:pStyle w:val="Heading2"/>
        <w:spacing w:after="100" w:before="200"/>
      </w:pPr>
      <w:r>
        <w:t xml:space="preserve">3.2 Field Enclosures and Environmental Rating</w:t>
      </w:r>
    </w:p>
    <w:p>
      <w:pPr>
        <w:spacing w:after="140"/>
        <w:jc w:val="both"/>
      </w:pPr>
      <w:r>
        <w:rPr>
          <w:sz w:val="21"/>
          <w:szCs w:val="21"/>
        </w:rPr>
        <w:t xml:space="preserve">All outdoor RTU enclosures carry an IP66 rating and are specified to operate between minus 30 and 60 degrees Celsius, covering the full range recorded at Riverside sites over the past 15 years.</w:t>
      </w:r>
    </w:p>
    <w:p>
      <w:pPr>
        <w:pStyle w:val="Heading1"/>
        <w:spacing w:after="120" w:before="320"/>
      </w:pPr>
      <w:r>
        <w:t xml:space="preserve">4. Communication Protocols and Network Topology</w:t>
      </w:r>
    </w:p>
    <w:p>
      <w:pPr>
        <w:spacing w:after="140"/>
        <w:jc w:val="both"/>
      </w:pPr>
      <w:r>
        <w:rPr>
          <w:sz w:val="21"/>
          <w:szCs w:val="21"/>
        </w:rPr>
        <w:t xml:space="preserve">Pump stations and reservoirs communicate over a 900 MHz spread-spectrum radio network branded RidgeLink 900, using DNP3 as the application-layer protocol over a proprietary radio transport.</w:t>
      </w:r>
    </w:p>
    <w:p>
      <w:pPr>
        <w:spacing w:after="140"/>
        <w:jc w:val="both"/>
      </w:pPr>
      <w:r>
        <w:rPr>
          <w:sz w:val="21"/>
          <w:szCs w:val="21"/>
        </w:rPr>
        <w:t xml:space="preserve">Treatment plants connect over fibre using OPC-UA directly to the SCADA server, bypassing the radio network entirely due to their proximity to the Operations Center.</w:t>
      </w:r>
    </w:p>
    <w:p>
      <w:pPr>
        <w:pStyle w:val="Heading2"/>
        <w:spacing w:after="100" w:before="200"/>
      </w:pPr>
      <w:r>
        <w:t xml:space="preserve">4.1 Radio Network</w:t>
      </w:r>
    </w:p>
    <w:p>
      <w:pPr>
        <w:spacing w:after="140"/>
        <w:jc w:val="both"/>
      </w:pPr>
      <w:r>
        <w:rPr>
          <w:sz w:val="21"/>
          <w:szCs w:val="21"/>
        </w:rPr>
        <w:t xml:space="preserve">Every RTU maintains a heartbeat interval of 60 seconds to the primary SCADA server; three consecutive missed heartbeats, spanning 180 seconds, mark a station as communication-failed on the HMI.</w:t>
      </w:r>
    </w:p>
    <w:p>
      <w:pPr>
        <w:spacing w:after="140"/>
        <w:jc w:val="both"/>
      </w:pPr>
      <w:r>
        <w:rPr>
          <w:sz w:val="21"/>
          <w:szCs w:val="21"/>
        </w:rPr>
        <w:t xml:space="preserve">The RidgeLink 900 network uses a star topology with two repeater towers, Ridgeline North and Ridgeline South, each covering roughly an 18-kilometre radius from the Operations Center.</w:t>
      </w:r>
    </w:p>
    <w:p>
      <w:pPr>
        <w:spacing w:after="140"/>
        <w:jc w:val="both"/>
      </w:pPr>
      <w:r>
        <w:rPr>
          <w:sz w:val="21"/>
          <w:szCs w:val="21"/>
        </w:rPr>
        <w:t xml:space="preserve">All serial radio packets carry a CRC-16 checksum; a station logging more than 50 checksum failures in a rolling 24-hour period is flagged for a radio path survey under work order category RWU-WO-RADIO.</w:t>
      </w:r>
    </w:p>
    <w:p>
      <w:pPr>
        <w:pStyle w:val="Heading2"/>
        <w:spacing w:after="100" w:before="200"/>
      </w:pPr>
      <w:r>
        <w:t xml:space="preserve">4.2 Cellular Backup Network</w:t>
      </w:r>
    </w:p>
    <w:p>
      <w:pPr>
        <w:spacing w:after="140"/>
        <w:jc w:val="both"/>
      </w:pPr>
      <w:r>
        <w:rPr>
          <w:sz w:val="21"/>
          <w:szCs w:val="21"/>
        </w:rPr>
        <w:t xml:space="preserve">If the RidgeLink radio link degrades below a signal quality of 25 percent, measured on a rolling 5-minute average, the RTU automatically switches to its cellular backup modem, an LTE Cat-4 unit, within a failover window of 45 seconds.</w:t>
      </w:r>
    </w:p>
    <w:p>
      <w:pPr>
        <w:spacing w:after="140"/>
        <w:jc w:val="both"/>
      </w:pPr>
      <w:r>
        <w:rPr>
          <w:sz w:val="21"/>
          <w:szCs w:val="21"/>
        </w:rPr>
        <w:t xml:space="preserve">Cellular backup is provisioned through a pooled SIM plan covering all 43 field sites, with a combined monthly data allowance of 50 gigabytes, monitored monthly against a 40-gigabyte internal warning threshold.</w:t>
      </w:r>
    </w:p>
    <w:p>
      <w:pPr>
        <w:pStyle w:val="Heading2"/>
        <w:spacing w:after="100" w:before="200"/>
      </w:pPr>
      <w:r>
        <w:t xml:space="preserve">4.3 Local Buffering and Message Handling</w:t>
      </w:r>
    </w:p>
    <w:p>
      <w:pPr>
        <w:spacing w:after="140"/>
        <w:jc w:val="both"/>
      </w:pPr>
      <w:r>
        <w:rPr>
          <w:sz w:val="21"/>
          <w:szCs w:val="21"/>
        </w:rPr>
        <w:t xml:space="preserve">Local buffering at each RTU holds 72 hours of readings at the default 30-second scan rate, sized to survive the longest historically observed communication outage, which was 61 hours during the March 2023 ice storm.</w:t>
      </w:r>
    </w:p>
    <w:p>
      <w:pPr>
        <w:spacing w:after="140"/>
        <w:jc w:val="both"/>
      </w:pPr>
      <w:r>
        <w:rPr>
          <w:sz w:val="21"/>
          <w:szCs w:val="21"/>
        </w:rPr>
        <w:t xml:space="preserve">The queue depth limit on the SCADA server's inbound message broker is 10,000 messages; once exceeded, the oldest messages are dropped and an internal alarm, ERR-9002, is raised for the integration team.</w:t>
      </w:r>
    </w:p>
    <w:p>
      <w:pPr>
        <w:pStyle w:val="Heading2"/>
        <w:spacing w:after="100" w:before="200"/>
      </w:pPr>
      <w:r>
        <w:t xml:space="preserve">4.4 Time Synchronisation and Network Diagnostics</w:t>
      </w:r>
    </w:p>
    <w:p>
      <w:pPr>
        <w:spacing w:after="140"/>
        <w:jc w:val="both"/>
      </w:pPr>
      <w:r>
        <w:rPr>
          <w:sz w:val="21"/>
          <w:szCs w:val="21"/>
        </w:rPr>
        <w:t xml:space="preserve">All Tier 1 and Tier 2 clocks synchronise against the utility's internal NTP server with a time synchronisation tolerance of 500 milliseconds; a station drifting beyond this tolerance is excluded from event sequencing reports until resynchronised.</w:t>
      </w:r>
    </w:p>
    <w:p>
      <w:pPr>
        <w:spacing w:after="140"/>
        <w:jc w:val="both"/>
      </w:pPr>
      <w:r>
        <w:rPr>
          <w:sz w:val="21"/>
          <w:szCs w:val="21"/>
        </w:rPr>
        <w:t xml:space="preserve">A packet loss threshold of 5 percent sustained over a rolling 1-hour window on any station's radio link raises a network-health alarm, distinct from the station-level communication-failed alarm described above.</w:t>
      </w:r>
    </w:p>
    <w:p>
      <w:pPr>
        <w:pStyle w:val="Heading2"/>
        <w:spacing w:after="100" w:before="200"/>
      </w:pPr>
      <w:r>
        <w:t xml:space="preserve">4.5 Bandwidth and Data Volume Planning</w:t>
      </w:r>
    </w:p>
    <w:p>
      <w:pPr>
        <w:spacing w:after="140"/>
        <w:jc w:val="both"/>
      </w:pPr>
      <w:r>
        <w:rPr>
          <w:sz w:val="21"/>
          <w:szCs w:val="21"/>
        </w:rPr>
        <w:t xml:space="preserve">A single pump station at the default 30-second scan rate generates approximately 2.3 megabytes of raw historian data per day, scaling to roughly 96 megabytes per day across all 34 pump stations combined.</w:t>
      </w:r>
    </w:p>
    <w:p>
      <w:pPr>
        <w:spacing w:after="140"/>
        <w:jc w:val="both"/>
      </w:pPr>
      <w:r>
        <w:rPr>
          <w:sz w:val="21"/>
          <w:szCs w:val="21"/>
        </w:rPr>
        <w:t xml:space="preserve">The RidgeLink 900 network is provisioned for a peak aggregate throughput of 64 kilobits per second, which the engineering team calculated leaves a 3.4-times margin over the measured average load of 18.8 kilobits per second across the full station count.</w:t>
      </w:r>
    </w:p>
    <w:p>
      <w:pPr>
        <w:spacing w:after="140"/>
        <w:jc w:val="both"/>
      </w:pPr>
      <w:r>
        <w:rPr>
          <w:sz w:val="21"/>
          <w:szCs w:val="21"/>
        </w:rPr>
        <w:t xml:space="preserve">During the twice-yearly Recovery Procedure R-7 test described in Section 9, aggregate radio traffic briefly rises to approximately 41 kilobits per second as all stations resynchronise simultaneously against the Cedar Hills server.</w:t>
      </w:r>
    </w:p>
    <w:p>
      <w:pPr>
        <w:pStyle w:val="Heading1"/>
        <w:spacing w:after="120" w:before="320"/>
      </w:pPr>
      <w:r>
        <w:t xml:space="preserve">5. Data Model, Historian and Retention Design</w:t>
      </w:r>
    </w:p>
    <w:p>
      <w:pPr>
        <w:spacing w:after="140"/>
        <w:jc w:val="both"/>
      </w:pPr>
      <w:r>
        <w:rPr>
          <w:sz w:val="21"/>
          <w:szCs w:val="21"/>
        </w:rPr>
        <w:t xml:space="preserve">FlowVault Historian 6.2 ingests all tag values at their native scan rate and applies swinging-door compression with a deviation limit of 0.1 percent of span before long-term storage.</w:t>
      </w:r>
    </w:p>
    <w:p>
      <w:pPr>
        <w:pStyle w:val="Heading2"/>
        <w:spacing w:after="100" w:before="200"/>
      </w:pPr>
      <w:r>
        <w:t xml:space="preserve">5.1 Tag Naming Convention</w:t>
      </w:r>
    </w:p>
    <w:p>
      <w:pPr>
        <w:spacing w:after="140"/>
        <w:jc w:val="both"/>
      </w:pPr>
      <w:r>
        <w:rPr>
          <w:sz w:val="21"/>
          <w:szCs w:val="21"/>
        </w:rPr>
        <w:t xml:space="preserve">Every historian tag follows the pattern SITE.DEVICE.PARAMETER, for example PS14.FM01.FLOWRATE for the first flow meter at Pump Station 14, enforced by a validation rule in stations.yaml schema version 2.</w:t>
      </w:r>
    </w:p>
    <w:p>
      <w:pPr>
        <w:pStyle w:val="Heading2"/>
        <w:spacing w:after="100" w:before="200"/>
      </w:pPr>
      <w:r>
        <w:t xml:space="preserve">5.2 Retention Design</w:t>
      </w:r>
    </w:p>
    <w:p>
      <w:pPr>
        <w:spacing w:after="140"/>
        <w:jc w:val="both"/>
      </w:pPr>
      <w:r>
        <w:rPr>
          <w:sz w:val="21"/>
          <w:szCs w:val="21"/>
        </w:rPr>
        <w:t xml:space="preserve">The retention policy for the historian is 90 days of raw, uncompressed data, after which values are rolled up to hourly averages and retained for 7 years to satisfy the state drinking water regulator's audit requirement.</w:t>
      </w:r>
    </w:p>
    <w:p>
      <w:pPr>
        <w:spacing w:after="140"/>
        <w:jc w:val="both"/>
      </w:pPr>
      <w:r>
        <w:rPr>
          <w:sz w:val="21"/>
          <w:szCs w:val="21"/>
        </w:rPr>
        <w:t xml:space="preserve">Audit log retention, covering operator logins, setpoint changes and acknowledgement events, is set separately at 2 years, shorter than the 7-year process data retention because audit logs are governed by the utility's IT security policy rather than the water quality regulation.</w:t>
      </w:r>
    </w:p>
    <w:p>
      <w:pPr>
        <w:spacing w:after="140"/>
        <w:jc w:val="both"/>
      </w:pPr>
      <w:r>
        <w:rPr>
          <w:sz w:val="21"/>
          <w:szCs w:val="21"/>
        </w:rPr>
        <w:t xml:space="preserve">A nightly full backup of the historian database runs at 23:30 local time, with a differential backup additionally taken at 11:30, both written to the utility's offsite storage array within 4 hours of completion.</w:t>
      </w:r>
    </w:p>
    <w:p>
      <w:pPr>
        <w:spacing w:after="80" w:before="160"/>
      </w:pPr>
      <w:r>
        <w:rPr>
          <w:i/>
          <w:iCs/>
          <w:sz w:val="19"/>
          <w:szCs w:val="19"/>
        </w:rPr>
        <w:t xml:space="preserve">Table 4. Retention summary by data class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Data class</w:t>
            </w:r>
          </w:p>
        </w:tc>
        <w:tc>
          <w:tcPr>
            <w:tcW w:type="dxa" w:w="2340"/>
            <w:shd w:fill="2B2B2B" w:val="clear"/>
            <w:tcMar>
              <w:top w:type="dxa" w:w="60"/>
              <w:left w:type="dxa" w:w="100"/>
              <w:bottom w:type="dxa" w:w="60"/>
              <w:right w:type="dxa" w:w="100"/>
            </w:tcMar>
          </w:tcPr>
          <w:p>
            <w:r>
              <w:rPr>
                <w:b/>
                <w:bCs/>
                <w:color w:val="FFFFFF"/>
                <w:sz w:val="20"/>
                <w:szCs w:val="20"/>
              </w:rPr>
              <w:t xml:space="preserve">Raw retention</w:t>
            </w:r>
          </w:p>
        </w:tc>
        <w:tc>
          <w:tcPr>
            <w:tcW w:type="dxa" w:w="2340"/>
            <w:shd w:fill="2B2B2B" w:val="clear"/>
            <w:tcMar>
              <w:top w:type="dxa" w:w="60"/>
              <w:left w:type="dxa" w:w="100"/>
              <w:bottom w:type="dxa" w:w="60"/>
              <w:right w:type="dxa" w:w="100"/>
            </w:tcMar>
          </w:tcPr>
          <w:p>
            <w:r>
              <w:rPr>
                <w:b/>
                <w:bCs/>
                <w:color w:val="FFFFFF"/>
                <w:sz w:val="20"/>
                <w:szCs w:val="20"/>
              </w:rPr>
              <w:t xml:space="preserve">Aggregated form</w:t>
            </w:r>
          </w:p>
        </w:tc>
        <w:tc>
          <w:tcPr>
            <w:tcW w:type="dxa" w:w="2340"/>
            <w:shd w:fill="2B2B2B" w:val="clear"/>
            <w:tcMar>
              <w:top w:type="dxa" w:w="60"/>
              <w:left w:type="dxa" w:w="100"/>
              <w:bottom w:type="dxa" w:w="60"/>
              <w:right w:type="dxa" w:w="100"/>
            </w:tcMar>
          </w:tcPr>
          <w:p>
            <w:r>
              <w:rPr>
                <w:b/>
                <w:bCs/>
                <w:color w:val="FFFFFF"/>
                <w:sz w:val="20"/>
                <w:szCs w:val="20"/>
              </w:rPr>
              <w:t xml:space="preserve">Aggregated retention</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Process values (flow, level, pressure)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90 days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Hourly average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7 years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Alarm and event log</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year uncompressed</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year</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Audit log (logins, setpoint changes)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 years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 years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Calibration records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Indefinite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Indefinite</w:t>
            </w:r>
          </w:p>
        </w:tc>
      </w:tr>
    </w:tbl>
    <w:p>
      <w:pPr>
        <w:spacing w:after="160"/>
      </w:pPr>
    </w:p>
    <w:p>
      <w:pPr>
        <w:pStyle w:val="Heading2"/>
        <w:spacing w:after="100" w:before="200"/>
      </w:pPr>
      <w:r>
        <w:t xml:space="preserve">5.3 Reporting Interfaces</w:t>
      </w:r>
    </w:p>
    <w:p>
      <w:pPr>
        <w:spacing w:after="140"/>
        <w:jc w:val="both"/>
      </w:pPr>
      <w:r>
        <w:rPr>
          <w:sz w:val="21"/>
          <w:szCs w:val="21"/>
        </w:rPr>
        <w:t xml:space="preserve">The monthly regulatory compliance report is generated automatically from the hourly-average tier on the first business day of each month and routed to the Compliance Officer for review before submission.</w:t>
      </w:r>
    </w:p>
    <w:p>
      <w:pPr>
        <w:pStyle w:val="Heading1"/>
        <w:spacing w:after="120" w:before="320"/>
      </w:pPr>
      <w:r>
        <w:t xml:space="preserve">6. Alarm and Escalation Design</w:t>
      </w:r>
    </w:p>
    <w:p>
      <w:pPr>
        <w:pStyle w:val="Heading2"/>
        <w:spacing w:after="100" w:before="200"/>
      </w:pPr>
      <w:r>
        <w:t xml:space="preserve">6.1 Escalation Procedure</w:t>
      </w:r>
    </w:p>
    <w:p>
      <w:pPr>
        <w:spacing w:after="140"/>
        <w:jc w:val="both"/>
      </w:pPr>
      <w:r>
        <w:rPr>
          <w:sz w:val="21"/>
          <w:szCs w:val="21"/>
        </w:rPr>
        <w:t xml:space="preserve">An alarm reaches Tier 2 escalation, paging the on-call Water Systems Engineer, after 3 consecutive missed polls from a station occurring within a 15-minute span.</w:t>
      </w:r>
    </w:p>
    <w:p>
      <w:pPr>
        <w:spacing w:after="140"/>
        <w:jc w:val="both"/>
      </w:pPr>
      <w:r>
        <w:rPr>
          <w:sz w:val="21"/>
          <w:szCs w:val="21"/>
        </w:rPr>
        <w:t xml:space="preserve">Once an operator acknowledges an alarm, the alarm suppression period is 10 minutes, during which repeat instances of the same alarm code are logged but do not re-page.</w:t>
      </w:r>
    </w:p>
    <w:p>
      <w:pPr>
        <w:pStyle w:val="Heading2"/>
        <w:spacing w:after="100" w:before="200"/>
      </w:pPr>
      <w:r>
        <w:t xml:space="preserve">6.2 Nuisance Alarm Management</w:t>
      </w:r>
    </w:p>
    <w:p>
      <w:pPr>
        <w:spacing w:after="140"/>
        <w:jc w:val="both"/>
      </w:pPr>
      <w:r>
        <w:rPr>
          <w:sz w:val="21"/>
          <w:szCs w:val="21"/>
        </w:rPr>
        <w:t xml:space="preserve">The platform's design target for the alarm system's false positive rate is under 2 percent of total alarms raised in any rolling 30-day window, measured against alarms later marked invalid by an operator.</w:t>
      </w:r>
    </w:p>
    <w:p>
      <w:pPr>
        <w:spacing w:after="140"/>
        <w:jc w:val="both"/>
      </w:pPr>
      <w:r>
        <w:rPr>
          <w:sz w:val="21"/>
          <w:szCs w:val="21"/>
        </w:rPr>
        <w:t xml:space="preserve">Analog process values apply a dead-band of 0.5 percent of instrument span before a new alarm state is evaluated, preventing chatter from sensor noise near an alarm setpoint.</w:t>
      </w:r>
    </w:p>
    <w:p>
      <w:pPr>
        <w:spacing w:after="140"/>
        <w:jc w:val="both"/>
      </w:pPr>
      <w:r>
        <w:rPr>
          <w:sz w:val="21"/>
          <w:szCs w:val="21"/>
        </w:rPr>
        <w:t xml:space="preserve">Alarms are grouped into three priority classes: Critical, requiring acknowledgement within 5 minutes; Major, within 30 minutes; and Minor, within 4 hours, each tracked separately in the monthly alarm performance report.</w:t>
      </w:r>
    </w:p>
    <w:p>
      <w:pPr>
        <w:pStyle w:val="Heading2"/>
        <w:spacing w:after="100" w:before="200"/>
      </w:pPr>
      <w:r>
        <w:t xml:space="preserve">6.3 Alarm Routing and Notification</w:t>
      </w:r>
    </w:p>
    <w:p>
      <w:pPr>
        <w:spacing w:after="140"/>
        <w:jc w:val="both"/>
      </w:pPr>
      <w:r>
        <w:rPr>
          <w:sz w:val="21"/>
          <w:szCs w:val="21"/>
        </w:rPr>
        <w:t xml:space="preserve">Critical alarms page the on-call Water Systems Engineer through a dedicated paging service, with SMS as a secondary channel if the page is not acknowledged within 3 minutes.</w:t>
      </w:r>
    </w:p>
    <w:p>
      <w:pPr>
        <w:spacing w:after="140"/>
        <w:jc w:val="both"/>
      </w:pPr>
      <w:r>
        <w:rPr>
          <w:sz w:val="21"/>
          <w:szCs w:val="21"/>
        </w:rPr>
        <w:t xml:space="preserve">The on-call rotation covers 4 engineers on a weekly schedule, with handover occurring every Monday at 08:00 and logged in the shift handover form referenced in RWU-OPS-007.</w:t>
      </w:r>
    </w:p>
    <w:p>
      <w:pPr>
        <w:spacing w:after="140"/>
        <w:jc w:val="both"/>
      </w:pPr>
      <w:r>
        <w:rPr>
          <w:sz w:val="21"/>
          <w:szCs w:val="21"/>
        </w:rPr>
        <w:t xml:space="preserve">A Critical alarm unacknowledged after 3 escalation attempts, spanning 9 minutes in total, automatically pages the Shift Supervisor as a secondary contact.</w:t>
      </w:r>
    </w:p>
    <w:p>
      <w:pPr>
        <w:pStyle w:val="Heading1"/>
        <w:spacing w:after="120" w:before="320"/>
      </w:pPr>
      <w:r>
        <w:t xml:space="preserve">7. Security and Access Control</w:t>
      </w:r>
    </w:p>
    <w:p>
      <w:pPr>
        <w:pStyle w:val="Heading2"/>
        <w:spacing w:after="100" w:before="200"/>
      </w:pPr>
      <w:r>
        <w:t xml:space="preserve">7.1 Roles and Sessions</w:t>
      </w:r>
    </w:p>
    <w:p>
      <w:pPr>
        <w:spacing w:after="140"/>
        <w:jc w:val="both"/>
      </w:pPr>
      <w:r>
        <w:rPr>
          <w:sz w:val="21"/>
          <w:szCs w:val="21"/>
        </w:rPr>
        <w:t xml:space="preserve">Operator HMI sessions time out after 15 minutes of inactivity, requiring re-authentication against the utility's Active Directory domain before further control actions are accepted.</w:t>
      </w:r>
    </w:p>
    <w:p>
      <w:pPr>
        <w:spacing w:after="140"/>
        <w:jc w:val="both"/>
      </w:pPr>
      <w:r>
        <w:rPr>
          <w:sz w:val="21"/>
          <w:szCs w:val="21"/>
        </w:rPr>
        <w:t xml:space="preserve">Four defined roles govern platform access: SCADA Operator, Shift Supervisor, Water Systems Engineer, and On-Call Technician, each mapped to an Active Directory security group with a distinct permission set documented in Appendix A.</w:t>
      </w:r>
    </w:p>
    <w:p>
      <w:pPr>
        <w:pStyle w:val="Heading2"/>
        <w:spacing w:after="100" w:before="200"/>
      </w:pPr>
      <w:r>
        <w:t xml:space="preserve">7.2 API and Integration Security</w:t>
      </w:r>
    </w:p>
    <w:p>
      <w:pPr>
        <w:spacing w:after="140"/>
        <w:jc w:val="both"/>
      </w:pPr>
      <w:r>
        <w:rPr>
          <w:sz w:val="21"/>
          <w:szCs w:val="21"/>
        </w:rPr>
        <w:t xml:space="preserve">API tokens issued to integration clients, including the billing system and the outage map, carry a lifetime of 8 hours and must be refreshed through the AquaGrid identity service rather than reused past expiry.</w:t>
      </w:r>
    </w:p>
    <w:p>
      <w:pPr>
        <w:spacing w:after="140"/>
        <w:jc w:val="both"/>
      </w:pPr>
      <w:r>
        <w:rPr>
          <w:sz w:val="21"/>
          <w:szCs w:val="21"/>
        </w:rPr>
        <w:t xml:space="preserve">The API rate limit for any single integration client is 600 requests per minute; a client exceeding this limit receives an HTTP 429 response and is logged under event code ERR-4471 in the security audit trail.</w:t>
      </w:r>
    </w:p>
    <w:p>
      <w:pPr>
        <w:pStyle w:val="Heading2"/>
        <w:spacing w:after="100" w:before="200"/>
      </w:pPr>
      <w:r>
        <w:t xml:space="preserve">7.3 Physical Security</w:t>
      </w:r>
    </w:p>
    <w:p>
      <w:pPr>
        <w:spacing w:after="140"/>
        <w:jc w:val="both"/>
      </w:pPr>
      <w:r>
        <w:rPr>
          <w:sz w:val="21"/>
          <w:szCs w:val="21"/>
        </w:rPr>
        <w:t xml:space="preserve">A geofence radius of 150 metres is enforced around each reservoir's perimeter sensor array; a badge-in event recorded outside that radius raises a physical security alarm routed to the Compliance Officer.</w:t>
      </w:r>
    </w:p>
    <w:p>
      <w:pPr>
        <w:spacing w:after="140"/>
        <w:jc w:val="both"/>
      </w:pPr>
      <w:r>
        <w:rPr>
          <w:sz w:val="21"/>
          <w:szCs w:val="21"/>
        </w:rPr>
        <w:t xml:space="preserve">The PLC watchdog timer at every station is set to 5 seconds; if the control logic scan cycle exceeds that window, the PLC forces all outputs to a fail-safe state and logs error code ERR-1120.</w:t>
      </w:r>
    </w:p>
    <w:p>
      <w:pPr>
        <w:pStyle w:val="Heading2"/>
        <w:spacing w:after="100" w:before="200"/>
      </w:pPr>
      <w:r>
        <w:t xml:space="preserve">7.4 Encryption and Data Protection</w:t>
      </w:r>
    </w:p>
    <w:p>
      <w:pPr>
        <w:spacing w:after="140"/>
        <w:jc w:val="both"/>
      </w:pPr>
      <w:r>
        <w:rPr>
          <w:sz w:val="21"/>
          <w:szCs w:val="21"/>
        </w:rPr>
        <w:t xml:space="preserve">Traffic between Tier 1 RTUs and the SCADA server is encrypted with AES-256 over the RidgeLink radio link and with TLS 1.3 over the LTE Cat-4 cellular backup path described in Section 4.2.</w:t>
      </w:r>
    </w:p>
    <w:p>
      <w:pPr>
        <w:spacing w:after="140"/>
        <w:jc w:val="both"/>
      </w:pPr>
      <w:r>
        <w:rPr>
          <w:sz w:val="21"/>
          <w:szCs w:val="21"/>
        </w:rPr>
        <w:t xml:space="preserve">The historian database at rest is encrypted using the operating system's native volume encryption, with the encryption key held in a hardware security module physically located in the Operations Center server room.</w:t>
      </w:r>
    </w:p>
    <w:p>
      <w:pPr>
        <w:spacing w:after="140"/>
        <w:jc w:val="both"/>
      </w:pPr>
      <w:r>
        <w:rPr>
          <w:sz w:val="21"/>
          <w:szCs w:val="21"/>
        </w:rPr>
        <w:t xml:space="preserve">Encryption key rotation for the RidgeLink radio network occurs on a 12-month cycle, coordinated across all 43 field sites during a single scheduled maintenance window to avoid a mixed-key transition period.</w:t>
      </w:r>
    </w:p>
    <w:p>
      <w:pPr>
        <w:pStyle w:val="Heading1"/>
        <w:spacing w:after="120" w:before="320"/>
      </w:pPr>
      <w:r>
        <w:t xml:space="preserve">8. Calibration and Maintenance Design Philosophy</w:t>
      </w:r>
    </w:p>
    <w:p>
      <w:pPr>
        <w:pStyle w:val="Heading2"/>
        <w:spacing w:after="100" w:before="200"/>
      </w:pPr>
      <w:r>
        <w:t xml:space="preserve">8.1 Calibration Schedule</w:t>
      </w:r>
    </w:p>
    <w:p>
      <w:pPr>
        <w:spacing w:after="140"/>
        <w:jc w:val="both"/>
      </w:pPr>
      <w:r>
        <w:rPr>
          <w:sz w:val="21"/>
          <w:szCs w:val="21"/>
        </w:rPr>
        <w:t xml:space="preserve">The design calibration interval for all flow sensors, magnetic and Coriolis alike, is 180 days, based on the manufacturer's stated drift specification of under 0.25 percent of reading per year.</w:t>
      </w:r>
    </w:p>
    <w:p>
      <w:pPr>
        <w:spacing w:after="140"/>
        <w:jc w:val="both"/>
      </w:pPr>
      <w:r>
        <w:rPr>
          <w:sz w:val="21"/>
          <w:szCs w:val="21"/>
        </w:rPr>
        <w:t xml:space="preserve">A sensor exceeding 180 days since its last calibration is flagged with error code ERR-3390 and excluded from the utility's monthly regulatory compliance report until recalibrated.</w:t>
      </w:r>
    </w:p>
    <w:p>
      <w:pPr>
        <w:pStyle w:val="Heading2"/>
        <w:spacing w:after="100" w:before="200"/>
      </w:pPr>
      <w:r>
        <w:t xml:space="preserve">8.2 Preventive Maintenance</w:t>
      </w:r>
    </w:p>
    <w:p>
      <w:pPr>
        <w:spacing w:after="140"/>
        <w:jc w:val="both"/>
      </w:pPr>
      <w:r>
        <w:rPr>
          <w:sz w:val="21"/>
          <w:szCs w:val="21"/>
        </w:rPr>
        <w:t xml:space="preserve">The scheduled maintenance window for SCADA server patching and PLC firmware updates is the second Tuesday of each month, 02:00 to 04:00 local time, chosen to fall outside the utility's peak demand period.</w:t>
      </w:r>
    </w:p>
    <w:p>
      <w:pPr>
        <w:spacing w:after="140"/>
        <w:jc w:val="both"/>
      </w:pPr>
      <w:r>
        <w:rPr>
          <w:sz w:val="21"/>
          <w:szCs w:val="21"/>
        </w:rPr>
        <w:t xml:space="preserve">RTU firmware is updated on a quarterly cadence, batched by geographic zone to limit the number of stations offline for update at any one time to no more than 6.</w:t>
      </w:r>
    </w:p>
    <w:p>
      <w:pPr>
        <w:pStyle w:val="Heading2"/>
        <w:spacing w:after="100" w:before="200"/>
      </w:pPr>
      <w:r>
        <w:t xml:space="preserve">8.3 Spare Parts and Battery Policy</w:t>
      </w:r>
    </w:p>
    <w:p>
      <w:pPr>
        <w:spacing w:after="140"/>
        <w:jc w:val="both"/>
      </w:pPr>
      <w:r>
        <w:rPr>
          <w:sz w:val="21"/>
          <w:szCs w:val="21"/>
        </w:rPr>
        <w:t xml:space="preserve">RTU backup batteries are replaced on a 24-month interval regardless of measured condition, following a fleet-wide failure in 2021 traced to batteries that tested healthy at 20 months but failed within weeks.</w:t>
      </w:r>
    </w:p>
    <w:p>
      <w:pPr>
        <w:spacing w:after="140"/>
        <w:jc w:val="both"/>
      </w:pPr>
      <w:r>
        <w:rPr>
          <w:sz w:val="21"/>
          <w:szCs w:val="21"/>
        </w:rPr>
        <w:t xml:space="preserve">The Operations Center holds a spare parts stock of 6 Modicon M580 PLCs and 12 magnetic flow meters, sized to cover the historical worst-case failure rate of 4 units per quarter.</w:t>
      </w:r>
    </w:p>
    <w:p>
      <w:pPr>
        <w:pStyle w:val="Heading1"/>
        <w:spacing w:after="120" w:before="320"/>
      </w:pPr>
      <w:r>
        <w:t xml:space="preserve">9. Disaster Recovery and Business Continuity</w:t>
      </w:r>
    </w:p>
    <w:p>
      <w:pPr>
        <w:spacing w:after="140"/>
        <w:jc w:val="both"/>
      </w:pPr>
      <w:r>
        <w:rPr>
          <w:sz w:val="21"/>
          <w:szCs w:val="21"/>
        </w:rPr>
        <w:t xml:space="preserve">Recovery Procedure R-7 governs restoration of the Tier 2 SCADA server pair following a total site failure at the Operations Center, and consists of four steps executed by the on-call Water Systems Engineer.</w:t>
      </w:r>
    </w:p>
    <w:p>
      <w:pPr>
        <w:spacing w:after="80"/>
        <w:ind w:left="360"/>
      </w:pPr>
      <w:r>
        <w:rPr>
          <w:sz w:val="21"/>
          <w:szCs w:val="21"/>
        </w:rPr>
        <w:t xml:space="preserve">1. Confirm the standby server at the Cedar Hills backup facility has current replicated data, checked against the last successful replication timestamp.</w:t>
      </w:r>
    </w:p>
    <w:p>
      <w:pPr>
        <w:spacing w:after="80"/>
        <w:ind w:left="360"/>
      </w:pPr>
      <w:r>
        <w:rPr>
          <w:sz w:val="21"/>
          <w:szCs w:val="21"/>
        </w:rPr>
        <w:t xml:space="preserve">2. Redirect the RidgeLink 900 network's primary listener to the Cedar Hills server using the failover script at /opt/aquagrid/scripts/failover.sh.</w:t>
      </w:r>
    </w:p>
    <w:p>
      <w:pPr>
        <w:spacing w:after="80"/>
        <w:ind w:left="360"/>
      </w:pPr>
      <w:r>
        <w:rPr>
          <w:sz w:val="21"/>
          <w:szCs w:val="21"/>
        </w:rPr>
        <w:t xml:space="preserve">3. Verify all 34 pump stations and 9 reservoirs report communication-restored within 10 minutes of the redirect.</w:t>
      </w:r>
    </w:p>
    <w:p>
      <w:pPr>
        <w:spacing w:after="80"/>
        <w:ind w:left="360"/>
      </w:pPr>
      <w:r>
        <w:rPr>
          <w:sz w:val="21"/>
          <w:szCs w:val="21"/>
        </w:rPr>
        <w:t xml:space="preserve">4. Notify the Shift Supervisor and log the event under incident category RWU-INC-DR in the audit trail.</w:t>
      </w:r>
    </w:p>
    <w:p>
      <w:pPr>
        <w:spacing w:after="100"/>
      </w:pPr>
    </w:p>
    <w:p>
      <w:pPr>
        <w:spacing w:after="140"/>
        <w:jc w:val="both"/>
      </w:pPr>
      <w:r>
        <w:rPr>
          <w:sz w:val="21"/>
          <w:szCs w:val="21"/>
        </w:rPr>
        <w:t xml:space="preserve">Recovery Procedure R-7 is targeted to complete within 8 minutes end to end and is tested in full twice per year, most recently on 4 August 2025 with a measured completion time of 7 minutes 40 seconds.</w:t>
      </w:r>
    </w:p>
    <w:p>
      <w:pPr>
        <w:spacing w:after="140"/>
        <w:jc w:val="both"/>
      </w:pPr>
      <w:r>
        <w:rPr>
          <w:sz w:val="21"/>
          <w:szCs w:val="21"/>
        </w:rPr>
        <w:t xml:space="preserve">The Cedar Hills backup facility receives a continuous replication feed from the primary historian, with a maximum acceptable replication lag of 60 seconds before an internal warning is raised.</w:t>
      </w:r>
    </w:p>
    <w:p>
      <w:pPr>
        <w:pStyle w:val="Heading1"/>
        <w:spacing w:after="120" w:before="320"/>
      </w:pPr>
      <w:r>
        <w:t xml:space="preserve">10. Testing and Commissioning</w:t>
      </w:r>
    </w:p>
    <w:p>
      <w:pPr>
        <w:spacing w:after="140"/>
        <w:jc w:val="both"/>
      </w:pPr>
      <w:r>
        <w:rPr>
          <w:sz w:val="21"/>
          <w:szCs w:val="21"/>
        </w:rPr>
        <w:t xml:space="preserve">A newly commissioned pump station must complete 72 hours of continuous, alarm-free operation before being accepted into the production monitoring set, per the commissioning checklist in RWU-OPS-007.</w:t>
      </w:r>
    </w:p>
    <w:p>
      <w:pPr>
        <w:spacing w:after="140"/>
        <w:jc w:val="both"/>
      </w:pPr>
      <w:r>
        <w:rPr>
          <w:sz w:val="21"/>
          <w:szCs w:val="21"/>
        </w:rPr>
        <w:t xml:space="preserve">Acceptance testing verifies flow meter accuracy against a certified reference meter to within 1 percent, radio signal quality above the 25 percent threshold defined in Section 4.2, and correct tag naming per Section 5.1.</w:t>
      </w:r>
    </w:p>
    <w:p>
      <w:pPr>
        <w:spacing w:after="140"/>
        <w:jc w:val="both"/>
      </w:pPr>
      <w:r>
        <w:rPr>
          <w:sz w:val="21"/>
          <w:szCs w:val="21"/>
        </w:rPr>
        <w:t xml:space="preserve">The most recent commissioning cycle, for the two new pump stations added in the 2024 north zone expansion, was completed on 19 November 2024 with no acceptance criteria waived.</w:t>
      </w:r>
    </w:p>
    <w:p>
      <w:pPr>
        <w:spacing w:after="140"/>
        <w:jc w:val="both"/>
      </w:pPr>
      <w:r>
        <w:rPr>
          <w:sz w:val="21"/>
          <w:szCs w:val="21"/>
        </w:rPr>
        <w:t xml:space="preserve">A commissioning sign-off requires countersignature from both the Water Systems Engineer responsible for the site and the SCADA integration contractor's field lead, retained as a scanned record for the life of the station.</w:t>
      </w:r>
    </w:p>
    <w:p>
      <w:pPr>
        <w:pStyle w:val="Heading1"/>
        <w:spacing w:after="120" w:before="320"/>
      </w:pPr>
      <w:r>
        <w:t xml:space="preserve">11. Vendor Support and Licensing</w:t>
      </w:r>
    </w:p>
    <w:p>
      <w:pPr>
        <w:spacing w:after="140"/>
        <w:jc w:val="both"/>
      </w:pPr>
      <w:r>
        <w:rPr>
          <w:sz w:val="21"/>
          <w:szCs w:val="21"/>
        </w:rPr>
        <w:t xml:space="preserve">AquaGrid Core is licensed under a 5-year enterprise agreement running through 30 June 2028, covering the 500-point licence tier described in Section 2, with unlimited HMI client seats included.</w:t>
      </w:r>
    </w:p>
    <w:p>
      <w:pPr>
        <w:spacing w:after="140"/>
        <w:jc w:val="both"/>
      </w:pPr>
      <w:r>
        <w:rPr>
          <w:sz w:val="21"/>
          <w:szCs w:val="21"/>
        </w:rPr>
        <w:t xml:space="preserve">The vendor's support contract guarantees a 4-hour response time for a Critical-severity ticket and a 2-business-day response for a Minor-severity ticket, tracked against the vendor's own service credit schedule.</w:t>
      </w:r>
    </w:p>
    <w:p>
      <w:pPr>
        <w:spacing w:after="140"/>
        <w:jc w:val="both"/>
      </w:pPr>
      <w:r>
        <w:rPr>
          <w:sz w:val="21"/>
          <w:szCs w:val="21"/>
        </w:rPr>
        <w:t xml:space="preserve">Schneider Electric provides a 3-year hardware warranty on all Modicon M580 units, with the current fleet's warranty coverage expiring in batches between 2026 and 2028 depending on original installation date.</w:t>
      </w:r>
    </w:p>
    <w:p>
      <w:pPr>
        <w:spacing w:after="140"/>
        <w:jc w:val="both"/>
      </w:pPr>
      <w:r>
        <w:rPr>
          <w:sz w:val="21"/>
          <w:szCs w:val="21"/>
        </w:rPr>
        <w:t xml:space="preserve">FlowVault Historian support is provided under a separate annual contract, renewed each January, that includes two scheduled health-check visits per year from the vendor's applications engineer.</w:t>
      </w:r>
    </w:p>
    <w:p>
      <w:pPr>
        <w:pStyle w:val="Heading1"/>
        <w:spacing w:after="120" w:before="320"/>
      </w:pPr>
      <w:r>
        <w:t xml:space="preserve">12. Performance Targets and Service Levels</w:t>
      </w:r>
    </w:p>
    <w:p>
      <w:pPr>
        <w:spacing w:after="140"/>
        <w:jc w:val="both"/>
      </w:pPr>
      <w:r>
        <w:rPr>
          <w:sz w:val="21"/>
          <w:szCs w:val="21"/>
        </w:rPr>
        <w:t xml:space="preserve">The platform's design availability target for the Tier 2 SCADA server pair is 99.95 percent measured annually, equivalent to no more than 4.4 hours of unplanned downtime per year.</w:t>
      </w:r>
    </w:p>
    <w:p>
      <w:pPr>
        <w:spacing w:after="140"/>
        <w:jc w:val="both"/>
      </w:pPr>
      <w:r>
        <w:rPr>
          <w:sz w:val="21"/>
          <w:szCs w:val="21"/>
        </w:rPr>
        <w:t xml:space="preserve">End-to-end latency from a field sensor reading to its display on the operator HMI is targeted at under 3 seconds for 95 percent of scan cycles, measured at the SCADA server ingest point.</w:t>
      </w:r>
    </w:p>
    <w:p>
      <w:pPr>
        <w:spacing w:after="80" w:before="160"/>
      </w:pPr>
      <w:r>
        <w:rPr>
          <w:i/>
          <w:iCs/>
          <w:sz w:val="19"/>
          <w:szCs w:val="19"/>
        </w:rPr>
        <w:t xml:space="preserve">Table 5. Performance targets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Metric</w:t>
            </w:r>
          </w:p>
        </w:tc>
        <w:tc>
          <w:tcPr>
            <w:tcW w:type="dxa" w:w="3120"/>
            <w:shd w:fill="2B2B2B" w:val="clear"/>
            <w:tcMar>
              <w:top w:type="dxa" w:w="60"/>
              <w:left w:type="dxa" w:w="100"/>
              <w:bottom w:type="dxa" w:w="60"/>
              <w:right w:type="dxa" w:w="100"/>
            </w:tcMar>
          </w:tcPr>
          <w:p>
            <w:r>
              <w:rPr>
                <w:b/>
                <w:bCs/>
                <w:color w:val="FFFFFF"/>
                <w:sz w:val="20"/>
                <w:szCs w:val="20"/>
              </w:rPr>
              <w:t xml:space="preserve">Target</w:t>
            </w:r>
          </w:p>
        </w:tc>
        <w:tc>
          <w:tcPr>
            <w:tcW w:type="dxa" w:w="3120"/>
            <w:shd w:fill="2B2B2B" w:val="clear"/>
            <w:tcMar>
              <w:top w:type="dxa" w:w="60"/>
              <w:left w:type="dxa" w:w="100"/>
              <w:bottom w:type="dxa" w:w="60"/>
              <w:right w:type="dxa" w:w="100"/>
            </w:tcMar>
          </w:tcPr>
          <w:p>
            <w:r>
              <w:rPr>
                <w:b/>
                <w:bCs/>
                <w:color w:val="FFFFFF"/>
                <w:sz w:val="20"/>
                <w:szCs w:val="20"/>
              </w:rPr>
              <w:t xml:space="preserve">Measurement window</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Tier 2 server availability</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99.95%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Annual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Field-to-HMI latency (95th percentile)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3 seconds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Per scan cycle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Alarm false positive rate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2%</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Rolling 30 days</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Radio packet loss alarm threshold</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Rolling 1 hour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Recovery Procedure R-7 completion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8 minutes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Per DR test</w:t>
            </w:r>
          </w:p>
        </w:tc>
      </w:tr>
    </w:tbl>
    <w:p>
      <w:pPr>
        <w:spacing w:after="160"/>
      </w:pPr>
    </w:p>
    <w:p>
      <w:pPr>
        <w:pStyle w:val="Heading1"/>
        <w:spacing w:after="120" w:before="320"/>
      </w:pPr>
      <w:r>
        <w:t xml:space="preserve">13. Environmental and Regulatory Compliance</w:t>
      </w:r>
    </w:p>
    <w:p>
      <w:pPr>
        <w:spacing w:after="140"/>
        <w:jc w:val="both"/>
      </w:pPr>
      <w:r>
        <w:rPr>
          <w:sz w:val="21"/>
          <w:szCs w:val="21"/>
        </w:rPr>
        <w:t xml:space="preserve">The platform's alarm and calibration records described in Sections 6 and 8 exist primarily to support the state drinking water regulator's annual inspection, which reviews a random sample of 15 stations each cycle.</w:t>
      </w:r>
    </w:p>
    <w:p>
      <w:pPr>
        <w:spacing w:after="140"/>
        <w:jc w:val="both"/>
      </w:pPr>
      <w:r>
        <w:rPr>
          <w:sz w:val="21"/>
          <w:szCs w:val="21"/>
        </w:rPr>
        <w:t xml:space="preserve">The most recent regulatory inspection, conducted 3 March 2025, reviewed calibration records for 15 randomly selected flow sensors and found all 15 within the 180-day interval defined in Section 8.1.</w:t>
      </w:r>
    </w:p>
    <w:p>
      <w:pPr>
        <w:spacing w:after="140"/>
        <w:jc w:val="both"/>
      </w:pPr>
      <w:r>
        <w:rPr>
          <w:sz w:val="21"/>
          <w:szCs w:val="21"/>
        </w:rPr>
        <w:t xml:space="preserve">Turbidity readings at each of the 9 reservoirs are cross-checked monthly against a laboratory grab sample; a deviation greater than 0.3 NTU between the two triggers a sensor inspection under work order category RWU-WO-TURB.</w:t>
      </w:r>
    </w:p>
    <w:p>
      <w:pPr>
        <w:spacing w:after="140"/>
        <w:jc w:val="both"/>
      </w:pPr>
      <w:r>
        <w:rPr>
          <w:sz w:val="21"/>
          <w:szCs w:val="21"/>
        </w:rPr>
        <w:t xml:space="preserve">Chemical dosing rates at the 3 treatment plants are logged at 1-minute resolution and retained for 10 years, longer than the general process data retention in Section 5.2, per the state's chemical handling recordkeeping rule.</w:t>
      </w:r>
    </w:p>
    <w:p>
      <w:pPr>
        <w:pStyle w:val="Heading1"/>
        <w:spacing w:after="120" w:before="320"/>
      </w:pPr>
      <w:r>
        <w:t xml:space="preserve">14. Change Management and Revision History</w:t>
      </w:r>
    </w:p>
    <w:p>
      <w:pPr>
        <w:spacing w:after="140"/>
        <w:jc w:val="both"/>
      </w:pPr>
      <w:r>
        <w:rPr>
          <w:sz w:val="21"/>
          <w:szCs w:val="21"/>
        </w:rPr>
        <w:t xml:space="preserve">Any change to a value in this specification, including a threshold, interval or rate limit, requires sign-off from the Water Systems Engineering group lead and a corresponding update to stations.yaml where applicable.</w:t>
      </w:r>
    </w:p>
    <w:p>
      <w:pPr>
        <w:spacing w:after="80" w:before="160"/>
      </w:pPr>
      <w:r>
        <w:rPr>
          <w:i/>
          <w:iCs/>
          <w:sz w:val="19"/>
          <w:szCs w:val="19"/>
        </w:rPr>
        <w:t xml:space="preserve">Table 6. Revision history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Revision</w:t>
            </w:r>
          </w:p>
        </w:tc>
        <w:tc>
          <w:tcPr>
            <w:tcW w:type="dxa" w:w="3120"/>
            <w:shd w:fill="2B2B2B" w:val="clear"/>
            <w:tcMar>
              <w:top w:type="dxa" w:w="60"/>
              <w:left w:type="dxa" w:w="100"/>
              <w:bottom w:type="dxa" w:w="60"/>
              <w:right w:type="dxa" w:w="100"/>
            </w:tcMar>
          </w:tcPr>
          <w:p>
            <w:r>
              <w:rPr>
                <w:b/>
                <w:bCs/>
                <w:color w:val="FFFFFF"/>
                <w:sz w:val="20"/>
                <w:szCs w:val="20"/>
              </w:rPr>
              <w:t xml:space="preserve">Date</w:t>
            </w:r>
          </w:p>
        </w:tc>
        <w:tc>
          <w:tcPr>
            <w:tcW w:type="dxa" w:w="3120"/>
            <w:shd w:fill="2B2B2B" w:val="clear"/>
            <w:tcMar>
              <w:top w:type="dxa" w:w="60"/>
              <w:left w:type="dxa" w:w="100"/>
              <w:bottom w:type="dxa" w:w="60"/>
              <w:right w:type="dxa" w:w="100"/>
            </w:tcMar>
          </w:tcPr>
          <w:p>
            <w:r>
              <w:rPr>
                <w:b/>
                <w:bCs/>
                <w:color w:val="FFFFFF"/>
                <w:sz w:val="20"/>
                <w:szCs w:val="20"/>
              </w:rPr>
              <w:t xml:space="preserve">Summary</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1.0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6 May 2022</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Initial release covering AquaGrid 3.8 architecture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2.0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11 January 2024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Rewritten for AquaGrid 4.0; introduced per-operator login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3.0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2 September 2024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Added Cedar Hills disaster recovery site and Recovery Procedure R-7</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3.1</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14 March 2025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Updated calibration interval from 210 to 180 days; added north zone stations</w:t>
            </w:r>
          </w:p>
        </w:tc>
      </w:tr>
    </w:tbl>
    <w:p>
      <w:pPr>
        <w:spacing w:after="160"/>
      </w:pPr>
    </w:p>
    <w:p>
      <w:pPr>
        <w:pStyle w:val="Heading1"/>
        <w:spacing w:after="120" w:before="320"/>
      </w:pPr>
      <w:r>
        <w:t xml:space="preserve">Appendix A: Glossary and Reference Values</w:t>
      </w:r>
    </w:p>
    <w:p>
      <w:pPr>
        <w:pStyle w:val="ListParagraph"/>
        <w:numPr>
          <w:ilvl w:val="0"/>
          <w:numId w:val="1"/>
        </w:numPr>
        <w:spacing w:after="60"/>
      </w:pPr>
      <w:r>
        <w:rPr>
          <w:sz w:val="21"/>
          <w:szCs w:val="21"/>
        </w:rPr>
        <w:t xml:space="preserve">RTU: Remote Terminal Unit, the field device polling local instrumentation at a pump station or reservoir.</w:t>
      </w:r>
    </w:p>
    <w:p>
      <w:pPr>
        <w:pStyle w:val="ListParagraph"/>
        <w:numPr>
          <w:ilvl w:val="0"/>
          <w:numId w:val="1"/>
        </w:numPr>
        <w:spacing w:after="60"/>
      </w:pPr>
      <w:r>
        <w:rPr>
          <w:sz w:val="21"/>
          <w:szCs w:val="21"/>
        </w:rPr>
        <w:t xml:space="preserve">DNP3: Distributed Network Protocol version 3, the application-layer protocol used over the RidgeLink 900 radio network.</w:t>
      </w:r>
    </w:p>
    <w:p>
      <w:pPr>
        <w:pStyle w:val="ListParagraph"/>
        <w:numPr>
          <w:ilvl w:val="0"/>
          <w:numId w:val="1"/>
        </w:numPr>
        <w:spacing w:after="60"/>
      </w:pPr>
      <w:r>
        <w:rPr>
          <w:sz w:val="21"/>
          <w:szCs w:val="21"/>
        </w:rPr>
        <w:t xml:space="preserve">Swinging-door compression: the algorithm FlowVault Historian uses to discard redundant samples while preserving trend shape within the 0.1 percent deviation limit.</w:t>
      </w:r>
    </w:p>
    <w:p>
      <w:pPr>
        <w:pStyle w:val="ListParagraph"/>
        <w:numPr>
          <w:ilvl w:val="0"/>
          <w:numId w:val="1"/>
        </w:numPr>
        <w:spacing w:after="60"/>
      </w:pPr>
      <w:r>
        <w:rPr>
          <w:sz w:val="21"/>
          <w:szCs w:val="21"/>
        </w:rPr>
        <w:t xml:space="preserve">ERR-4471: rate limit exceeded on an API integration client, logged when the 600 requests per minute ceiling is crossed.</w:t>
      </w:r>
    </w:p>
    <w:p>
      <w:pPr>
        <w:pStyle w:val="ListParagraph"/>
        <w:numPr>
          <w:ilvl w:val="0"/>
          <w:numId w:val="1"/>
        </w:numPr>
        <w:spacing w:after="60"/>
      </w:pPr>
      <w:r>
        <w:rPr>
          <w:sz w:val="21"/>
          <w:szCs w:val="21"/>
        </w:rPr>
        <w:t xml:space="preserve">ERR-2205: sensor drift detected outside the 0.25 percent per year manufacturer specification.</w:t>
      </w:r>
    </w:p>
    <w:p>
      <w:pPr>
        <w:pStyle w:val="ListParagraph"/>
        <w:numPr>
          <w:ilvl w:val="0"/>
          <w:numId w:val="1"/>
        </w:numPr>
        <w:spacing w:after="60"/>
      </w:pPr>
      <w:r>
        <w:rPr>
          <w:sz w:val="21"/>
          <w:szCs w:val="21"/>
        </w:rPr>
        <w:t xml:space="preserve">ERR-3390: calibration overdue, raised when a sensor passes 180 days since its last calibration record.</w:t>
      </w:r>
    </w:p>
    <w:p>
      <w:pPr>
        <w:pStyle w:val="ListParagraph"/>
        <w:numPr>
          <w:ilvl w:val="0"/>
          <w:numId w:val="1"/>
        </w:numPr>
        <w:spacing w:after="60"/>
      </w:pPr>
      <w:r>
        <w:rPr>
          <w:sz w:val="21"/>
          <w:szCs w:val="21"/>
        </w:rPr>
        <w:t xml:space="preserve">ERR-1120: PLC watchdog fault, raised when a scan cycle exceeds the 5-second watchdog timer.</w:t>
      </w:r>
    </w:p>
    <w:p>
      <w:pPr>
        <w:pStyle w:val="ListParagraph"/>
        <w:numPr>
          <w:ilvl w:val="0"/>
          <w:numId w:val="1"/>
        </w:numPr>
        <w:spacing w:after="60"/>
      </w:pPr>
      <w:r>
        <w:rPr>
          <w:sz w:val="21"/>
          <w:szCs w:val="21"/>
        </w:rPr>
        <w:t xml:space="preserve">ERR-9002: inbound message queue overflow, raised when the 10,000-message queue depth limit is exceeded.</w:t>
      </w:r>
    </w:p>
    <w:p>
      <w:pPr>
        <w:pStyle w:val="ListParagraph"/>
        <w:numPr>
          <w:ilvl w:val="0"/>
          <w:numId w:val="1"/>
        </w:numPr>
        <w:spacing w:after="60"/>
      </w:pPr>
      <w:r>
        <w:rPr>
          <w:sz w:val="21"/>
          <w:szCs w:val="21"/>
        </w:rPr>
        <w:t xml:space="preserve">Cedar Hills: the utility's disaster recovery site, hosting the standby historian replica referenced in Section 9.</w:t>
      </w:r>
    </w:p>
    <w:p>
      <w:pPr>
        <w:spacing w:after="100"/>
      </w:pPr>
    </w:p>
    <w:p>
      <w:pPr>
        <w:pStyle w:val="Heading1"/>
        <w:spacing w:after="120" w:before="320"/>
      </w:pPr>
      <w:r>
        <w:t xml:space="preserve">Appendix B: Station Reference Table</w:t>
      </w:r>
    </w:p>
    <w:p>
      <w:pPr>
        <w:spacing w:after="140"/>
        <w:jc w:val="both"/>
      </w:pPr>
      <w:r>
        <w:rPr>
          <w:sz w:val="21"/>
          <w:szCs w:val="21"/>
        </w:rPr>
        <w:t xml:space="preserve">The table below lists a representative sample of stations for reference during troubleshooting. The full 34-station register is maintained in stations.yaml, not reproduced here in full.</w:t>
      </w:r>
    </w:p>
    <w:p>
      <w:pPr>
        <w:spacing w:after="80" w:before="160"/>
      </w:pPr>
      <w:r>
        <w:rPr>
          <w:i/>
          <w:iCs/>
          <w:sz w:val="19"/>
          <w:szCs w:val="19"/>
        </w:rPr>
        <w:t xml:space="preserve">Table 7. Station reference sample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Station ID</w:t>
            </w:r>
          </w:p>
        </w:tc>
        <w:tc>
          <w:tcPr>
            <w:tcW w:type="dxa" w:w="2340"/>
            <w:shd w:fill="2B2B2B" w:val="clear"/>
            <w:tcMar>
              <w:top w:type="dxa" w:w="60"/>
              <w:left w:type="dxa" w:w="100"/>
              <w:bottom w:type="dxa" w:w="60"/>
              <w:right w:type="dxa" w:w="100"/>
            </w:tcMar>
          </w:tcPr>
          <w:p>
            <w:r>
              <w:rPr>
                <w:b/>
                <w:bCs/>
                <w:color w:val="FFFFFF"/>
                <w:sz w:val="20"/>
                <w:szCs w:val="20"/>
              </w:rPr>
              <w:t xml:space="preserve">Type</w:t>
            </w:r>
          </w:p>
        </w:tc>
        <w:tc>
          <w:tcPr>
            <w:tcW w:type="dxa" w:w="2340"/>
            <w:shd w:fill="2B2B2B" w:val="clear"/>
            <w:tcMar>
              <w:top w:type="dxa" w:w="60"/>
              <w:left w:type="dxa" w:w="100"/>
              <w:bottom w:type="dxa" w:w="60"/>
              <w:right w:type="dxa" w:w="100"/>
            </w:tcMar>
          </w:tcPr>
          <w:p>
            <w:r>
              <w:rPr>
                <w:b/>
                <w:bCs/>
                <w:color w:val="FFFFFF"/>
                <w:sz w:val="20"/>
                <w:szCs w:val="20"/>
              </w:rPr>
              <w:t xml:space="preserve">Commissioned</w:t>
            </w:r>
          </w:p>
        </w:tc>
        <w:tc>
          <w:tcPr>
            <w:tcW w:type="dxa" w:w="2340"/>
            <w:shd w:fill="2B2B2B" w:val="clear"/>
            <w:tcMar>
              <w:top w:type="dxa" w:w="60"/>
              <w:left w:type="dxa" w:w="100"/>
              <w:bottom w:type="dxa" w:w="60"/>
              <w:right w:type="dxa" w:w="100"/>
            </w:tcMar>
          </w:tcPr>
          <w:p>
            <w:r>
              <w:rPr>
                <w:b/>
                <w:bCs/>
                <w:color w:val="FFFFFF"/>
                <w:sz w:val="20"/>
                <w:szCs w:val="20"/>
              </w:rPr>
              <w:t xml:space="preserve">Last calibration</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PS02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14 Jun 2016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22 Feb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PS07</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 Sep 2018</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9 Jan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PS11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30 Nov 2019</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17 Mar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PS14</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8 Apr 2020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 Apr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PS22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Nov 2024</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Nov 2024</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PS23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Pump station</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Nov 2024</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Nov 2024</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RES03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Reservoir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 Feb 2015</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11 Feb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RES06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Reservoir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25 Jul 2017</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30 Jan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TP01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Treatment plant</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Jan 2012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5 Mar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TP02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Treatment plant</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Jan 2012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5 Mar 2025</w:t>
            </w:r>
          </w:p>
        </w:tc>
      </w:tr>
    </w:tbl>
    <w:p>
      <w:pPr>
        <w:spacing w:after="160"/>
      </w:pPr>
    </w:p>
    <w:p>
      <w:pPr>
        <w:spacing w:after="140"/>
        <w:jc w:val="both"/>
      </w:pPr>
      <w:r>
        <w:rPr>
          <w:sz w:val="21"/>
          <w:szCs w:val="21"/>
        </w:rPr>
        <w:t xml:space="preserve">Stations PS22 and PS23 are the two north zone stations from the 2024 expansion referenced in Section 10; both share a commissioning date because they were accepted in the same sign-off 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Riverside Water Utility — Internal Engineering</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RWU-ENG-014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2026-09-16T06:52:08.829Z</dcterms:created>
  <dcterms:modified xsi:type="dcterms:W3CDTF">2026-09-16T06:52:08.829Z</dcterms:modified>
</cp:coreProperties>
</file>

<file path=docProps/custom.xml><?xml version="1.0" encoding="utf-8"?>
<Properties xmlns="http://schemas.openxmlformats.org/officeDocument/2006/custom-properties" xmlns:vt="http://schemas.openxmlformats.org/officeDocument/2006/docPropsVTypes"/>
</file>