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55555"/>
          <w:sz w:val="22"/>
          <w:szCs w:val="22"/>
        </w:rPr>
        <w:t xml:space="preserve">Northline Logistics — Fleet Engineering</w:t>
      </w:r>
    </w:p>
    <w:p>
      <w:pPr>
        <w:spacing w:after="200"/>
      </w:pPr>
      <w:r>
        <w:rPr>
          <w:b/>
          <w:bCs/>
          <w:sz w:val="40"/>
          <w:szCs w:val="40"/>
        </w:rPr>
        <w:t xml:space="preserve">ColdTrace Telematics Platform: Design Document</w:t>
      </w:r>
    </w:p>
    <w:tbl>
      <w:tblPr>
        <w:tblW w:type="dxa" w:w="9360"/>
        <w:tblBorders>
          <w:top w:val="single" w:color="AAAAAA" w:sz="2"/>
          <w:left w:val="none"/>
          <w:bottom w:val="single" w:color="AAAAAA" w:sz="2"/>
          <w:right w:val="none"/>
          <w:insideH w:val="single" w:color="DDDDDD" w:sz="2"/>
          <w:insideV w:val="none"/>
        </w:tblBorders>
      </w:tblPr>
      <w:tblGrid>
        <w:gridCol w:w="2400"/>
        <w:gridCol w:w="6960"/>
      </w:tblGrid>
      <w:tr>
        <w:tc>
          <w:tcPr>
            <w:tcW w:type="dxa" w:w="2400"/>
            <w:tcMar>
              <w:top w:type="dxa" w:w="40"/>
              <w:left w:type="dxa" w:w="60"/>
              <w:bottom w:type="dxa" w:w="40"/>
              <w:right w:type="dxa" w:w="60"/>
            </w:tcMar>
          </w:tcPr>
          <w:p>
            <w:r>
              <w:rPr>
                <w:b/>
                <w:bCs/>
                <w:sz w:val="19"/>
                <w:szCs w:val="19"/>
              </w:rPr>
              <w:t xml:space="preserve">Document ID</w:t>
            </w:r>
          </w:p>
        </w:tc>
        <w:tc>
          <w:tcPr>
            <w:tcW w:type="dxa" w:w="6960"/>
            <w:tcMar>
              <w:top w:type="dxa" w:w="40"/>
              <w:left w:type="dxa" w:w="60"/>
              <w:bottom w:type="dxa" w:w="40"/>
              <w:right w:type="dxa" w:w="60"/>
            </w:tcMar>
          </w:tcPr>
          <w:p>
            <w:r>
              <w:rPr>
                <w:sz w:val="19"/>
                <w:szCs w:val="19"/>
              </w:rPr>
              <w:t xml:space="preserve">NL-TEL-005</w:t>
            </w:r>
          </w:p>
        </w:tc>
      </w:tr>
      <w:tr>
        <w:tc>
          <w:tcPr>
            <w:tcW w:type="dxa" w:w="2400"/>
            <w:tcMar>
              <w:top w:type="dxa" w:w="40"/>
              <w:left w:type="dxa" w:w="60"/>
              <w:bottom w:type="dxa" w:w="40"/>
              <w:right w:type="dxa" w:w="60"/>
            </w:tcMar>
          </w:tcPr>
          <w:p>
            <w:r>
              <w:rPr>
                <w:b/>
                <w:bCs/>
                <w:sz w:val="19"/>
                <w:szCs w:val="19"/>
              </w:rPr>
              <w:t xml:space="preserve">Version</w:t>
            </w:r>
          </w:p>
        </w:tc>
        <w:tc>
          <w:tcPr>
            <w:tcW w:type="dxa" w:w="6960"/>
            <w:tcMar>
              <w:top w:type="dxa" w:w="40"/>
              <w:left w:type="dxa" w:w="60"/>
              <w:bottom w:type="dxa" w:w="40"/>
              <w:right w:type="dxa" w:w="60"/>
            </w:tcMar>
          </w:tcPr>
          <w:p>
            <w:r>
              <w:rPr>
                <w:sz w:val="19"/>
                <w:szCs w:val="19"/>
              </w:rPr>
              <w:t xml:space="preserve">5.0</w:t>
            </w:r>
          </w:p>
        </w:tc>
      </w:tr>
      <w:tr>
        <w:tc>
          <w:tcPr>
            <w:tcW w:type="dxa" w:w="2400"/>
            <w:tcMar>
              <w:top w:type="dxa" w:w="40"/>
              <w:left w:type="dxa" w:w="60"/>
              <w:bottom w:type="dxa" w:w="40"/>
              <w:right w:type="dxa" w:w="60"/>
            </w:tcMar>
          </w:tcPr>
          <w:p>
            <w:r>
              <w:rPr>
                <w:b/>
                <w:bCs/>
                <w:sz w:val="19"/>
                <w:szCs w:val="19"/>
              </w:rPr>
              <w:t xml:space="preserve">Released</w:t>
            </w:r>
          </w:p>
        </w:tc>
        <w:tc>
          <w:tcPr>
            <w:tcW w:type="dxa" w:w="6960"/>
            <w:tcMar>
              <w:top w:type="dxa" w:w="40"/>
              <w:left w:type="dxa" w:w="60"/>
              <w:bottom w:type="dxa" w:w="40"/>
              <w:right w:type="dxa" w:w="60"/>
            </w:tcMar>
          </w:tcPr>
          <w:p>
            <w:r>
              <w:rPr>
                <w:sz w:val="19"/>
                <w:szCs w:val="19"/>
              </w:rPr>
              <w:t xml:space="preserve">9 January 2025</w:t>
            </w:r>
          </w:p>
        </w:tc>
      </w:tr>
      <w:tr>
        <w:tc>
          <w:tcPr>
            <w:tcW w:type="dxa" w:w="2400"/>
            <w:tcMar>
              <w:top w:type="dxa" w:w="40"/>
              <w:left w:type="dxa" w:w="60"/>
              <w:bottom w:type="dxa" w:w="40"/>
              <w:right w:type="dxa" w:w="60"/>
            </w:tcMar>
          </w:tcPr>
          <w:p>
            <w:r>
              <w:rPr>
                <w:b/>
                <w:bCs/>
                <w:sz w:val="19"/>
                <w:szCs w:val="19"/>
              </w:rPr>
              <w:t xml:space="preserve">Classification</w:t>
            </w:r>
          </w:p>
        </w:tc>
        <w:tc>
          <w:tcPr>
            <w:tcW w:type="dxa" w:w="6960"/>
            <w:tcMar>
              <w:top w:type="dxa" w:w="40"/>
              <w:left w:type="dxa" w:w="60"/>
              <w:bottom w:type="dxa" w:w="40"/>
              <w:right w:type="dxa" w:w="60"/>
            </w:tcMar>
          </w:tcPr>
          <w:p>
            <w:r>
              <w:rPr>
                <w:sz w:val="19"/>
                <w:szCs w:val="19"/>
              </w:rPr>
              <w:t xml:space="preserve">Internal Engineering</w:t>
            </w:r>
          </w:p>
        </w:tc>
      </w:tr>
      <w:tr>
        <w:tc>
          <w:tcPr>
            <w:tcW w:type="dxa" w:w="2400"/>
            <w:tcMar>
              <w:top w:type="dxa" w:w="40"/>
              <w:left w:type="dxa" w:w="60"/>
              <w:bottom w:type="dxa" w:w="40"/>
              <w:right w:type="dxa" w:w="60"/>
            </w:tcMar>
          </w:tcPr>
          <w:p>
            <w:r>
              <w:rPr>
                <w:b/>
                <w:bCs/>
                <w:sz w:val="19"/>
                <w:szCs w:val="19"/>
              </w:rPr>
              <w:t xml:space="preserve">Owner</w:t>
            </w:r>
          </w:p>
        </w:tc>
        <w:tc>
          <w:tcPr>
            <w:tcW w:type="dxa" w:w="6960"/>
            <w:tcMar>
              <w:top w:type="dxa" w:w="40"/>
              <w:left w:type="dxa" w:w="60"/>
              <w:bottom w:type="dxa" w:w="40"/>
              <w:right w:type="dxa" w:w="60"/>
            </w:tcMar>
          </w:tcPr>
          <w:p>
            <w:r>
              <w:rPr>
                <w:sz w:val="19"/>
                <w:szCs w:val="19"/>
              </w:rPr>
              <w:t xml:space="preserve">Fleet Engineering Group</w:t>
            </w:r>
          </w:p>
        </w:tc>
      </w:tr>
    </w:tbl>
    <w:p>
      <w:pPr>
        <w:spacing w:after="300"/>
      </w:pPr>
    </w:p>
    <w:p>
      <w:pPr>
        <w:pStyle w:val="Heading1"/>
        <w:spacing w:after="120" w:before="320"/>
      </w:pPr>
      <w:r>
        <w:t xml:space="preserve">1. Purpose and Scope</w:t>
      </w:r>
    </w:p>
    <w:p>
      <w:pPr>
        <w:spacing w:after="140"/>
        <w:jc w:val="both"/>
      </w:pPr>
      <w:r>
        <w:rPr>
          <w:sz w:val="21"/>
          <w:szCs w:val="21"/>
        </w:rPr>
        <w:t xml:space="preserve">This document defines the platform architecture of the ColdTrace Telematics system, version 2.6.3, as deployed across Northline Logistics' refrigerated fleet. It covers 212 refrigerated trailers, 340 tractor units and 6 regional depots as of the release date on the cover page.</w:t>
      </w:r>
    </w:p>
    <w:p>
      <w:pPr>
        <w:spacing w:after="140"/>
        <w:jc w:val="both"/>
      </w:pPr>
      <w:r>
        <w:rPr>
          <w:sz w:val="21"/>
          <w:szCs w:val="21"/>
        </w:rPr>
        <w:t xml:space="preserve">The intended readers are the Fleet Engineering group, the ColdTrace integration contractor, and the Cold Chain Compliance Officer preparing for the annual food safety audit. Field procedures are governed separately by document NL-FLD-002 and are referenced here only where a design constraint directly shapes a field limit.</w:t>
      </w:r>
    </w:p>
    <w:p>
      <w:pPr>
        <w:spacing w:after="140"/>
        <w:jc w:val="both"/>
      </w:pPr>
      <w:r>
        <w:rPr>
          <w:sz w:val="21"/>
          <w:szCs w:val="21"/>
        </w:rPr>
        <w:t xml:space="preserve">Out of scope for this document: the customer-facing shipment tracking portal, fuel card integration, and driver payroll systems, covered under separate specifications NL-TEL-011, NL-TEL-008 and NL-HR-004 respectively.</w:t>
      </w:r>
    </w:p>
    <w:p>
      <w:pPr>
        <w:pStyle w:val="Heading2"/>
        <w:spacing w:after="100" w:before="200"/>
      </w:pPr>
      <w:r>
        <w:t xml:space="preserve">1.1 Related Documents</w:t>
      </w:r>
    </w:p>
    <w:p>
      <w:pPr>
        <w:spacing w:after="80" w:before="160"/>
      </w:pPr>
      <w:r>
        <w:rPr>
          <w:i/>
          <w:iCs/>
          <w:sz w:val="19"/>
          <w:szCs w:val="19"/>
        </w:rPr>
        <w:t xml:space="preserve">Table 1. Related documents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tblHeader/>
        </w:trPr>
        <w:tc>
          <w:tcPr>
            <w:tcW w:type="dxa" w:w="3120"/>
            <w:shd w:fill="2B2B2B" w:val="clear"/>
            <w:tcMar>
              <w:top w:type="dxa" w:w="60"/>
              <w:left w:type="dxa" w:w="100"/>
              <w:bottom w:type="dxa" w:w="60"/>
              <w:right w:type="dxa" w:w="100"/>
            </w:tcMar>
          </w:tcPr>
          <w:p>
            <w:r>
              <w:rPr>
                <w:b/>
                <w:bCs/>
                <w:color w:val="FFFFFF"/>
                <w:sz w:val="20"/>
                <w:szCs w:val="20"/>
              </w:rPr>
              <w:t xml:space="preserve">Document ID</w:t>
            </w:r>
          </w:p>
        </w:tc>
        <w:tc>
          <w:tcPr>
            <w:tcW w:type="dxa" w:w="3120"/>
            <w:shd w:fill="2B2B2B" w:val="clear"/>
            <w:tcMar>
              <w:top w:type="dxa" w:w="60"/>
              <w:left w:type="dxa" w:w="100"/>
              <w:bottom w:type="dxa" w:w="60"/>
              <w:right w:type="dxa" w:w="100"/>
            </w:tcMar>
          </w:tcPr>
          <w:p>
            <w:r>
              <w:rPr>
                <w:b/>
                <w:bCs/>
                <w:color w:val="FFFFFF"/>
                <w:sz w:val="20"/>
                <w:szCs w:val="20"/>
              </w:rPr>
              <w:t xml:space="preserve">Title</w:t>
            </w:r>
          </w:p>
        </w:tc>
        <w:tc>
          <w:tcPr>
            <w:tcW w:type="dxa" w:w="3120"/>
            <w:shd w:fill="2B2B2B" w:val="clear"/>
            <w:tcMar>
              <w:top w:type="dxa" w:w="60"/>
              <w:left w:type="dxa" w:w="100"/>
              <w:bottom w:type="dxa" w:w="60"/>
              <w:right w:type="dxa" w:w="100"/>
            </w:tcMar>
          </w:tcPr>
          <w:p>
            <w:r>
              <w:rPr>
                <w:b/>
                <w:bCs/>
                <w:color w:val="FFFFFF"/>
                <w:sz w:val="20"/>
                <w:szCs w:val="20"/>
              </w:rPr>
              <w:t xml:space="preserve">Owner</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NL-FLD-002</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ColdTrace Field Engineer Guide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Fleet Operations</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NL-TEL-011</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Shipment Tracking Portal Specification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IT Integration</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NL-TEL-008</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Fuel Card Integration Specification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IT Integration</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NL-HR-004</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Driver Payroll Systems Interface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HR Systems</w:t>
            </w:r>
          </w:p>
        </w:tc>
      </w:tr>
    </w:tbl>
    <w:p>
      <w:pPr>
        <w:spacing w:after="160"/>
      </w:pPr>
    </w:p>
    <w:p>
      <w:pPr>
        <w:pStyle w:val="Heading1"/>
        <w:spacing w:after="120" w:before="320"/>
      </w:pPr>
      <w:r>
        <w:t xml:space="preserve">2. System Overview</w:t>
      </w:r>
    </w:p>
    <w:p>
      <w:pPr>
        <w:spacing w:after="140"/>
        <w:jc w:val="both"/>
      </w:pPr>
      <w:r>
        <w:rPr>
          <w:sz w:val="21"/>
          <w:szCs w:val="21"/>
        </w:rPr>
        <w:t xml:space="preserve">ColdTrace follows a three-tier architecture: trailer-mounted sensors and the edge gateway at Tier 1, a redundant ingestion server pair at Tier 2 hosted in the primary cloud region, and the ColdTrace compliance database at Tier 3 for long-term storage and reporting.</w:t>
      </w:r>
    </w:p>
    <w:p>
      <w:pPr>
        <w:spacing w:after="140"/>
        <w:jc w:val="both"/>
      </w:pPr>
      <w:r>
        <w:rPr>
          <w:sz w:val="21"/>
          <w:szCs w:val="21"/>
        </w:rPr>
        <w:t xml:space="preserve">Tier 1 gateways publish sensor readings upstream over cellular with satellite fallback, detailed in Section 4. Tier 2 servers run the ColdTrace ingestion service on a Kubernetes cluster with automatic pod rescheduling on a 20-second health-check interval.</w:t>
      </w:r>
    </w:p>
    <w:p>
      <w:pPr>
        <w:spacing w:after="140"/>
        <w:jc w:val="both"/>
      </w:pPr>
      <w:r>
        <w:rPr>
          <w:sz w:val="21"/>
          <w:szCs w:val="21"/>
        </w:rPr>
        <w:t xml:space="preserve">A single ColdTrace ingestion cluster supports up to 500 active gateways before horizontal scaling is required; Northline currently runs 340 of that capacity, one per tractor unit, leaving headroom for the planned 2027 fleet expansion.</w:t>
      </w:r>
    </w:p>
    <w:p>
      <w:pPr>
        <w:spacing w:after="80" w:before="160"/>
      </w:pPr>
      <w:r>
        <w:rPr>
          <w:i/>
          <w:iCs/>
          <w:sz w:val="19"/>
          <w:szCs w:val="19"/>
        </w:rPr>
        <w:t xml:space="preserve">Table 2. Tier summary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40"/>
        <w:gridCol w:w="2340"/>
        <w:gridCol w:w="2340"/>
        <w:gridCol w:w="2340"/>
      </w:tblGrid>
      <w:tr>
        <w:trPr>
          <w:tblHeader/>
        </w:trPr>
        <w:tc>
          <w:tcPr>
            <w:tcW w:type="dxa" w:w="2340"/>
            <w:shd w:fill="2B2B2B" w:val="clear"/>
            <w:tcMar>
              <w:top w:type="dxa" w:w="60"/>
              <w:left w:type="dxa" w:w="100"/>
              <w:bottom w:type="dxa" w:w="60"/>
              <w:right w:type="dxa" w:w="100"/>
            </w:tcMar>
          </w:tcPr>
          <w:p>
            <w:r>
              <w:rPr>
                <w:b/>
                <w:bCs/>
                <w:color w:val="FFFFFF"/>
                <w:sz w:val="20"/>
                <w:szCs w:val="20"/>
              </w:rPr>
              <w:t xml:space="preserve">Tier</w:t>
            </w:r>
          </w:p>
        </w:tc>
        <w:tc>
          <w:tcPr>
            <w:tcW w:type="dxa" w:w="2340"/>
            <w:shd w:fill="2B2B2B" w:val="clear"/>
            <w:tcMar>
              <w:top w:type="dxa" w:w="60"/>
              <w:left w:type="dxa" w:w="100"/>
              <w:bottom w:type="dxa" w:w="60"/>
              <w:right w:type="dxa" w:w="100"/>
            </w:tcMar>
          </w:tcPr>
          <w:p>
            <w:r>
              <w:rPr>
                <w:b/>
                <w:bCs/>
                <w:color w:val="FFFFFF"/>
                <w:sz w:val="20"/>
                <w:szCs w:val="20"/>
              </w:rPr>
              <w:t xml:space="preserve">Function</w:t>
            </w:r>
          </w:p>
        </w:tc>
        <w:tc>
          <w:tcPr>
            <w:tcW w:type="dxa" w:w="2340"/>
            <w:shd w:fill="2B2B2B" w:val="clear"/>
            <w:tcMar>
              <w:top w:type="dxa" w:w="60"/>
              <w:left w:type="dxa" w:w="100"/>
              <w:bottom w:type="dxa" w:w="60"/>
              <w:right w:type="dxa" w:w="100"/>
            </w:tcMar>
          </w:tcPr>
          <w:p>
            <w:r>
              <w:rPr>
                <w:b/>
                <w:bCs/>
                <w:color w:val="FFFFFF"/>
                <w:sz w:val="20"/>
                <w:szCs w:val="20"/>
              </w:rPr>
              <w:t xml:space="preserve">Primary hardware</w:t>
            </w:r>
          </w:p>
        </w:tc>
        <w:tc>
          <w:tcPr>
            <w:tcW w:type="dxa" w:w="2340"/>
            <w:shd w:fill="2B2B2B" w:val="clear"/>
            <w:tcMar>
              <w:top w:type="dxa" w:w="60"/>
              <w:left w:type="dxa" w:w="100"/>
              <w:bottom w:type="dxa" w:w="60"/>
              <w:right w:type="dxa" w:w="100"/>
            </w:tcMar>
          </w:tcPr>
          <w:p>
            <w:r>
              <w:rPr>
                <w:b/>
                <w:bCs/>
                <w:color w:val="FFFFFF"/>
                <w:sz w:val="20"/>
                <w:szCs w:val="20"/>
              </w:rPr>
              <w:t xml:space="preserve">Count</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Tier 1</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Sensing and edge buffering</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ColdTrace Edge Gateway CE-310</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340 gateways, 212 trailers</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Tier 2</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Ingestion, alerting, dispatcher portal</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Kubernetes cluster, ColdTrace 2.6.3</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6 nodes, 2 availability zones</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Tier 3</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Compliance database and reporting</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ColdTrace Compliance DB</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 cluster, 3 nodes</w:t>
            </w:r>
          </w:p>
        </w:tc>
      </w:tr>
    </w:tbl>
    <w:p>
      <w:pPr>
        <w:spacing w:after="160"/>
      </w:pPr>
    </w:p>
    <w:p>
      <w:pPr>
        <w:pStyle w:val="Heading2"/>
        <w:spacing w:after="100" w:before="200"/>
      </w:pPr>
      <w:r>
        <w:t xml:space="preserve">2.1 Design Principles</w:t>
      </w:r>
    </w:p>
    <w:p>
      <w:pPr>
        <w:spacing w:after="140"/>
        <w:jc w:val="both"/>
      </w:pPr>
      <w:r>
        <w:rPr>
          <w:sz w:val="21"/>
          <w:szCs w:val="21"/>
        </w:rPr>
        <w:t xml:space="preserve">Three principles guided the 2.x redesign completed in 2024: a temperature excursion must never be silently dropped, every dispatcher action must be attributable to a named user, and the field engineer should be able to diagnose a gateway fault without cloud connectivity.</w:t>
      </w:r>
    </w:p>
    <w:p>
      <w:pPr>
        <w:spacing w:after="140"/>
        <w:jc w:val="both"/>
      </w:pPr>
      <w:r>
        <w:rPr>
          <w:sz w:val="21"/>
          <w:szCs w:val="21"/>
        </w:rPr>
        <w:t xml:space="preserve">The previous platform, ColdTrace 1.4, violated the third principle because diagnostics required a live connection to the cloud dashboard; version 2.0 introduced an on-device diagnostic mode accessible over Bluetooth from a technician's phone.</w:t>
      </w:r>
    </w:p>
    <w:p>
      <w:pPr>
        <w:pStyle w:val="Heading2"/>
        <w:spacing w:after="100" w:before="200"/>
      </w:pPr>
      <w:r>
        <w:t xml:space="preserve">2.2 Redundancy Model</w:t>
      </w:r>
    </w:p>
    <w:p>
      <w:pPr>
        <w:spacing w:after="140"/>
        <w:jc w:val="both"/>
      </w:pPr>
      <w:r>
        <w:rPr>
          <w:sz w:val="21"/>
          <w:szCs w:val="21"/>
        </w:rPr>
        <w:t xml:space="preserve">The Tier 2 ingestion cluster runs active-active across 2 availability zones, unlike a simple active-standby pair, because MQTT message ingestion tolerates concurrent writers without the conflict risk a stateful alarm engine would carry.</w:t>
      </w:r>
    </w:p>
    <w:p>
      <w:pPr>
        <w:spacing w:after="140"/>
        <w:jc w:val="both"/>
      </w:pPr>
      <w:r>
        <w:rPr>
          <w:sz w:val="21"/>
          <w:szCs w:val="21"/>
        </w:rPr>
        <w:t xml:space="preserve">Failover of ingestion traffic from one availability zone to the other completes within a target of 15 seconds, verified automatically every 6 hours by a synthetic message injected into the pipeline.</w:t>
      </w:r>
    </w:p>
    <w:p>
      <w:pPr>
        <w:pStyle w:val="Heading2"/>
        <w:spacing w:after="100" w:before="200"/>
      </w:pPr>
      <w:r>
        <w:t xml:space="preserve">2.3 Dispatcher Portal Access</w:t>
      </w:r>
    </w:p>
    <w:p>
      <w:pPr>
        <w:spacing w:after="140"/>
        <w:jc w:val="both"/>
      </w:pPr>
      <w:r>
        <w:rPr>
          <w:sz w:val="21"/>
          <w:szCs w:val="21"/>
        </w:rPr>
        <w:t xml:space="preserve">Each of the 6 regional depots runs 3 to 5 dispatcher workstations depending on depot size, all connecting to the Tier 2 cluster over a VPN tunnel rather than a direct internet route.</w:t>
      </w:r>
    </w:p>
    <w:p>
      <w:pPr>
        <w:spacing w:after="140"/>
        <w:jc w:val="both"/>
      </w:pPr>
      <w:r>
        <w:rPr>
          <w:sz w:val="21"/>
          <w:szCs w:val="21"/>
        </w:rPr>
        <w:t xml:space="preserve">A dispatcher's manual override of an alert, such as extending a temperature threshold for a specific load, is logged with the workstation's depot code in addition to the dispatcher's own login identity.</w:t>
      </w:r>
    </w:p>
    <w:p>
      <w:pPr>
        <w:pStyle w:val="Heading1"/>
        <w:spacing w:after="120" w:before="320"/>
      </w:pPr>
      <w:r>
        <w:t xml:space="preserve">3. Fleet and Hardware Inventory</w:t>
      </w:r>
    </w:p>
    <w:p>
      <w:pPr>
        <w:spacing w:after="140"/>
        <w:jc w:val="both"/>
      </w:pPr>
      <w:r>
        <w:rPr>
          <w:sz w:val="21"/>
          <w:szCs w:val="21"/>
        </w:rPr>
        <w:t xml:space="preserve">Each refrigerated trailer carries a ColdTrace Edge Gateway, model CE-310, running firmware version 1.9.4 as of the last fleet-wide OTA update completed 6 January 2025.</w:t>
      </w:r>
    </w:p>
    <w:p>
      <w:pPr>
        <w:spacing w:after="140"/>
        <w:jc w:val="both"/>
      </w:pPr>
      <w:r>
        <w:rPr>
          <w:sz w:val="21"/>
          <w:szCs w:val="21"/>
        </w:rPr>
        <w:t xml:space="preserve">Every trailer is fitted with 3 Thermatrak TT-500 temperature probes, positioned at the front, middle and rear of the cargo area, plus 1 door sensor and 1 GPS unit integrated into the same CE-310 gateway.</w:t>
      </w:r>
    </w:p>
    <w:p>
      <w:pPr>
        <w:spacing w:after="80" w:before="160"/>
      </w:pPr>
      <w:r>
        <w:rPr>
          <w:i/>
          <w:iCs/>
          <w:sz w:val="19"/>
          <w:szCs w:val="19"/>
        </w:rPr>
        <w:t xml:space="preserve">Table 3. Fleet hardware summary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40"/>
        <w:gridCol w:w="2340"/>
        <w:gridCol w:w="2340"/>
        <w:gridCol w:w="2340"/>
      </w:tblGrid>
      <w:tr>
        <w:trPr>
          <w:tblHeader/>
        </w:trPr>
        <w:tc>
          <w:tcPr>
            <w:tcW w:type="dxa" w:w="2340"/>
            <w:shd w:fill="2B2B2B" w:val="clear"/>
            <w:tcMar>
              <w:top w:type="dxa" w:w="60"/>
              <w:left w:type="dxa" w:w="100"/>
              <w:bottom w:type="dxa" w:w="60"/>
              <w:right w:type="dxa" w:w="100"/>
            </w:tcMar>
          </w:tcPr>
          <w:p>
            <w:r>
              <w:rPr>
                <w:b/>
                <w:bCs/>
                <w:color w:val="FFFFFF"/>
                <w:sz w:val="20"/>
                <w:szCs w:val="20"/>
              </w:rPr>
              <w:t xml:space="preserve">Asset type</w:t>
            </w:r>
          </w:p>
        </w:tc>
        <w:tc>
          <w:tcPr>
            <w:tcW w:type="dxa" w:w="2340"/>
            <w:shd w:fill="2B2B2B" w:val="clear"/>
            <w:tcMar>
              <w:top w:type="dxa" w:w="60"/>
              <w:left w:type="dxa" w:w="100"/>
              <w:bottom w:type="dxa" w:w="60"/>
              <w:right w:type="dxa" w:w="100"/>
            </w:tcMar>
          </w:tcPr>
          <w:p>
            <w:r>
              <w:rPr>
                <w:b/>
                <w:bCs/>
                <w:color w:val="FFFFFF"/>
                <w:sz w:val="20"/>
                <w:szCs w:val="20"/>
              </w:rPr>
              <w:t xml:space="preserve">Count</w:t>
            </w:r>
          </w:p>
        </w:tc>
        <w:tc>
          <w:tcPr>
            <w:tcW w:type="dxa" w:w="2340"/>
            <w:shd w:fill="2B2B2B" w:val="clear"/>
            <w:tcMar>
              <w:top w:type="dxa" w:w="60"/>
              <w:left w:type="dxa" w:w="100"/>
              <w:bottom w:type="dxa" w:w="60"/>
              <w:right w:type="dxa" w:w="100"/>
            </w:tcMar>
          </w:tcPr>
          <w:p>
            <w:r>
              <w:rPr>
                <w:b/>
                <w:bCs/>
                <w:color w:val="FFFFFF"/>
                <w:sz w:val="20"/>
                <w:szCs w:val="20"/>
              </w:rPr>
              <w:t xml:space="preserve">Model</w:t>
            </w:r>
          </w:p>
        </w:tc>
        <w:tc>
          <w:tcPr>
            <w:tcW w:type="dxa" w:w="2340"/>
            <w:shd w:fill="2B2B2B" w:val="clear"/>
            <w:tcMar>
              <w:top w:type="dxa" w:w="60"/>
              <w:left w:type="dxa" w:w="100"/>
              <w:bottom w:type="dxa" w:w="60"/>
              <w:right w:type="dxa" w:w="100"/>
            </w:tcMar>
          </w:tcPr>
          <w:p>
            <w:r>
              <w:rPr>
                <w:b/>
                <w:bCs/>
                <w:color w:val="FFFFFF"/>
                <w:sz w:val="20"/>
                <w:szCs w:val="20"/>
              </w:rPr>
              <w:t xml:space="preserve">Firmware</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Refrigerated trailer</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212</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N/A</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N/A</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Tractor unit</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340</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N/A</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N/A</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Edge gateway</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340</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ColdTrace CE-310</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1.9.4</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Temperature probe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636</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Thermatrak TT-500</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N/A (passive sensor)</w:t>
            </w:r>
          </w:p>
        </w:tc>
      </w:tr>
    </w:tbl>
    <w:p>
      <w:pPr>
        <w:spacing w:after="160"/>
      </w:pPr>
    </w:p>
    <w:p>
      <w:pPr>
        <w:pStyle w:val="Heading2"/>
        <w:spacing w:after="100" w:before="200"/>
      </w:pPr>
      <w:r>
        <w:t xml:space="preserve">3.1 Power Systems</w:t>
      </w:r>
    </w:p>
    <w:p>
      <w:pPr>
        <w:spacing w:after="140"/>
        <w:jc w:val="both"/>
      </w:pPr>
      <w:r>
        <w:rPr>
          <w:sz w:val="21"/>
          <w:szCs w:val="21"/>
        </w:rPr>
        <w:t xml:space="preserve">Each CE-310 gateway draws power from the trailer's reefer unit battery, backed by an internal 3.7-volt lithium cell rated for 36 hours of autonomous operation if the reefer battery is disconnected.</w:t>
      </w:r>
    </w:p>
    <w:p>
      <w:pPr>
        <w:spacing w:after="140"/>
        <w:jc w:val="both"/>
      </w:pPr>
      <w:r>
        <w:rPr>
          <w:sz w:val="21"/>
          <w:szCs w:val="21"/>
        </w:rPr>
        <w:t xml:space="preserve">A gateway's cold start delay, the time from power-up to the first valid MQTT publish, is 45 seconds under normal conditions and up to 80 seconds if a firmware integrity check runs following an unclean shutdown.</w:t>
      </w:r>
    </w:p>
    <w:p>
      <w:pPr>
        <w:pStyle w:val="Heading2"/>
        <w:spacing w:after="100" w:before="200"/>
      </w:pPr>
      <w:r>
        <w:t xml:space="preserve">3.2 Environmental Rating</w:t>
      </w:r>
    </w:p>
    <w:p>
      <w:pPr>
        <w:spacing w:after="140"/>
        <w:jc w:val="both"/>
      </w:pPr>
      <w:r>
        <w:rPr>
          <w:sz w:val="21"/>
          <w:szCs w:val="21"/>
        </w:rPr>
        <w:t xml:space="preserve">The CE-310 enclosure carries an IP67 rating and is specified to operate between minus 40 and 70 degrees Celsius, covering the full range of both frozen and ambient trailer configurations Northline operates.</w:t>
      </w:r>
    </w:p>
    <w:p>
      <w:pPr>
        <w:pStyle w:val="Heading1"/>
        <w:spacing w:after="120" w:before="320"/>
      </w:pPr>
      <w:r>
        <w:t xml:space="preserve">4. Communication Protocols and Network Topology</w:t>
      </w:r>
    </w:p>
    <w:p>
      <w:pPr>
        <w:spacing w:after="140"/>
        <w:jc w:val="both"/>
      </w:pPr>
      <w:r>
        <w:rPr>
          <w:sz w:val="21"/>
          <w:szCs w:val="21"/>
        </w:rPr>
        <w:t xml:space="preserve">Gateways publish sensor readings over MQTT using LTE-M as the primary cellular bearer, with Iridium satellite as fallback for routes outside cellular coverage.</w:t>
      </w:r>
    </w:p>
    <w:p>
      <w:pPr>
        <w:pStyle w:val="Heading2"/>
        <w:spacing w:after="100" w:before="200"/>
      </w:pPr>
      <w:r>
        <w:t xml:space="preserve">4.1 Cellular Primary Link</w:t>
      </w:r>
    </w:p>
    <w:p>
      <w:pPr>
        <w:spacing w:after="140"/>
        <w:jc w:val="both"/>
      </w:pPr>
      <w:r>
        <w:rPr>
          <w:sz w:val="21"/>
          <w:szCs w:val="21"/>
        </w:rPr>
        <w:t xml:space="preserve">Every gateway maintains a heartbeat interval of 30 seconds to the ingestion cluster; missing 4 consecutive heartbeats, spanning 120 seconds, marks a gateway as offline on the dispatcher portal.</w:t>
      </w:r>
    </w:p>
    <w:p>
      <w:pPr>
        <w:spacing w:after="140"/>
        <w:jc w:val="both"/>
      </w:pPr>
      <w:r>
        <w:rPr>
          <w:sz w:val="21"/>
          <w:szCs w:val="21"/>
        </w:rPr>
        <w:t xml:space="preserve">All MQTT payloads carry a CRC-32 checksum; a gateway logging more than 30 checksum failures in a rolling 24-hour period is flagged for a hardware inspection under work order category NL-WO-GATEWAY.</w:t>
      </w:r>
    </w:p>
    <w:p>
      <w:pPr>
        <w:pStyle w:val="Heading2"/>
        <w:spacing w:after="100" w:before="200"/>
      </w:pPr>
      <w:r>
        <w:t xml:space="preserve">4.2 Satellite Fallback</w:t>
      </w:r>
    </w:p>
    <w:p>
      <w:pPr>
        <w:spacing w:after="140"/>
        <w:jc w:val="both"/>
      </w:pPr>
      <w:r>
        <w:rPr>
          <w:sz w:val="21"/>
          <w:szCs w:val="21"/>
        </w:rPr>
        <w:t xml:space="preserve">If cellular signal strength drops below a threshold of minus 110 dBm for more than 60 seconds, the gateway switches to Iridium satellite messaging within a failover window of 90 seconds.</w:t>
      </w:r>
    </w:p>
    <w:p>
      <w:pPr>
        <w:spacing w:after="140"/>
        <w:jc w:val="both"/>
      </w:pPr>
      <w:r>
        <w:rPr>
          <w:sz w:val="21"/>
          <w:szCs w:val="21"/>
        </w:rPr>
        <w:t xml:space="preserve">Satellite messages are limited to a compressed payload of 340 bytes to control cost, carrying only the 3 temperature readings, door status and GPS coordinates, omitting the diagnostic fields sent over cellular.</w:t>
      </w:r>
    </w:p>
    <w:p>
      <w:pPr>
        <w:pStyle w:val="Heading2"/>
        <w:spacing w:after="100" w:before="200"/>
      </w:pPr>
      <w:r>
        <w:t xml:space="preserve">4.3 Local Buffering and Message Handling</w:t>
      </w:r>
    </w:p>
    <w:p>
      <w:pPr>
        <w:spacing w:after="140"/>
        <w:jc w:val="both"/>
      </w:pPr>
      <w:r>
        <w:rPr>
          <w:sz w:val="21"/>
          <w:szCs w:val="21"/>
        </w:rPr>
        <w:t xml:space="preserve">Local buffering at each gateway holds 96 hours of readings at the default 60-second scan rate, sized to survive the longest historically observed dead zone crossing, a 68-hour stretch on the trans-continental northern route.</w:t>
      </w:r>
    </w:p>
    <w:p>
      <w:pPr>
        <w:spacing w:after="140"/>
        <w:jc w:val="both"/>
      </w:pPr>
      <w:r>
        <w:rPr>
          <w:sz w:val="21"/>
          <w:szCs w:val="21"/>
        </w:rPr>
        <w:t xml:space="preserve">The queue depth limit on the ingestion cluster's message broker is 25,000 messages per topic; once exceeded, the oldest messages are dropped and an internal alert, CT-9004, is raised for the platform team.</w:t>
      </w:r>
    </w:p>
    <w:p>
      <w:pPr>
        <w:pStyle w:val="Heading2"/>
        <w:spacing w:after="100" w:before="200"/>
      </w:pPr>
      <w:r>
        <w:t xml:space="preserve">4.4 Time Synchronisation</w:t>
      </w:r>
    </w:p>
    <w:p>
      <w:pPr>
        <w:spacing w:after="140"/>
        <w:jc w:val="both"/>
      </w:pPr>
      <w:r>
        <w:rPr>
          <w:sz w:val="21"/>
          <w:szCs w:val="21"/>
        </w:rPr>
        <w:t xml:space="preserve">All gateways synchronise against a cloud-hosted NTP service with a time synchronisation tolerance of 2 seconds; a gateway drifting beyond this tolerance has its readings excluded from cross-trailer event correlation until resynchronised.</w:t>
      </w:r>
    </w:p>
    <w:p>
      <w:pPr>
        <w:spacing w:after="140"/>
        <w:jc w:val="both"/>
      </w:pPr>
      <w:r>
        <w:rPr>
          <w:sz w:val="21"/>
          <w:szCs w:val="21"/>
        </w:rPr>
        <w:t xml:space="preserve">A packet loss threshold of 8 percent sustained over a rolling 30-minute window on any gateway's cellular link raises a network-health alert, distinct from the gateway-offline alert described above.</w:t>
      </w:r>
    </w:p>
    <w:p>
      <w:pPr>
        <w:pStyle w:val="Heading2"/>
        <w:spacing w:after="100" w:before="200"/>
      </w:pPr>
      <w:r>
        <w:t xml:space="preserve">4.5 Bandwidth and Data Volume Planning</w:t>
      </w:r>
    </w:p>
    <w:p>
      <w:pPr>
        <w:spacing w:after="140"/>
        <w:jc w:val="both"/>
      </w:pPr>
      <w:r>
        <w:rPr>
          <w:sz w:val="21"/>
          <w:szCs w:val="21"/>
        </w:rPr>
        <w:t xml:space="preserve">A single gateway at the default 60-second scan rate generates approximately 4.1 megabytes of telemetry per day, scaling to roughly 1.4 gigabytes per day across the full 340-gateway fleet.</w:t>
      </w:r>
    </w:p>
    <w:p>
      <w:pPr>
        <w:spacing w:after="140"/>
        <w:jc w:val="both"/>
      </w:pPr>
      <w:r>
        <w:rPr>
          <w:sz w:val="21"/>
          <w:szCs w:val="21"/>
        </w:rPr>
        <w:t xml:space="preserve">The cellular data plan is provisioned per gateway at 2 gigabytes monthly, monitored against an internal 1.6-gigabyte warning threshold, with satellite fallback usage billed and tracked separately due to its materially higher per-byte cost.</w:t>
      </w:r>
    </w:p>
    <w:p>
      <w:pPr>
        <w:pStyle w:val="Heading1"/>
        <w:spacing w:after="120" w:before="320"/>
      </w:pPr>
      <w:r>
        <w:t xml:space="preserve">5. Data Model and Retention Design</w:t>
      </w:r>
    </w:p>
    <w:p>
      <w:pPr>
        <w:pStyle w:val="Heading2"/>
        <w:spacing w:after="100" w:before="200"/>
      </w:pPr>
      <w:r>
        <w:t xml:space="preserve">5.1 Topic Naming Convention</w:t>
      </w:r>
    </w:p>
    <w:p>
      <w:pPr>
        <w:spacing w:after="140"/>
        <w:jc w:val="both"/>
      </w:pPr>
      <w:r>
        <w:rPr>
          <w:sz w:val="21"/>
          <w:szCs w:val="21"/>
        </w:rPr>
        <w:t xml:space="preserve">Every MQTT topic follows the pattern fleet/{trailer_id}/{sensor_type}, for example fleet/TR0142/temp_front for the front probe on trailer TR0142, enforced by a schema validation rule in the ingestion service.</w:t>
      </w:r>
    </w:p>
    <w:p>
      <w:pPr>
        <w:pStyle w:val="Heading2"/>
        <w:spacing w:after="100" w:before="200"/>
      </w:pPr>
      <w:r>
        <w:t xml:space="preserve">5.2 Retention Design</w:t>
      </w:r>
    </w:p>
    <w:p>
      <w:pPr>
        <w:spacing w:after="140"/>
        <w:jc w:val="both"/>
      </w:pPr>
      <w:r>
        <w:rPr>
          <w:sz w:val="21"/>
          <w:szCs w:val="21"/>
        </w:rPr>
        <w:t xml:space="preserve">The retention policy for raw telemetry is 45 days, after which values are rolled up to daily summaries and retained for 3 years to satisfy customer cold-chain compliance contracts.</w:t>
      </w:r>
    </w:p>
    <w:p>
      <w:pPr>
        <w:spacing w:after="140"/>
        <w:jc w:val="both"/>
      </w:pPr>
      <w:r>
        <w:rPr>
          <w:sz w:val="21"/>
          <w:szCs w:val="21"/>
        </w:rPr>
        <w:t xml:space="preserve">Audit log retention, covering dispatcher logins, manual overrides and alert acknowledgements, is set at 3 years, longer than Riverside's comparable audit retention because Northline's largest customer contract requires a 3-year minimum.</w:t>
      </w:r>
    </w:p>
    <w:p>
      <w:pPr>
        <w:spacing w:after="140"/>
        <w:jc w:val="both"/>
      </w:pPr>
      <w:r>
        <w:rPr>
          <w:sz w:val="21"/>
          <w:szCs w:val="21"/>
        </w:rPr>
        <w:t xml:space="preserve">A full backup of the compliance database runs every 6 hours, written to a geographically separate region within 2 hours of completion.</w:t>
      </w:r>
    </w:p>
    <w:p>
      <w:pPr>
        <w:spacing w:after="80" w:before="160"/>
      </w:pPr>
      <w:r>
        <w:rPr>
          <w:i/>
          <w:iCs/>
          <w:sz w:val="19"/>
          <w:szCs w:val="19"/>
        </w:rPr>
        <w:t xml:space="preserve">Table 4. Retention summary by data class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40"/>
        <w:gridCol w:w="2340"/>
        <w:gridCol w:w="2340"/>
        <w:gridCol w:w="2340"/>
      </w:tblGrid>
      <w:tr>
        <w:trPr>
          <w:tblHeader/>
        </w:trPr>
        <w:tc>
          <w:tcPr>
            <w:tcW w:type="dxa" w:w="2340"/>
            <w:shd w:fill="2B2B2B" w:val="clear"/>
            <w:tcMar>
              <w:top w:type="dxa" w:w="60"/>
              <w:left w:type="dxa" w:w="100"/>
              <w:bottom w:type="dxa" w:w="60"/>
              <w:right w:type="dxa" w:w="100"/>
            </w:tcMar>
          </w:tcPr>
          <w:p>
            <w:r>
              <w:rPr>
                <w:b/>
                <w:bCs/>
                <w:color w:val="FFFFFF"/>
                <w:sz w:val="20"/>
                <w:szCs w:val="20"/>
              </w:rPr>
              <w:t xml:space="preserve">Data class</w:t>
            </w:r>
          </w:p>
        </w:tc>
        <w:tc>
          <w:tcPr>
            <w:tcW w:type="dxa" w:w="2340"/>
            <w:shd w:fill="2B2B2B" w:val="clear"/>
            <w:tcMar>
              <w:top w:type="dxa" w:w="60"/>
              <w:left w:type="dxa" w:w="100"/>
              <w:bottom w:type="dxa" w:w="60"/>
              <w:right w:type="dxa" w:w="100"/>
            </w:tcMar>
          </w:tcPr>
          <w:p>
            <w:r>
              <w:rPr>
                <w:b/>
                <w:bCs/>
                <w:color w:val="FFFFFF"/>
                <w:sz w:val="20"/>
                <w:szCs w:val="20"/>
              </w:rPr>
              <w:t xml:space="preserve">Raw retention</w:t>
            </w:r>
          </w:p>
        </w:tc>
        <w:tc>
          <w:tcPr>
            <w:tcW w:type="dxa" w:w="2340"/>
            <w:shd w:fill="2B2B2B" w:val="clear"/>
            <w:tcMar>
              <w:top w:type="dxa" w:w="60"/>
              <w:left w:type="dxa" w:w="100"/>
              <w:bottom w:type="dxa" w:w="60"/>
              <w:right w:type="dxa" w:w="100"/>
            </w:tcMar>
          </w:tcPr>
          <w:p>
            <w:r>
              <w:rPr>
                <w:b/>
                <w:bCs/>
                <w:color w:val="FFFFFF"/>
                <w:sz w:val="20"/>
                <w:szCs w:val="20"/>
              </w:rPr>
              <w:t xml:space="preserve">Aggregated form</w:t>
            </w:r>
          </w:p>
        </w:tc>
        <w:tc>
          <w:tcPr>
            <w:tcW w:type="dxa" w:w="2340"/>
            <w:shd w:fill="2B2B2B" w:val="clear"/>
            <w:tcMar>
              <w:top w:type="dxa" w:w="60"/>
              <w:left w:type="dxa" w:w="100"/>
              <w:bottom w:type="dxa" w:w="60"/>
              <w:right w:type="dxa" w:w="100"/>
            </w:tcMar>
          </w:tcPr>
          <w:p>
            <w:r>
              <w:rPr>
                <w:b/>
                <w:bCs/>
                <w:color w:val="FFFFFF"/>
                <w:sz w:val="20"/>
                <w:szCs w:val="20"/>
              </w:rPr>
              <w:t xml:space="preserve">Aggregated retention</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Temperature and door telemetry</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45 days</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Daily summary</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 years</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Alert and event log</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6 months uncompressed</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None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6 months</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Audit log (logins, overrides)</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 years</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None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 years</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Calibration records</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Indefinite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None</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Indefinite</w:t>
            </w:r>
          </w:p>
        </w:tc>
      </w:tr>
    </w:tbl>
    <w:p>
      <w:pPr>
        <w:spacing w:after="160"/>
      </w:pPr>
    </w:p>
    <w:p>
      <w:pPr>
        <w:pStyle w:val="Heading1"/>
        <w:spacing w:after="120" w:before="320"/>
      </w:pPr>
      <w:r>
        <w:t xml:space="preserve">6. Alarm and Escalation Design</w:t>
      </w:r>
    </w:p>
    <w:p>
      <w:pPr>
        <w:pStyle w:val="Heading2"/>
        <w:spacing w:after="100" w:before="200"/>
      </w:pPr>
      <w:r>
        <w:t xml:space="preserve">6.1 Escalation Procedure</w:t>
      </w:r>
    </w:p>
    <w:p>
      <w:pPr>
        <w:spacing w:after="140"/>
        <w:jc w:val="both"/>
      </w:pPr>
      <w:r>
        <w:rPr>
          <w:sz w:val="21"/>
          <w:szCs w:val="21"/>
        </w:rPr>
        <w:t xml:space="preserve">A temperature deviation of 2.5 degrees Celsius sustained for 12 minutes triggers Tier 2 escalation, paging the on-call Field Engineer and notifying the Cold Chain Compliance Officer simultaneously.</w:t>
      </w:r>
    </w:p>
    <w:p>
      <w:pPr>
        <w:spacing w:after="140"/>
        <w:jc w:val="both"/>
      </w:pPr>
      <w:r>
        <w:rPr>
          <w:sz w:val="21"/>
          <w:szCs w:val="21"/>
        </w:rPr>
        <w:t xml:space="preserve">Once a dispatcher acknowledges an alert, the alarm suppression period is 20 minutes, during which repeat instances of the same alert type are logged but do not re-page.</w:t>
      </w:r>
    </w:p>
    <w:p>
      <w:pPr>
        <w:pStyle w:val="Heading2"/>
        <w:spacing w:after="100" w:before="200"/>
      </w:pPr>
      <w:r>
        <w:t xml:space="preserve">6.2 Nuisance Alert Management</w:t>
      </w:r>
    </w:p>
    <w:p>
      <w:pPr>
        <w:spacing w:after="140"/>
        <w:jc w:val="both"/>
      </w:pPr>
      <w:r>
        <w:rPr>
          <w:sz w:val="21"/>
          <w:szCs w:val="21"/>
        </w:rPr>
        <w:t xml:space="preserve">The platform's design target for the alert system's false positive rate is under 3 percent of total alerts raised in any rolling 30-day window, slightly looser than Riverside's 2 percent target given the higher sensor count per asset.</w:t>
      </w:r>
    </w:p>
    <w:p>
      <w:pPr>
        <w:spacing w:after="140"/>
        <w:jc w:val="both"/>
      </w:pPr>
      <w:r>
        <w:rPr>
          <w:sz w:val="21"/>
          <w:szCs w:val="21"/>
        </w:rPr>
        <w:t xml:space="preserve">Temperature readings apply a dead-band of 0.2 degrees Celsius before a new alert state is evaluated, preventing chatter from probe noise near an alert setpoint.</w:t>
      </w:r>
    </w:p>
    <w:p>
      <w:pPr>
        <w:pStyle w:val="Heading2"/>
        <w:spacing w:after="100" w:before="200"/>
      </w:pPr>
      <w:r>
        <w:t xml:space="preserve">6.3 Alert Routing</w:t>
      </w:r>
    </w:p>
    <w:p>
      <w:pPr>
        <w:spacing w:after="140"/>
        <w:jc w:val="both"/>
      </w:pPr>
      <w:r>
        <w:rPr>
          <w:sz w:val="21"/>
          <w:szCs w:val="21"/>
        </w:rPr>
        <w:t xml:space="preserve">Critical alerts, meaning any confirmed excursion above the customer's contracted threshold, page the on-call Field Engineer through a dedicated service, with SMS as secondary if unacknowledged after 3 minutes.</w:t>
      </w:r>
    </w:p>
    <w:p>
      <w:pPr>
        <w:spacing w:after="140"/>
        <w:jc w:val="both"/>
      </w:pPr>
      <w:r>
        <w:rPr>
          <w:sz w:val="21"/>
          <w:szCs w:val="21"/>
        </w:rPr>
        <w:t xml:space="preserve">The on-call rotation covers 5 Field Engineers across 6 depots on a weekly schedule, with handover occurring every Monday at 07:00.</w:t>
      </w:r>
    </w:p>
    <w:p>
      <w:pPr>
        <w:pStyle w:val="Heading1"/>
        <w:spacing w:after="120" w:before="320"/>
      </w:pPr>
      <w:r>
        <w:t xml:space="preserve">7. Security and Access Control</w:t>
      </w:r>
    </w:p>
    <w:p>
      <w:pPr>
        <w:pStyle w:val="Heading2"/>
        <w:spacing w:after="100" w:before="200"/>
      </w:pPr>
      <w:r>
        <w:t xml:space="preserve">7.1 Roles and Sessions</w:t>
      </w:r>
    </w:p>
    <w:p>
      <w:pPr>
        <w:spacing w:after="140"/>
        <w:jc w:val="both"/>
      </w:pPr>
      <w:r>
        <w:rPr>
          <w:sz w:val="21"/>
          <w:szCs w:val="21"/>
        </w:rPr>
        <w:t xml:space="preserve">The dispatcher portal session times out after 30 minutes of inactivity, requiring re-authentication before further fleet actions are accepted.</w:t>
      </w:r>
    </w:p>
    <w:p>
      <w:pPr>
        <w:spacing w:after="140"/>
        <w:jc w:val="both"/>
      </w:pPr>
      <w:r>
        <w:rPr>
          <w:sz w:val="21"/>
          <w:szCs w:val="21"/>
        </w:rPr>
        <w:t xml:space="preserve">Four defined roles govern platform access: Fleet Dispatcher, Field Engineer, Cold Chain Compliance Officer, and Depot Technician, each with a distinct permission set documented in Appendix A.</w:t>
      </w:r>
    </w:p>
    <w:p>
      <w:pPr>
        <w:pStyle w:val="Heading2"/>
        <w:spacing w:after="100" w:before="200"/>
      </w:pPr>
      <w:r>
        <w:t xml:space="preserve">7.2 API and Integration Security</w:t>
      </w:r>
    </w:p>
    <w:p>
      <w:pPr>
        <w:spacing w:after="140"/>
        <w:jc w:val="both"/>
      </w:pPr>
      <w:r>
        <w:rPr>
          <w:sz w:val="21"/>
          <w:szCs w:val="21"/>
        </w:rPr>
        <w:t xml:space="preserve">API tokens issued to integration clients carry a lifetime of 12 hours. The ingestion rate limit for any single gateway is 1,200 messages per minute; a gateway exceeding this limit is throttled and logged under event code CT-4420 rather than disconnected outright.</w:t>
      </w:r>
    </w:p>
    <w:p>
      <w:pPr>
        <w:pStyle w:val="Heading2"/>
        <w:spacing w:after="100" w:before="200"/>
      </w:pPr>
      <w:r>
        <w:t xml:space="preserve">7.3 Geofencing</w:t>
      </w:r>
    </w:p>
    <w:p>
      <w:pPr>
        <w:spacing w:after="140"/>
        <w:jc w:val="both"/>
      </w:pPr>
      <w:r>
        <w:rPr>
          <w:sz w:val="21"/>
          <w:szCs w:val="21"/>
        </w:rPr>
        <w:t xml:space="preserve">A geofence radius of 500 metres is enforced around each of the 6 regional depots; a trailer detected departing that radius without an active dispatch order raises a security alert routed to the Fleet Dispatcher.</w:t>
      </w:r>
    </w:p>
    <w:p>
      <w:pPr>
        <w:pStyle w:val="Heading2"/>
        <w:spacing w:after="100" w:before="200"/>
      </w:pPr>
      <w:r>
        <w:t xml:space="preserve">7.4 Encryption</w:t>
      </w:r>
    </w:p>
    <w:p>
      <w:pPr>
        <w:spacing w:after="140"/>
        <w:jc w:val="both"/>
      </w:pPr>
      <w:r>
        <w:rPr>
          <w:sz w:val="21"/>
          <w:szCs w:val="21"/>
        </w:rPr>
        <w:t xml:space="preserve">MQTT traffic between gateways and the ingestion cluster is encrypted with TLS 1.3; the compliance database at rest is encrypted using the cloud provider's native key management service, with keys rotated on a 12-month cycle.</w:t>
      </w:r>
    </w:p>
    <w:p>
      <w:pPr>
        <w:spacing w:after="140"/>
        <w:jc w:val="both"/>
      </w:pPr>
      <w:r>
        <w:rPr>
          <w:sz w:val="21"/>
          <w:szCs w:val="21"/>
        </w:rPr>
        <w:t xml:space="preserve">The gateway watchdog timer is set to 10 seconds; if the sensor polling loop exceeds that window, the gateway restarts its sensing process and logs event code CT-6010.</w:t>
      </w:r>
    </w:p>
    <w:p>
      <w:pPr>
        <w:pStyle w:val="Heading1"/>
        <w:spacing w:after="120" w:before="320"/>
      </w:pPr>
      <w:r>
        <w:t xml:space="preserve">8. Calibration and Maintenance Design Philosophy</w:t>
      </w:r>
    </w:p>
    <w:p>
      <w:pPr>
        <w:pStyle w:val="Heading2"/>
        <w:spacing w:after="100" w:before="200"/>
      </w:pPr>
      <w:r>
        <w:t xml:space="preserve">8.1 Calibration Schedule</w:t>
      </w:r>
    </w:p>
    <w:p>
      <w:pPr>
        <w:spacing w:after="140"/>
        <w:jc w:val="both"/>
      </w:pPr>
      <w:r>
        <w:rPr>
          <w:sz w:val="21"/>
          <w:szCs w:val="21"/>
        </w:rPr>
        <w:t xml:space="preserve">The design calibration interval for Thermatrak TT-500 probes is 120 days, based on the manufacturer's stated drift specification of under 0.1 degrees Celsius per year.</w:t>
      </w:r>
    </w:p>
    <w:p>
      <w:pPr>
        <w:spacing w:after="140"/>
        <w:jc w:val="both"/>
      </w:pPr>
      <w:r>
        <w:rPr>
          <w:sz w:val="21"/>
          <w:szCs w:val="21"/>
        </w:rPr>
        <w:t xml:space="preserve">A probe exceeding 120 days since its last calibration is flagged with event code CT-2290 and excluded from the customer-facing compliance report until recalibrated.</w:t>
      </w:r>
    </w:p>
    <w:p>
      <w:pPr>
        <w:pStyle w:val="Heading2"/>
        <w:spacing w:after="100" w:before="200"/>
      </w:pPr>
      <w:r>
        <w:t xml:space="preserve">8.2 Preventive Maintenance</w:t>
      </w:r>
    </w:p>
    <w:p>
      <w:pPr>
        <w:spacing w:after="140"/>
        <w:jc w:val="both"/>
      </w:pPr>
      <w:r>
        <w:rPr>
          <w:sz w:val="21"/>
          <w:szCs w:val="21"/>
        </w:rPr>
        <w:t xml:space="preserve">The scheduled maintenance window for ingestion cluster patching is the first Sunday of each month, 01:00 to 03:00 local time, chosen to fall outside the fleet's peak overnight delivery window.</w:t>
      </w:r>
    </w:p>
    <w:p>
      <w:pPr>
        <w:spacing w:after="140"/>
        <w:jc w:val="both"/>
      </w:pPr>
      <w:r>
        <w:rPr>
          <w:sz w:val="21"/>
          <w:szCs w:val="21"/>
        </w:rPr>
        <w:t xml:space="preserve">Gateway firmware is updated on a monthly cadence over the air, batched by depot to limit the number of trailers with an in-progress update at any one time to no more than 20.</w:t>
      </w:r>
    </w:p>
    <w:p>
      <w:pPr>
        <w:pStyle w:val="Heading2"/>
        <w:spacing w:after="100" w:before="200"/>
      </w:pPr>
      <w:r>
        <w:t xml:space="preserve">8.3 Battery Policy</w:t>
      </w:r>
    </w:p>
    <w:p>
      <w:pPr>
        <w:spacing w:after="140"/>
        <w:jc w:val="both"/>
      </w:pPr>
      <w:r>
        <w:rPr>
          <w:sz w:val="21"/>
          <w:szCs w:val="21"/>
        </w:rPr>
        <w:t xml:space="preserve">Gateway backup batteries are replaced on an 18-month interval regardless of measured condition, shorter than Riverside's 24-month RTU battery interval because the CE-310's lithium cell degrades faster under the trailer's wider temperature swings.</w:t>
      </w:r>
    </w:p>
    <w:p>
      <w:pPr>
        <w:pStyle w:val="Heading1"/>
        <w:spacing w:after="120" w:before="320"/>
      </w:pPr>
      <w:r>
        <w:t xml:space="preserve">9. Disaster Recovery and Business Continuity</w:t>
      </w:r>
    </w:p>
    <w:p>
      <w:pPr>
        <w:spacing w:after="140"/>
        <w:jc w:val="both"/>
      </w:pPr>
      <w:r>
        <w:rPr>
          <w:sz w:val="21"/>
          <w:szCs w:val="21"/>
        </w:rPr>
        <w:t xml:space="preserve">Recovery Procedure CT-R3 governs restoration of the Tier 2 ingestion cluster following a full regional outage, and consists of five steps executed by the on-call platform engineer.</w:t>
      </w:r>
    </w:p>
    <w:p>
      <w:pPr>
        <w:spacing w:after="80"/>
        <w:ind w:left="360"/>
      </w:pPr>
      <w:r>
        <w:rPr>
          <w:sz w:val="21"/>
          <w:szCs w:val="21"/>
        </w:rPr>
        <w:t xml:space="preserve">1. Confirm the secondary availability zone is healthy and accepting MQTT connections.</w:t>
      </w:r>
    </w:p>
    <w:p>
      <w:pPr>
        <w:spacing w:after="80"/>
        <w:ind w:left="360"/>
      </w:pPr>
      <w:r>
        <w:rPr>
          <w:sz w:val="21"/>
          <w:szCs w:val="21"/>
        </w:rPr>
        <w:t xml:space="preserve">2. Redirect the gateway fleet's DNS endpoint to the secondary zone using the runbook script in the platform repository.</w:t>
      </w:r>
    </w:p>
    <w:p>
      <w:pPr>
        <w:spacing w:after="80"/>
        <w:ind w:left="360"/>
      </w:pPr>
      <w:r>
        <w:rPr>
          <w:sz w:val="21"/>
          <w:szCs w:val="21"/>
        </w:rPr>
        <w:t xml:space="preserve">3. Verify at least 300 of the 340 gateways reconnect within 5 minutes of the DNS change propagating.</w:t>
      </w:r>
    </w:p>
    <w:p>
      <w:pPr>
        <w:spacing w:after="80"/>
        <w:ind w:left="360"/>
      </w:pPr>
      <w:r>
        <w:rPr>
          <w:sz w:val="21"/>
          <w:szCs w:val="21"/>
        </w:rPr>
        <w:t xml:space="preserve">4. Replay any buffered messages from gateways that failed over locally during the outage.</w:t>
      </w:r>
    </w:p>
    <w:p>
      <w:pPr>
        <w:spacing w:after="80"/>
        <w:ind w:left="360"/>
      </w:pPr>
      <w:r>
        <w:rPr>
          <w:sz w:val="21"/>
          <w:szCs w:val="21"/>
        </w:rPr>
        <w:t xml:space="preserve">5. Notify the Fleet Dispatcher on shift and log the event under incident category NL-INC-DR.</w:t>
      </w:r>
    </w:p>
    <w:p>
      <w:pPr>
        <w:spacing w:after="100"/>
      </w:pPr>
    </w:p>
    <w:p>
      <w:pPr>
        <w:spacing w:after="140"/>
        <w:jc w:val="both"/>
      </w:pPr>
      <w:r>
        <w:rPr>
          <w:sz w:val="21"/>
          <w:szCs w:val="21"/>
        </w:rPr>
        <w:t xml:space="preserve">Recovery Procedure CT-R3 is targeted to complete within 6 minutes end to end and is tested in full quarterly, most recently on 12 July 2025 with a measured completion time of 5 minutes 50 seconds.</w:t>
      </w:r>
    </w:p>
    <w:p>
      <w:pPr>
        <w:pStyle w:val="Heading1"/>
        <w:spacing w:after="120" w:before="320"/>
      </w:pPr>
      <w:r>
        <w:t xml:space="preserve">10. Testing and Commissioning</w:t>
      </w:r>
    </w:p>
    <w:p>
      <w:pPr>
        <w:spacing w:after="140"/>
        <w:jc w:val="both"/>
      </w:pPr>
      <w:r>
        <w:rPr>
          <w:sz w:val="21"/>
          <w:szCs w:val="21"/>
        </w:rPr>
        <w:t xml:space="preserve">A newly fitted trailer must complete 48 hours of continuous, alert-free operation before being accepted into the production monitoring set.</w:t>
      </w:r>
    </w:p>
    <w:p>
      <w:pPr>
        <w:spacing w:after="140"/>
        <w:jc w:val="both"/>
      </w:pPr>
      <w:r>
        <w:rPr>
          <w:sz w:val="21"/>
          <w:szCs w:val="21"/>
        </w:rPr>
        <w:t xml:space="preserve">Acceptance testing verifies each of the 3 temperature probes against a certified reference thermometer to within 0.2 degrees Celsius, cellular signal strength above minus 100 dBm, and correct topic naming per Section 5.1.</w:t>
      </w:r>
    </w:p>
    <w:p>
      <w:pPr>
        <w:pStyle w:val="Heading1"/>
        <w:spacing w:after="120" w:before="320"/>
      </w:pPr>
      <w:r>
        <w:t xml:space="preserve">11. Vendor Support and Licensing</w:t>
      </w:r>
    </w:p>
    <w:p>
      <w:pPr>
        <w:spacing w:after="140"/>
        <w:jc w:val="both"/>
      </w:pPr>
      <w:r>
        <w:rPr>
          <w:sz w:val="21"/>
          <w:szCs w:val="21"/>
        </w:rPr>
        <w:t xml:space="preserve">The ColdTrace platform is licensed under a 4-year enterprise agreement running through 30 September 2028, covering the 500-gateway capacity tier described in Section 2.</w:t>
      </w:r>
    </w:p>
    <w:p>
      <w:pPr>
        <w:spacing w:after="140"/>
        <w:jc w:val="both"/>
      </w:pPr>
      <w:r>
        <w:rPr>
          <w:sz w:val="21"/>
          <w:szCs w:val="21"/>
        </w:rPr>
        <w:t xml:space="preserve">The vendor's support contract guarantees a 2-hour response time for a Critical-severity ticket, tighter than Riverside's 4-hour AquaGrid commitment, reflecting the perishable-goods stakes of a cold-chain excursion.</w:t>
      </w:r>
    </w:p>
    <w:p>
      <w:pPr>
        <w:pStyle w:val="Heading1"/>
        <w:spacing w:after="120" w:before="320"/>
      </w:pPr>
      <w:r>
        <w:t xml:space="preserve">12. Performance Targets and Service Levels</w:t>
      </w:r>
    </w:p>
    <w:p>
      <w:pPr>
        <w:spacing w:after="140"/>
        <w:jc w:val="both"/>
      </w:pPr>
      <w:r>
        <w:rPr>
          <w:sz w:val="21"/>
          <w:szCs w:val="21"/>
        </w:rPr>
        <w:t xml:space="preserve">The platform's design availability target for the Tier 2 ingestion cluster is 99.9 percent measured annually, equivalent to no more than 8.8 hours of unplanned downtime per year.</w:t>
      </w:r>
    </w:p>
    <w:p>
      <w:pPr>
        <w:spacing w:after="80" w:before="160"/>
      </w:pPr>
      <w:r>
        <w:rPr>
          <w:i/>
          <w:iCs/>
          <w:sz w:val="19"/>
          <w:szCs w:val="19"/>
        </w:rPr>
        <w:t xml:space="preserve">Table 5. Performance targets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tblHeader/>
        </w:trPr>
        <w:tc>
          <w:tcPr>
            <w:tcW w:type="dxa" w:w="3120"/>
            <w:shd w:fill="2B2B2B" w:val="clear"/>
            <w:tcMar>
              <w:top w:type="dxa" w:w="60"/>
              <w:left w:type="dxa" w:w="100"/>
              <w:bottom w:type="dxa" w:w="60"/>
              <w:right w:type="dxa" w:w="100"/>
            </w:tcMar>
          </w:tcPr>
          <w:p>
            <w:r>
              <w:rPr>
                <w:b/>
                <w:bCs/>
                <w:color w:val="FFFFFF"/>
                <w:sz w:val="20"/>
                <w:szCs w:val="20"/>
              </w:rPr>
              <w:t xml:space="preserve">Metric</w:t>
            </w:r>
          </w:p>
        </w:tc>
        <w:tc>
          <w:tcPr>
            <w:tcW w:type="dxa" w:w="3120"/>
            <w:shd w:fill="2B2B2B" w:val="clear"/>
            <w:tcMar>
              <w:top w:type="dxa" w:w="60"/>
              <w:left w:type="dxa" w:w="100"/>
              <w:bottom w:type="dxa" w:w="60"/>
              <w:right w:type="dxa" w:w="100"/>
            </w:tcMar>
          </w:tcPr>
          <w:p>
            <w:r>
              <w:rPr>
                <w:b/>
                <w:bCs/>
                <w:color w:val="FFFFFF"/>
                <w:sz w:val="20"/>
                <w:szCs w:val="20"/>
              </w:rPr>
              <w:t xml:space="preserve">Target</w:t>
            </w:r>
          </w:p>
        </w:tc>
        <w:tc>
          <w:tcPr>
            <w:tcW w:type="dxa" w:w="3120"/>
            <w:shd w:fill="2B2B2B" w:val="clear"/>
            <w:tcMar>
              <w:top w:type="dxa" w:w="60"/>
              <w:left w:type="dxa" w:w="100"/>
              <w:bottom w:type="dxa" w:w="60"/>
              <w:right w:type="dxa" w:w="100"/>
            </w:tcMar>
          </w:tcPr>
          <w:p>
            <w:r>
              <w:rPr>
                <w:b/>
                <w:bCs/>
                <w:color w:val="FFFFFF"/>
                <w:sz w:val="20"/>
                <w:szCs w:val="20"/>
              </w:rPr>
              <w:t xml:space="preserve">Measurement window</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Tier 2 cluster availability</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99.9%</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Annual</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Gateway-to-portal latency (95th percentile)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&lt; 5 seconds</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Per publish cycle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Alert false positive rate</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&lt; 3%</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Rolling 30 days</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Recovery Procedure CT-R3 completion</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&lt; 6 minutes</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Per DR test</w:t>
            </w:r>
          </w:p>
        </w:tc>
      </w:tr>
    </w:tbl>
    <w:p>
      <w:pPr>
        <w:spacing w:after="160"/>
      </w:pPr>
    </w:p>
    <w:p>
      <w:pPr>
        <w:pStyle w:val="Heading1"/>
        <w:spacing w:after="120" w:before="320"/>
      </w:pPr>
      <w:r>
        <w:t xml:space="preserve">13. Cold Chain Compliance</w:t>
      </w:r>
    </w:p>
    <w:p>
      <w:pPr>
        <w:spacing w:after="140"/>
        <w:jc w:val="both"/>
      </w:pPr>
      <w:r>
        <w:rPr>
          <w:sz w:val="21"/>
          <w:szCs w:val="21"/>
        </w:rPr>
        <w:t xml:space="preserve">The platform's temperature logging exists primarily to support customer cold-chain compliance audits, which review a random sample of 20 trailers' logs each quarter.</w:t>
      </w:r>
    </w:p>
    <w:p>
      <w:pPr>
        <w:spacing w:after="140"/>
        <w:jc w:val="both"/>
      </w:pPr>
      <w:r>
        <w:rPr>
          <w:sz w:val="21"/>
          <w:szCs w:val="21"/>
        </w:rPr>
        <w:t xml:space="preserve">The most recent customer audit, conducted 14 August 2025, reviewed 20 randomly selected trailer logs and found all 20 within contracted excursion limits for the audit period.</w:t>
      </w:r>
    </w:p>
    <w:p>
      <w:pPr>
        <w:spacing w:after="140"/>
        <w:jc w:val="both"/>
      </w:pPr>
      <w:r>
        <w:rPr>
          <w:sz w:val="21"/>
          <w:szCs w:val="21"/>
        </w:rPr>
        <w:t xml:space="preserve">A confirmed excursion above the customer's contracted threshold requires a written incident report within 24 hours, filed by the Cold Chain Compliance Officer regardless of whether the load was ultimately rejected.</w:t>
      </w:r>
    </w:p>
    <w:p>
      <w:pPr>
        <w:pStyle w:val="Heading1"/>
        <w:spacing w:after="120" w:before="320"/>
      </w:pPr>
      <w:r>
        <w:t xml:space="preserve">14. Change Management and Revision History</w:t>
      </w:r>
    </w:p>
    <w:p>
      <w:pPr>
        <w:spacing w:after="80" w:before="160"/>
      </w:pPr>
      <w:r>
        <w:rPr>
          <w:i/>
          <w:iCs/>
          <w:sz w:val="19"/>
          <w:szCs w:val="19"/>
        </w:rPr>
        <w:t xml:space="preserve">Table 6. Revision history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120"/>
        <w:gridCol w:w="3120"/>
        <w:gridCol w:w="3120"/>
      </w:tblGrid>
      <w:tr>
        <w:trPr>
          <w:tblHeader/>
        </w:trPr>
        <w:tc>
          <w:tcPr>
            <w:tcW w:type="dxa" w:w="3120"/>
            <w:shd w:fill="2B2B2B" w:val="clear"/>
            <w:tcMar>
              <w:top w:type="dxa" w:w="60"/>
              <w:left w:type="dxa" w:w="100"/>
              <w:bottom w:type="dxa" w:w="60"/>
              <w:right w:type="dxa" w:w="100"/>
            </w:tcMar>
          </w:tcPr>
          <w:p>
            <w:r>
              <w:rPr>
                <w:b/>
                <w:bCs/>
                <w:color w:val="FFFFFF"/>
                <w:sz w:val="20"/>
                <w:szCs w:val="20"/>
              </w:rPr>
              <w:t xml:space="preserve">Version</w:t>
            </w:r>
          </w:p>
        </w:tc>
        <w:tc>
          <w:tcPr>
            <w:tcW w:type="dxa" w:w="3120"/>
            <w:shd w:fill="2B2B2B" w:val="clear"/>
            <w:tcMar>
              <w:top w:type="dxa" w:w="60"/>
              <w:left w:type="dxa" w:w="100"/>
              <w:bottom w:type="dxa" w:w="60"/>
              <w:right w:type="dxa" w:w="100"/>
            </w:tcMar>
          </w:tcPr>
          <w:p>
            <w:r>
              <w:rPr>
                <w:b/>
                <w:bCs/>
                <w:color w:val="FFFFFF"/>
                <w:sz w:val="20"/>
                <w:szCs w:val="20"/>
              </w:rPr>
              <w:t xml:space="preserve">Date</w:t>
            </w:r>
          </w:p>
        </w:tc>
        <w:tc>
          <w:tcPr>
            <w:tcW w:type="dxa" w:w="3120"/>
            <w:shd w:fill="2B2B2B" w:val="clear"/>
            <w:tcMar>
              <w:top w:type="dxa" w:w="60"/>
              <w:left w:type="dxa" w:w="100"/>
              <w:bottom w:type="dxa" w:w="60"/>
              <w:right w:type="dxa" w:w="100"/>
            </w:tcMar>
          </w:tcPr>
          <w:p>
            <w:r>
              <w:rPr>
                <w:b/>
                <w:bCs/>
                <w:color w:val="FFFFFF"/>
                <w:sz w:val="20"/>
                <w:szCs w:val="20"/>
              </w:rPr>
              <w:t xml:space="preserve">Summary</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1.4</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3 March 2022</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Initial platform release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2.0</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8 February 2024</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Introduced on-device diagnostic mode</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2.5</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19 August 2024</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Added Iridium satellite fallback</w:t>
            </w:r>
          </w:p>
        </w:tc>
      </w:tr>
      <w:tr>
        <w:tc>
          <w:tcPr>
            <w:tcW w:type="dxa" w:w="3120"/>
            <w:shd w:fill="FFFFFF" w:val="clear"/>
            <w:tcMar>
              <w:top w:type="dxa" w:w="60"/>
              <w:left w:type="dxa" w:w="100"/>
              <w:bottom w:type="dxa" w:w="60"/>
              <w:right w:type="dxa" w:w="100"/>
            </w:tcMar>
          </w:tcPr>
          <w:p>
            <w:r>
              <w:rPr>
                <w:b w:val="false"/>
                <w:bCs w:val="false"/>
                <w:color w:val="000000"/>
                <w:sz w:val="20"/>
                <w:szCs w:val="20"/>
              </w:rPr>
              <w:t xml:space="preserve">2.6.3</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9 January 2025</w:t>
            </w:r>
          </w:p>
        </w:tc>
        <w:tc>
          <w:tcPr>
            <w:tcW w:type="dxa" w:w="3120"/>
            <w:shd w:fill="FFFFFF" w:val="clear"/>
            <w:tcMar>
              <w:top w:type="dxa" w:w="60"/>
              <w:left w:type="dxa" w:w="100"/>
              <w:bottom w:type="dxa" w:w="60"/>
              <w:right w:type="dxa" w:w="100"/>
            </w:tcMar>
          </w:tcPr>
          <w:p>
            <w:r>
              <w:rPr>
                <w:b w:val="false"/>
                <w:bCs w:val="false"/>
                <w:color w:val="000000"/>
                <w:sz w:val="20"/>
                <w:szCs w:val="20"/>
              </w:rPr>
              <w:t xml:space="preserve">Tightened battery replacement interval to 18 months</w:t>
            </w:r>
          </w:p>
        </w:tc>
      </w:tr>
    </w:tbl>
    <w:p>
      <w:pPr>
        <w:spacing w:after="160"/>
      </w:pPr>
    </w:p>
    <w:p>
      <w:pPr>
        <w:pStyle w:val="Heading1"/>
        <w:spacing w:after="120" w:before="320"/>
      </w:pPr>
      <w:r>
        <w:t xml:space="preserve">Appendix A: Glossary</w:t>
      </w:r>
    </w:p>
    <w:p>
      <w:pPr>
        <w:pStyle w:val="ListParagraph"/>
        <w:numPr>
          <w:ilvl w:val="0"/>
          <w:numId w:val="1"/>
        </w:numPr>
        <w:spacing w:after="60"/>
      </w:pPr>
      <w:r>
        <w:rPr>
          <w:sz w:val="21"/>
          <w:szCs w:val="21"/>
        </w:rPr>
        <w:t xml:space="preserve">CE-310: the ColdTrace Edge Gateway model fitted to every trailer.</w:t>
      </w:r>
    </w:p>
    <w:p>
      <w:pPr>
        <w:pStyle w:val="ListParagraph"/>
        <w:numPr>
          <w:ilvl w:val="0"/>
          <w:numId w:val="1"/>
        </w:numPr>
        <w:spacing w:after="60"/>
      </w:pPr>
      <w:r>
        <w:rPr>
          <w:sz w:val="21"/>
          <w:szCs w:val="21"/>
        </w:rPr>
        <w:t xml:space="preserve">TT-500: the Thermatrak temperature probe model, 3 fitted per trailer.</w:t>
      </w:r>
    </w:p>
    <w:p>
      <w:pPr>
        <w:pStyle w:val="ListParagraph"/>
        <w:numPr>
          <w:ilvl w:val="0"/>
          <w:numId w:val="1"/>
        </w:numPr>
        <w:spacing w:after="60"/>
      </w:pPr>
      <w:r>
        <w:rPr>
          <w:sz w:val="21"/>
          <w:szCs w:val="21"/>
        </w:rPr>
        <w:t xml:space="preserve">CT-2290: calibration overdue, raised when a probe passes 120 days since its last calibration record.</w:t>
      </w:r>
    </w:p>
    <w:p>
      <w:pPr>
        <w:pStyle w:val="ListParagraph"/>
        <w:numPr>
          <w:ilvl w:val="0"/>
          <w:numId w:val="1"/>
        </w:numPr>
        <w:spacing w:after="60"/>
      </w:pPr>
      <w:r>
        <w:rPr>
          <w:sz w:val="21"/>
          <w:szCs w:val="21"/>
        </w:rPr>
        <w:t xml:space="preserve">CT-4420: rate limit exceeded on gateway ingestion, logged when the 1,200 messages per minute ceiling is crossed.</w:t>
      </w:r>
    </w:p>
    <w:p>
      <w:pPr>
        <w:pStyle w:val="ListParagraph"/>
        <w:numPr>
          <w:ilvl w:val="0"/>
          <w:numId w:val="1"/>
        </w:numPr>
        <w:spacing w:after="60"/>
      </w:pPr>
      <w:r>
        <w:rPr>
          <w:sz w:val="21"/>
          <w:szCs w:val="21"/>
        </w:rPr>
        <w:t xml:space="preserve">CT-6010: watchdog restart, raised when the sensor polling loop exceeds the 10-second watchdog timer.</w:t>
      </w:r>
    </w:p>
    <w:p>
      <w:pPr>
        <w:pStyle w:val="ListParagraph"/>
        <w:numPr>
          <w:ilvl w:val="0"/>
          <w:numId w:val="1"/>
        </w:numPr>
        <w:spacing w:after="60"/>
      </w:pPr>
      <w:r>
        <w:rPr>
          <w:sz w:val="21"/>
          <w:szCs w:val="21"/>
        </w:rPr>
        <w:t xml:space="preserve">CT-8801: probe disconnect, raised when a temperature probe stops reporting for more than 2 consecutive scan cycles.</w:t>
      </w:r>
    </w:p>
    <w:p>
      <w:pPr>
        <w:pStyle w:val="ListParagraph"/>
        <w:numPr>
          <w:ilvl w:val="0"/>
          <w:numId w:val="1"/>
        </w:numPr>
        <w:spacing w:after="60"/>
      </w:pPr>
      <w:r>
        <w:rPr>
          <w:sz w:val="21"/>
          <w:szCs w:val="21"/>
        </w:rPr>
        <w:t xml:space="preserve">CT-9004: ingestion queue overflow, raised when the 25,000-message queue depth limit is exceeded.</w:t>
      </w:r>
    </w:p>
    <w:p>
      <w:pPr>
        <w:spacing w:after="100"/>
      </w:pPr>
    </w:p>
    <w:p>
      <w:pPr>
        <w:pStyle w:val="Heading1"/>
        <w:spacing w:after="120" w:before="320"/>
      </w:pPr>
      <w:r>
        <w:t xml:space="preserve">Appendix B: Fleet Reference Sample</w:t>
      </w:r>
    </w:p>
    <w:p>
      <w:pPr>
        <w:spacing w:after="80" w:before="160"/>
      </w:pPr>
      <w:r>
        <w:rPr>
          <w:i/>
          <w:iCs/>
          <w:sz w:val="19"/>
          <w:szCs w:val="19"/>
        </w:rPr>
        <w:t xml:space="preserve">Table 7. Fleet reference sample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40"/>
        <w:gridCol w:w="2340"/>
        <w:gridCol w:w="2340"/>
        <w:gridCol w:w="2340"/>
      </w:tblGrid>
      <w:tr>
        <w:trPr>
          <w:tblHeader/>
        </w:trPr>
        <w:tc>
          <w:tcPr>
            <w:tcW w:type="dxa" w:w="2340"/>
            <w:shd w:fill="2B2B2B" w:val="clear"/>
            <w:tcMar>
              <w:top w:type="dxa" w:w="60"/>
              <w:left w:type="dxa" w:w="100"/>
              <w:bottom w:type="dxa" w:w="60"/>
              <w:right w:type="dxa" w:w="100"/>
            </w:tcMar>
          </w:tcPr>
          <w:p>
            <w:r>
              <w:rPr>
                <w:b/>
                <w:bCs/>
                <w:color w:val="FFFFFF"/>
                <w:sz w:val="20"/>
                <w:szCs w:val="20"/>
              </w:rPr>
              <w:t xml:space="preserve">Trailer ID</w:t>
            </w:r>
          </w:p>
        </w:tc>
        <w:tc>
          <w:tcPr>
            <w:tcW w:type="dxa" w:w="2340"/>
            <w:shd w:fill="2B2B2B" w:val="clear"/>
            <w:tcMar>
              <w:top w:type="dxa" w:w="60"/>
              <w:left w:type="dxa" w:w="100"/>
              <w:bottom w:type="dxa" w:w="60"/>
              <w:right w:type="dxa" w:w="100"/>
            </w:tcMar>
          </w:tcPr>
          <w:p>
            <w:r>
              <w:rPr>
                <w:b/>
                <w:bCs/>
                <w:color w:val="FFFFFF"/>
                <w:sz w:val="20"/>
                <w:szCs w:val="20"/>
              </w:rPr>
              <w:t xml:space="preserve">Depot</w:t>
            </w:r>
          </w:p>
        </w:tc>
        <w:tc>
          <w:tcPr>
            <w:tcW w:type="dxa" w:w="2340"/>
            <w:shd w:fill="2B2B2B" w:val="clear"/>
            <w:tcMar>
              <w:top w:type="dxa" w:w="60"/>
              <w:left w:type="dxa" w:w="100"/>
              <w:bottom w:type="dxa" w:w="60"/>
              <w:right w:type="dxa" w:w="100"/>
            </w:tcMar>
          </w:tcPr>
          <w:p>
            <w:r>
              <w:rPr>
                <w:b/>
                <w:bCs/>
                <w:color w:val="FFFFFF"/>
                <w:sz w:val="20"/>
                <w:szCs w:val="20"/>
              </w:rPr>
              <w:t xml:space="preserve">Commissioned</w:t>
            </w:r>
          </w:p>
        </w:tc>
        <w:tc>
          <w:tcPr>
            <w:tcW w:type="dxa" w:w="2340"/>
            <w:shd w:fill="2B2B2B" w:val="clear"/>
            <w:tcMar>
              <w:top w:type="dxa" w:w="60"/>
              <w:left w:type="dxa" w:w="100"/>
              <w:bottom w:type="dxa" w:w="60"/>
              <w:right w:type="dxa" w:w="100"/>
            </w:tcMar>
          </w:tcPr>
          <w:p>
            <w:r>
              <w:rPr>
                <w:b/>
                <w:bCs/>
                <w:color w:val="FFFFFF"/>
                <w:sz w:val="20"/>
                <w:szCs w:val="20"/>
              </w:rPr>
              <w:t xml:space="preserve">Last calibration</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TR0031</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Depot North</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12 May 2019</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20 Feb 2025</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TR0088</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Depot North</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4 Sep 2020</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11 Jan 2025</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TR0142</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Depot Central</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30 Nov 2021</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3 Mar 2025</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TR0176</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Depot Central</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6 Jun 2023</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9 Apr 2025</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TR0201</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Depot South</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19 Jan 2025</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19 Jan 2025</w:t>
            </w:r>
          </w:p>
        </w:tc>
      </w:tr>
      <w:tr>
        <w:tc>
          <w:tcPr>
            <w:tcW w:type="dxa" w:w="2340"/>
            <w:shd w:fill="FFFFFF" w:val="clear"/>
            <w:tcMar>
              <w:top w:type="dxa" w:w="60"/>
              <w:left w:type="dxa" w:w="100"/>
              <w:bottom w:type="dxa" w:w="60"/>
              <w:right w:type="dxa" w:w="100"/>
            </w:tcMar>
          </w:tcPr>
          <w:p>
            <w:r>
              <w:rPr>
                <w:b w:val="false"/>
                <w:bCs w:val="false"/>
                <w:color w:val="000000"/>
                <w:sz w:val="20"/>
                <w:szCs w:val="20"/>
              </w:rPr>
              <w:t xml:space="preserve">TR0202</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Depot South</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19 Jan 2025</w:t>
            </w:r>
          </w:p>
        </w:tc>
        <w:tc>
          <w:tcPr>
            <w:tcW w:type="dxa" w:w="2340"/>
            <w:shd w:fill="FFFFFF" w:val="clear"/>
            <w:tcMar>
              <w:top w:type="dxa" w:w="60"/>
              <w:left w:type="dxa" w:w="100"/>
              <w:bottom w:type="dxa" w:w="60"/>
              <w:right w:type="dxa" w:w="100"/>
            </w:tcMar>
          </w:tcPr>
          <w:p>
            <w:r>
              <w:rPr>
                <w:b w:val="false"/>
                <w:bCs w:val="false"/>
                <w:color w:val="000000"/>
                <w:sz w:val="20"/>
                <w:szCs w:val="20"/>
              </w:rPr>
              <w:t xml:space="preserve">19 Jan 2025</w:t>
            </w:r>
          </w:p>
        </w:tc>
      </w:tr>
    </w:tbl>
    <w:p>
      <w:pPr>
        <w:spacing w:after="160"/>
      </w:pPr>
    </w:p>
    <w:p>
      <w:pPr>
        <w:spacing w:after="140"/>
        <w:jc w:val="both"/>
      </w:pPr>
      <w:r>
        <w:rPr>
          <w:sz w:val="21"/>
          <w:szCs w:val="21"/>
        </w:rPr>
        <w:t xml:space="preserve">Trailers TR0201 and TR0202 are the two most recently commissioned units, added to Depot South as part of the January 2025 fleet refresh.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Northline Logistics — Internal Engineering</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NL-TEL-005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2026-09-16T06:56:33.992Z</dcterms:created>
  <dcterms:modified xsi:type="dcterms:W3CDTF">2026-09-16T06:56:33.993Z</dcterms:modified>
</cp:coreProperties>
</file>

<file path=docProps/custom.xml><?xml version="1.0" encoding="utf-8"?>
<Properties xmlns="http://schemas.openxmlformats.org/officeDocument/2006/custom-properties" xmlns:vt="http://schemas.openxmlformats.org/officeDocument/2006/docPropsVTypes"/>
</file>