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55555"/>
          <w:sz w:val="22"/>
          <w:szCs w:val="22"/>
        </w:rPr>
        <w:t xml:space="preserve">Riverside Water Utility — Operations Group</w:t>
      </w:r>
    </w:p>
    <w:p>
      <w:pPr>
        <w:spacing w:after="200"/>
      </w:pPr>
      <w:r>
        <w:rPr>
          <w:b/>
          <w:bCs/>
          <w:sz w:val="40"/>
          <w:szCs w:val="40"/>
        </w:rPr>
        <w:t xml:space="preserve">AquaGrid SCADA Platform: Operations Runbook</w:t>
      </w:r>
    </w:p>
    <w:tbl>
      <w:tblPr>
        <w:tblW w:type="dxa" w:w="9360"/>
        <w:tblBorders>
          <w:top w:val="single" w:color="AAAAAA" w:sz="2"/>
          <w:left w:val="none"/>
          <w:bottom w:val="single" w:color="AAAAAA" w:sz="2"/>
          <w:right w:val="none"/>
          <w:insideH w:val="single" w:color="DDDDDD" w:sz="2"/>
          <w:insideV w:val="none"/>
        </w:tblBorders>
      </w:tblPr>
      <w:tblGrid>
        <w:gridCol w:w="2400"/>
        <w:gridCol w:w="6960"/>
      </w:tblGrid>
      <w:tr>
        <w:tc>
          <w:tcPr>
            <w:tcW w:type="dxa" w:w="2400"/>
            <w:tcMar>
              <w:top w:type="dxa" w:w="40"/>
              <w:left w:type="dxa" w:w="60"/>
              <w:bottom w:type="dxa" w:w="40"/>
              <w:right w:type="dxa" w:w="60"/>
            </w:tcMar>
          </w:tcPr>
          <w:p>
            <w:r>
              <w:rPr>
                <w:b/>
                <w:bCs/>
                <w:sz w:val="19"/>
                <w:szCs w:val="19"/>
              </w:rPr>
              <w:t xml:space="preserve">Document ID</w:t>
            </w:r>
          </w:p>
        </w:tc>
        <w:tc>
          <w:tcPr>
            <w:tcW w:type="dxa" w:w="6960"/>
            <w:tcMar>
              <w:top w:type="dxa" w:w="40"/>
              <w:left w:type="dxa" w:w="60"/>
              <w:bottom w:type="dxa" w:w="40"/>
              <w:right w:type="dxa" w:w="60"/>
            </w:tcMar>
          </w:tcPr>
          <w:p>
            <w:r>
              <w:rPr>
                <w:sz w:val="19"/>
                <w:szCs w:val="19"/>
              </w:rPr>
              <w:t xml:space="preserve">RWU-OPS-007</w:t>
            </w:r>
          </w:p>
        </w:tc>
      </w:tr>
      <w:tr>
        <w:tc>
          <w:tcPr>
            <w:tcW w:type="dxa" w:w="2400"/>
            <w:tcMar>
              <w:top w:type="dxa" w:w="40"/>
              <w:left w:type="dxa" w:w="60"/>
              <w:bottom w:type="dxa" w:w="40"/>
              <w:right w:type="dxa" w:w="60"/>
            </w:tcMar>
          </w:tcPr>
          <w:p>
            <w:r>
              <w:rPr>
                <w:b/>
                <w:bCs/>
                <w:sz w:val="19"/>
                <w:szCs w:val="19"/>
              </w:rPr>
              <w:t xml:space="preserve">Version</w:t>
            </w:r>
          </w:p>
        </w:tc>
        <w:tc>
          <w:tcPr>
            <w:tcW w:type="dxa" w:w="6960"/>
            <w:tcMar>
              <w:top w:type="dxa" w:w="40"/>
              <w:left w:type="dxa" w:w="60"/>
              <w:bottom w:type="dxa" w:w="40"/>
              <w:right w:type="dxa" w:w="60"/>
            </w:tcMar>
          </w:tcPr>
          <w:p>
            <w:r>
              <w:rPr>
                <w:sz w:val="19"/>
                <w:szCs w:val="19"/>
              </w:rPr>
              <w:t xml:space="preserve">2.4</w:t>
            </w:r>
          </w:p>
        </w:tc>
      </w:tr>
      <w:tr>
        <w:tc>
          <w:tcPr>
            <w:tcW w:type="dxa" w:w="2400"/>
            <w:tcMar>
              <w:top w:type="dxa" w:w="40"/>
              <w:left w:type="dxa" w:w="60"/>
              <w:bottom w:type="dxa" w:w="40"/>
              <w:right w:type="dxa" w:w="60"/>
            </w:tcMar>
          </w:tcPr>
          <w:p>
            <w:r>
              <w:rPr>
                <w:b/>
                <w:bCs/>
                <w:sz w:val="19"/>
                <w:szCs w:val="19"/>
              </w:rPr>
              <w:t xml:space="preserve">Last reviewed</w:t>
            </w:r>
          </w:p>
        </w:tc>
        <w:tc>
          <w:tcPr>
            <w:tcW w:type="dxa" w:w="6960"/>
            <w:tcMar>
              <w:top w:type="dxa" w:w="40"/>
              <w:left w:type="dxa" w:w="60"/>
              <w:bottom w:type="dxa" w:w="40"/>
              <w:right w:type="dxa" w:w="60"/>
            </w:tcMar>
          </w:tcPr>
          <w:p>
            <w:r>
              <w:rPr>
                <w:sz w:val="19"/>
                <w:szCs w:val="19"/>
              </w:rPr>
              <w:t xml:space="preserve">2 June 2025</w:t>
            </w:r>
          </w:p>
        </w:tc>
      </w:tr>
      <w:tr>
        <w:tc>
          <w:tcPr>
            <w:tcW w:type="dxa" w:w="2400"/>
            <w:tcMar>
              <w:top w:type="dxa" w:w="40"/>
              <w:left w:type="dxa" w:w="60"/>
              <w:bottom w:type="dxa" w:w="40"/>
              <w:right w:type="dxa" w:w="60"/>
            </w:tcMar>
          </w:tcPr>
          <w:p>
            <w:r>
              <w:rPr>
                <w:b/>
                <w:bCs/>
                <w:sz w:val="19"/>
                <w:szCs w:val="19"/>
              </w:rPr>
              <w:t xml:space="preserve">Classification</w:t>
            </w:r>
          </w:p>
        </w:tc>
        <w:tc>
          <w:tcPr>
            <w:tcW w:type="dxa" w:w="6960"/>
            <w:tcMar>
              <w:top w:type="dxa" w:w="40"/>
              <w:left w:type="dxa" w:w="60"/>
              <w:bottom w:type="dxa" w:w="40"/>
              <w:right w:type="dxa" w:w="60"/>
            </w:tcMar>
          </w:tcPr>
          <w:p>
            <w:r>
              <w:rPr>
                <w:sz w:val="19"/>
                <w:szCs w:val="19"/>
              </w:rPr>
              <w:t xml:space="preserve">Internal Operations</w:t>
            </w:r>
          </w:p>
        </w:tc>
      </w:tr>
      <w:tr>
        <w:tc>
          <w:tcPr>
            <w:tcW w:type="dxa" w:w="2400"/>
            <w:tcMar>
              <w:top w:type="dxa" w:w="40"/>
              <w:left w:type="dxa" w:w="60"/>
              <w:bottom w:type="dxa" w:w="40"/>
              <w:right w:type="dxa" w:w="60"/>
            </w:tcMar>
          </w:tcPr>
          <w:p>
            <w:r>
              <w:rPr>
                <w:b/>
                <w:bCs/>
                <w:sz w:val="19"/>
                <w:szCs w:val="19"/>
              </w:rPr>
              <w:t xml:space="preserve">Owner</w:t>
            </w:r>
          </w:p>
        </w:tc>
        <w:tc>
          <w:tcPr>
            <w:tcW w:type="dxa" w:w="6960"/>
            <w:tcMar>
              <w:top w:type="dxa" w:w="40"/>
              <w:left w:type="dxa" w:w="60"/>
              <w:bottom w:type="dxa" w:w="40"/>
              <w:right w:type="dxa" w:w="60"/>
            </w:tcMar>
          </w:tcPr>
          <w:p>
            <w:r>
              <w:rPr>
                <w:sz w:val="19"/>
                <w:szCs w:val="19"/>
              </w:rPr>
              <w:t xml:space="preserve">Operations Group</w:t>
            </w:r>
          </w:p>
        </w:tc>
      </w:tr>
    </w:tbl>
    <w:p>
      <w:pPr>
        <w:spacing w:after="300"/>
      </w:pPr>
    </w:p>
    <w:p>
      <w:pPr>
        <w:pStyle w:val="Heading1"/>
        <w:spacing w:after="120" w:before="320"/>
      </w:pPr>
      <w:r>
        <w:t xml:space="preserve">1. Purpose and Audience</w:t>
      </w:r>
    </w:p>
    <w:p>
      <w:pPr>
        <w:spacing w:after="140"/>
        <w:jc w:val="both"/>
      </w:pPr>
      <w:r>
        <w:rPr>
          <w:sz w:val="21"/>
          <w:szCs w:val="21"/>
        </w:rPr>
        <w:t xml:space="preserve">This runbook governs day-to-day operation of the AquaGrid SCADA Platform at Riverside Water Utility. It is written for SCADA Operators, Shift Supervisors, and On-Call Technicians, and assumes familiarity with the HMI but not with the underlying architecture.</w:t>
      </w:r>
    </w:p>
    <w:p>
      <w:pPr>
        <w:spacing w:after="140"/>
        <w:jc w:val="both"/>
      </w:pPr>
      <w:r>
        <w:rPr>
          <w:sz w:val="21"/>
          <w:szCs w:val="21"/>
        </w:rPr>
        <w:t xml:space="preserve">The system architecture and design rationale behind the limits referenced here are documented separately in RWU-ENG-014. Where a number in this runbook differs from RWU-ENG-014, follow this runbook for field action and flag the discrepancy to the Water Systems Engineering group at the next weekly sync.</w:t>
      </w:r>
    </w:p>
    <w:p>
      <w:pPr>
        <w:spacing w:after="140"/>
        <w:jc w:val="both"/>
      </w:pPr>
      <w:r>
        <w:rPr>
          <w:sz w:val="21"/>
          <w:szCs w:val="21"/>
        </w:rPr>
        <w:t xml:space="preserve">This edition supersedes version 2.3, issued 4 December 2024, and reflects the revised escalation and calibration guidance issued in Q2 2025 following the after-action review of the March 2025 north zone communication outage.</w:t>
      </w:r>
    </w:p>
    <w:p>
      <w:pPr>
        <w:pStyle w:val="Heading1"/>
        <w:spacing w:after="120" w:before="320"/>
      </w:pPr>
      <w:r>
        <w:t xml:space="preserve">2. Daily and Shift Procedures</w:t>
      </w:r>
    </w:p>
    <w:p>
      <w:pPr>
        <w:spacing w:after="140"/>
        <w:jc w:val="both"/>
      </w:pPr>
      <w:r>
        <w:rPr>
          <w:sz w:val="21"/>
          <w:szCs w:val="21"/>
        </w:rPr>
        <w:t xml:space="preserve">Every shift begins with a handover briefing at the control room, covering open alarms, stations in maintenance mode, and any outstanding work orders from the previous shift.</w:t>
      </w:r>
    </w:p>
    <w:p>
      <w:pPr>
        <w:spacing w:after="80"/>
        <w:ind w:left="360"/>
      </w:pPr>
      <w:r>
        <w:rPr>
          <w:sz w:val="21"/>
          <w:szCs w:val="21"/>
        </w:rPr>
        <w:t xml:space="preserve">1. Review the HMI overview screen for any station shown in a communication-failed or alarm state.</w:t>
      </w:r>
    </w:p>
    <w:p>
      <w:pPr>
        <w:spacing w:after="80"/>
        <w:ind w:left="360"/>
      </w:pPr>
      <w:r>
        <w:rPr>
          <w:sz w:val="21"/>
          <w:szCs w:val="21"/>
        </w:rPr>
        <w:t xml:space="preserve">2. Confirm the previous shift's handover form is complete and signed, filed under /opt/aquagrid/logs/handover/.</w:t>
      </w:r>
    </w:p>
    <w:p>
      <w:pPr>
        <w:spacing w:after="80"/>
        <w:ind w:left="360"/>
      </w:pPr>
      <w:r>
        <w:rPr>
          <w:sz w:val="21"/>
          <w:szCs w:val="21"/>
        </w:rPr>
        <w:t xml:space="preserve">3. Check the historian ingestion status panel for any tag showing stale data older than 10 minutes.</w:t>
      </w:r>
    </w:p>
    <w:p>
      <w:pPr>
        <w:spacing w:after="80"/>
        <w:ind w:left="360"/>
      </w:pPr>
      <w:r>
        <w:rPr>
          <w:sz w:val="21"/>
          <w:szCs w:val="21"/>
        </w:rPr>
        <w:t xml:space="preserve">4. Verify the Tier 2 active server matches the expected primary, since an undetected failover overnight should be logged even if service was not interrupted.</w:t>
      </w:r>
    </w:p>
    <w:p>
      <w:pPr>
        <w:spacing w:after="80"/>
        <w:ind w:left="360"/>
      </w:pPr>
      <w:r>
        <w:rPr>
          <w:sz w:val="21"/>
          <w:szCs w:val="21"/>
        </w:rPr>
        <w:t xml:space="preserve">5. Sign on to the HMI under your own Active Directory account; shared logins are not permitted under any circumstance.</w:t>
      </w:r>
    </w:p>
    <w:p>
      <w:pPr>
        <w:spacing w:after="100"/>
      </w:pPr>
    </w:p>
    <w:p>
      <w:pPr>
        <w:spacing w:after="140"/>
        <w:jc w:val="both"/>
      </w:pPr>
      <w:r>
        <w:rPr>
          <w:sz w:val="21"/>
          <w:szCs w:val="21"/>
        </w:rPr>
        <w:t xml:space="preserve">The on-call rotation covers 4 engineers on a weekly schedule, with handover occurring every Monday at 08:00 and logged on the paper form kept in the control room binder.</w:t>
      </w:r>
    </w:p>
    <w:p>
      <w:pPr>
        <w:spacing w:after="140"/>
        <w:jc w:val="both"/>
      </w:pPr>
      <w:r>
        <w:rPr>
          <w:sz w:val="21"/>
          <w:szCs w:val="21"/>
        </w:rPr>
        <w:t xml:space="preserve">An operator's HMI session times out after 15 minutes of inactivity; do not disable the screen lock as a workaround, since disabling it removes the session's audit trail linkage described in RWU-ENG-014 Section 7.1.</w:t>
      </w:r>
    </w:p>
    <w:p>
      <w:pPr>
        <w:pStyle w:val="Heading2"/>
        <w:spacing w:after="100" w:before="200"/>
      </w:pPr>
      <w:r>
        <w:t xml:space="preserve">2.1 End-of-Shift Checklist</w:t>
      </w:r>
    </w:p>
    <w:p>
      <w:pPr>
        <w:spacing w:after="80"/>
        <w:ind w:left="360"/>
      </w:pPr>
      <w:r>
        <w:rPr>
          <w:sz w:val="21"/>
          <w:szCs w:val="21"/>
        </w:rPr>
        <w:t xml:space="preserve">1. Clear any acknowledged alarms older than 24 hours from the active alarm list after confirming their underlying cause is resolved.</w:t>
      </w:r>
    </w:p>
    <w:p>
      <w:pPr>
        <w:spacing w:after="80"/>
        <w:ind w:left="360"/>
      </w:pPr>
      <w:r>
        <w:rPr>
          <w:sz w:val="21"/>
          <w:szCs w:val="21"/>
        </w:rPr>
        <w:t xml:space="preserve">2. Record any station placed in manual control mode during the shift, and confirm it was not left in manual at handover unless explicitly agreed with the incoming supervisor.</w:t>
      </w:r>
    </w:p>
    <w:p>
      <w:pPr>
        <w:spacing w:after="80"/>
        <w:ind w:left="360"/>
      </w:pPr>
      <w:r>
        <w:rPr>
          <w:sz w:val="21"/>
          <w:szCs w:val="21"/>
        </w:rPr>
        <w:t xml:space="preserve">3. Complete the handover form with open items, station-specific notes, and any pending work orders.</w:t>
      </w:r>
    </w:p>
    <w:p>
      <w:pPr>
        <w:spacing w:after="80"/>
        <w:ind w:left="360"/>
      </w:pPr>
      <w:r>
        <w:rPr>
          <w:sz w:val="21"/>
          <w:szCs w:val="21"/>
        </w:rPr>
        <w:t xml:space="preserve">4. Verbally brief the incoming operator on any Critical alarm from the shift, even if already acknowledged and resolved.</w:t>
      </w:r>
    </w:p>
    <w:p>
      <w:pPr>
        <w:spacing w:after="100"/>
      </w:pPr>
    </w:p>
    <w:p>
      <w:pPr>
        <w:spacing w:after="140"/>
        <w:jc w:val="both"/>
      </w:pPr>
      <w:r>
        <w:rPr>
          <w:sz w:val="21"/>
          <w:szCs w:val="21"/>
        </w:rPr>
        <w:t xml:space="preserve">Shift Supervisors additionally review the previous 24 hours of the alarm performance report each morning, checking whether the rolling false positive rate remains under the 2 percent design target.</w:t>
      </w:r>
    </w:p>
    <w:p>
      <w:pPr>
        <w:pStyle w:val="Heading1"/>
        <w:spacing w:after="120" w:before="320"/>
      </w:pPr>
      <w:r>
        <w:t xml:space="preserve">3. Alarm Response Procedures</w:t>
      </w:r>
    </w:p>
    <w:p>
      <w:pPr>
        <w:spacing w:after="140"/>
        <w:jc w:val="both"/>
      </w:pPr>
      <w:r>
        <w:rPr>
          <w:sz w:val="21"/>
          <w:szCs w:val="21"/>
        </w:rPr>
        <w:t xml:space="preserve">Alarms are grouped into three priority classes. Critical alarms require acknowledgement within 5 minutes, Major within 30 minutes, and Minor within 4 hours, matching the classification in RWU-ENG-014 Section 6.2.</w:t>
      </w:r>
    </w:p>
    <w:p>
      <w:pPr>
        <w:pStyle w:val="Heading2"/>
        <w:spacing w:after="100" w:before="200"/>
      </w:pPr>
      <w:r>
        <w:t xml:space="preserve">3.1 Critical Alarm Response</w:t>
      </w:r>
    </w:p>
    <w:p>
      <w:pPr>
        <w:spacing w:after="80"/>
        <w:ind w:left="360"/>
      </w:pPr>
      <w:r>
        <w:rPr>
          <w:sz w:val="21"/>
          <w:szCs w:val="21"/>
        </w:rPr>
        <w:t xml:space="preserve">1. Acknowledge the alarm on the HMI within 5 minutes of it appearing, noting the station ID and alarm code.</w:t>
      </w:r>
    </w:p>
    <w:p>
      <w:pPr>
        <w:spacing w:after="80"/>
        <w:ind w:left="360"/>
      </w:pPr>
      <w:r>
        <w:rPr>
          <w:sz w:val="21"/>
          <w:szCs w:val="21"/>
        </w:rPr>
        <w:t xml:space="preserve">2. Open the station's trend view and check whether the underlying process value is still within a safe operating band.</w:t>
      </w:r>
    </w:p>
    <w:p>
      <w:pPr>
        <w:spacing w:after="80"/>
        <w:ind w:left="360"/>
      </w:pPr>
      <w:r>
        <w:rPr>
          <w:sz w:val="21"/>
          <w:szCs w:val="21"/>
        </w:rPr>
        <w:t xml:space="preserve">3. If the value is outside a safe band, place the station in manual control mode and notify the Shift Supervisor immediately, before completing further diagnostics.</w:t>
      </w:r>
    </w:p>
    <w:p>
      <w:pPr>
        <w:spacing w:after="80"/>
        <w:ind w:left="360"/>
      </w:pPr>
      <w:r>
        <w:rPr>
          <w:sz w:val="21"/>
          <w:szCs w:val="21"/>
        </w:rPr>
        <w:t xml:space="preserve">4. Log the response time and initial diagnosis in the shift log at /opt/aquagrid/logs/shift/, using the station ID as the file prefix.</w:t>
      </w:r>
    </w:p>
    <w:p>
      <w:pPr>
        <w:spacing w:after="100"/>
      </w:pPr>
    </w:p>
    <w:p>
      <w:pPr>
        <w:spacing w:after="140"/>
        <w:jc w:val="both"/>
      </w:pPr>
      <w:r>
        <w:rPr>
          <w:sz w:val="21"/>
          <w:szCs w:val="21"/>
        </w:rPr>
        <w:t xml:space="preserve">Once an operator acknowledges an alarm, the alarm suppression period is 10 minutes; if the same alarm code recurs after suppression expires, treat it as a new event rather than assuming the first response resolved it.</w:t>
      </w:r>
    </w:p>
    <w:p>
      <w:pPr>
        <w:pStyle w:val="Heading2"/>
        <w:spacing w:after="100" w:before="200"/>
      </w:pPr>
      <w:r>
        <w:t xml:space="preserve">3.2 Escalation Timing</w:t>
      </w:r>
    </w:p>
    <w:p>
      <w:pPr>
        <w:spacing w:after="140"/>
        <w:jc w:val="both"/>
      </w:pPr>
      <w:r>
        <w:rPr>
          <w:sz w:val="21"/>
          <w:szCs w:val="21"/>
        </w:rPr>
        <w:t xml:space="preserve">Escalate a communication-failed station to the on-call Water Systems Engineer after 2 missed polls during business hours, 08:00 to 18:00, and after 3 missed polls outside business hours, a tighter daytime threshold than the flat 3-missed-poll rule in RWU-ENG-014 Section 6.1, adopted after the March 2025 outage review to catch daytime failures faster.</w:t>
      </w:r>
    </w:p>
    <w:p>
      <w:pPr>
        <w:spacing w:after="140"/>
        <w:jc w:val="both"/>
      </w:pPr>
      <w:r>
        <w:rPr>
          <w:sz w:val="21"/>
          <w:szCs w:val="21"/>
        </w:rPr>
        <w:t xml:space="preserve">A Critical alarm unacknowledged after 3 escalation attempts, spanning 9 minutes in total, automatically pages the Shift Supervisor as a secondary contact.</w:t>
      </w:r>
    </w:p>
    <w:p>
      <w:pPr>
        <w:pStyle w:val="Heading1"/>
        <w:spacing w:after="120" w:before="320"/>
      </w:pPr>
      <w:r>
        <w:t xml:space="preserve">4. Calibration Field Procedure</w:t>
      </w:r>
    </w:p>
    <w:p>
      <w:pPr>
        <w:spacing w:after="140"/>
        <w:jc w:val="both"/>
      </w:pPr>
      <w:r>
        <w:rPr>
          <w:sz w:val="21"/>
          <w:szCs w:val="21"/>
        </w:rPr>
        <w:t xml:space="preserve">Field calibration of flow sensors, magnetic and Coriolis alike, is performed every 150 days under the revised field guidance issued in Q2 2025, tighter than the 180-day design interval in RWU-ENG-014 Section 8.1, because field wear at Riverside's sites has consistently run ahead of the manufacturer's drift specification.</w:t>
      </w:r>
    </w:p>
    <w:p>
      <w:pPr>
        <w:spacing w:after="80"/>
        <w:ind w:left="360"/>
      </w:pPr>
      <w:r>
        <w:rPr>
          <w:sz w:val="21"/>
          <w:szCs w:val="21"/>
        </w:rPr>
        <w:t xml:space="preserve">1. Confirm the sensor's last calibration date on the HMI asset panel before dispatching a technician.</w:t>
      </w:r>
    </w:p>
    <w:p>
      <w:pPr>
        <w:spacing w:after="80"/>
        <w:ind w:left="360"/>
      </w:pPr>
      <w:r>
        <w:rPr>
          <w:sz w:val="21"/>
          <w:szCs w:val="21"/>
        </w:rPr>
        <w:t xml:space="preserve">2. Bring a certified reference meter and verify it is within its own current calibration window before use.</w:t>
      </w:r>
    </w:p>
    <w:p>
      <w:pPr>
        <w:spacing w:after="80"/>
        <w:ind w:left="360"/>
      </w:pPr>
      <w:r>
        <w:rPr>
          <w:sz w:val="21"/>
          <w:szCs w:val="21"/>
        </w:rPr>
        <w:t xml:space="preserve">3. Take three reference readings at low, medium and high flow, each within 1 percent of the reference meter's value.</w:t>
      </w:r>
    </w:p>
    <w:p>
      <w:pPr>
        <w:spacing w:after="80"/>
        <w:ind w:left="360"/>
      </w:pPr>
      <w:r>
        <w:rPr>
          <w:sz w:val="21"/>
          <w:szCs w:val="21"/>
        </w:rPr>
        <w:t xml:space="preserve">4. Update the calibration record in the HMI asset panel immediately on-site; do not wait until returning to the office.</w:t>
      </w:r>
    </w:p>
    <w:p>
      <w:pPr>
        <w:spacing w:after="80"/>
        <w:ind w:left="360"/>
      </w:pPr>
      <w:r>
        <w:rPr>
          <w:sz w:val="21"/>
          <w:szCs w:val="21"/>
        </w:rPr>
        <w:t xml:space="preserve">5. If any of the three readings fails the 1 percent tolerance, replace the sensor rather than attempting a field adjustment.</w:t>
      </w:r>
    </w:p>
    <w:p>
      <w:pPr>
        <w:spacing w:after="100"/>
      </w:pPr>
    </w:p>
    <w:p>
      <w:pPr>
        <w:spacing w:after="140"/>
        <w:jc w:val="both"/>
      </w:pPr>
      <w:r>
        <w:rPr>
          <w:sz w:val="21"/>
          <w:szCs w:val="21"/>
        </w:rPr>
        <w:t xml:space="preserve">A sensor exceeding 150 days since its last calibration under this runbook's schedule is still flagged with error code ERR-3390 by the platform at the 180-day design threshold, so a technician may see the field guidance trigger a work order before the system itself raises the fault.</w:t>
      </w:r>
    </w:p>
    <w:p>
      <w:pPr>
        <w:pStyle w:val="Heading1"/>
        <w:spacing w:after="120" w:before="320"/>
      </w:pPr>
      <w:r>
        <w:t xml:space="preserve">5. Communication Loss Troubleshooting</w:t>
      </w:r>
    </w:p>
    <w:p>
      <w:pPr>
        <w:spacing w:after="140"/>
        <w:jc w:val="both"/>
      </w:pPr>
      <w:r>
        <w:rPr>
          <w:sz w:val="21"/>
          <w:szCs w:val="21"/>
        </w:rPr>
        <w:t xml:space="preserve">A station shown as communication-failed on the HMI should first be checked against the RidgeLink 900 network status panel before dispatching a technician, since a repeater tower outage explains a cluster of simultaneous failures more often than an individual station fault.</w:t>
      </w:r>
    </w:p>
    <w:p>
      <w:pPr>
        <w:spacing w:after="80"/>
        <w:ind w:left="360"/>
      </w:pPr>
      <w:r>
        <w:rPr>
          <w:sz w:val="21"/>
          <w:szCs w:val="21"/>
        </w:rPr>
        <w:t xml:space="preserve">1. Check whether Ridgeline North or Ridgeline South repeater towers show a fault; a single tower fault typically affects between 8 and 14 stations at once.</w:t>
      </w:r>
    </w:p>
    <w:p>
      <w:pPr>
        <w:spacing w:after="80"/>
        <w:ind w:left="360"/>
      </w:pPr>
      <w:r>
        <w:rPr>
          <w:sz w:val="21"/>
          <w:szCs w:val="21"/>
        </w:rPr>
        <w:t xml:space="preserve">2. If only one station is affected, confirm its cellular backup modem attempted a failover; the expected failover window is 45 seconds from signal degradation.</w:t>
      </w:r>
    </w:p>
    <w:p>
      <w:pPr>
        <w:spacing w:after="80"/>
        <w:ind w:left="360"/>
      </w:pPr>
      <w:r>
        <w:rPr>
          <w:sz w:val="21"/>
          <w:szCs w:val="21"/>
        </w:rPr>
        <w:t xml:space="preserve">3. If failover has not completed within 3 minutes, a wider margin than the 45-second design target, dispatch a technician rather than continuing to wait.</w:t>
      </w:r>
    </w:p>
    <w:p>
      <w:pPr>
        <w:spacing w:after="80"/>
        <w:ind w:left="360"/>
      </w:pPr>
      <w:r>
        <w:rPr>
          <w:sz w:val="21"/>
          <w:szCs w:val="21"/>
        </w:rPr>
        <w:t xml:space="preserve">4. On-site, check the RTU's local buffer status; a full 72-hour buffer with no upstream transmission confirms the fault is communication-side, not sensor-side.</w:t>
      </w:r>
    </w:p>
    <w:p>
      <w:pPr>
        <w:spacing w:after="100"/>
      </w:pPr>
    </w:p>
    <w:p>
      <w:pPr>
        <w:spacing w:after="140"/>
        <w:jc w:val="both"/>
      </w:pPr>
      <w:r>
        <w:rPr>
          <w:sz w:val="21"/>
          <w:szCs w:val="21"/>
        </w:rPr>
        <w:t xml:space="preserve">A station logging more than 50 checksum failures in a rolling 24-hour period should be flagged for a radio path survey under work order category RWU-WO-RADIO, regardless of whether it is currently reporting normally.</w:t>
      </w:r>
    </w:p>
    <w:p>
      <w:pPr>
        <w:pStyle w:val="Heading2"/>
        <w:spacing w:after="100" w:before="200"/>
      </w:pPr>
      <w:r>
        <w:t xml:space="preserve">5.1 Seasonal Notes</w:t>
      </w:r>
    </w:p>
    <w:p>
      <w:pPr>
        <w:spacing w:after="140"/>
        <w:jc w:val="both"/>
      </w:pPr>
      <w:r>
        <w:rPr>
          <w:sz w:val="21"/>
          <w:szCs w:val="21"/>
        </w:rPr>
        <w:t xml:space="preserve">Radio signal quality at the 6 highest-elevation stations degrades measurably during heavy snowfall, typically dropping 10 to 15 percentage points below the summer baseline reading at the same stations.</w:t>
      </w:r>
    </w:p>
    <w:p>
      <w:pPr>
        <w:spacing w:after="140"/>
        <w:jc w:val="both"/>
      </w:pPr>
      <w:r>
        <w:rPr>
          <w:sz w:val="21"/>
          <w:szCs w:val="21"/>
        </w:rPr>
        <w:t xml:space="preserve">The March 2023 ice storm, referenced in RWU-ENG-014 Section 4.1 as the longest recorded outage at 61 hours, primarily affected the Ridgeline North repeater tower and took 14 hours to physically access due to road conditions.</w:t>
      </w:r>
    </w:p>
    <w:p>
      <w:pPr>
        <w:spacing w:after="140"/>
        <w:jc w:val="both"/>
      </w:pPr>
      <w:r>
        <w:rPr>
          <w:sz w:val="21"/>
          <w:szCs w:val="21"/>
        </w:rPr>
        <w:t xml:space="preserve">During the November to February window, technicians should carry a spare LTE Cat-4 modem when dispatched to any of the 6 high-elevation stations, since cold-weather modem failures have accounted for 3 of the last 5 winter dispatches.</w:t>
      </w:r>
    </w:p>
    <w:p>
      <w:pPr>
        <w:pStyle w:val="Heading2"/>
        <w:spacing w:after="100" w:before="200"/>
      </w:pPr>
      <w:r>
        <w:t xml:space="preserve">5.2 Cellular Backup Data Usage</w:t>
      </w:r>
    </w:p>
    <w:p>
      <w:pPr>
        <w:spacing w:after="140"/>
        <w:jc w:val="both"/>
      </w:pPr>
      <w:r>
        <w:rPr>
          <w:sz w:val="21"/>
          <w:szCs w:val="21"/>
        </w:rPr>
        <w:t xml:space="preserve">The pooled cellular SIM plan covers all 43 field sites with a combined 50-gigabyte monthly allowance; usage above the internal 40-gigabyte warning threshold should be reported to the Water Systems Engineer before the billing cycle closes.</w:t>
      </w:r>
    </w:p>
    <w:p>
      <w:pPr>
        <w:spacing w:after="140"/>
        <w:jc w:val="both"/>
      </w:pPr>
      <w:r>
        <w:rPr>
          <w:sz w:val="21"/>
          <w:szCs w:val="21"/>
        </w:rPr>
        <w:t xml:space="preserve">A single station failing over to cellular for an extended period, more than 48 continuous hours, can consume approximately 1.8 gigabytes on its own, worth flagging if several stations fail over simultaneously during a wide-area radio outage.</w:t>
      </w:r>
    </w:p>
    <w:p>
      <w:pPr>
        <w:pStyle w:val="Heading1"/>
        <w:spacing w:after="120" w:before="320"/>
      </w:pPr>
      <w:r>
        <w:t xml:space="preserve">6. Error Code Reference</w:t>
      </w:r>
    </w:p>
    <w:p>
      <w:pPr>
        <w:spacing w:after="80" w:before="160"/>
      </w:pPr>
      <w:r>
        <w:rPr>
          <w:i/>
          <w:iCs/>
          <w:sz w:val="19"/>
          <w:szCs w:val="19"/>
        </w:rPr>
        <w:t xml:space="preserve">Table 1. Error codes and field response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Code</w:t>
            </w:r>
          </w:p>
        </w:tc>
        <w:tc>
          <w:tcPr>
            <w:tcW w:type="dxa" w:w="3120"/>
            <w:shd w:fill="2B2B2B" w:val="clear"/>
            <w:tcMar>
              <w:top w:type="dxa" w:w="60"/>
              <w:left w:type="dxa" w:w="100"/>
              <w:bottom w:type="dxa" w:w="60"/>
              <w:right w:type="dxa" w:w="100"/>
            </w:tcMar>
          </w:tcPr>
          <w:p>
            <w:r>
              <w:rPr>
                <w:b/>
                <w:bCs/>
                <w:color w:val="FFFFFF"/>
                <w:sz w:val="20"/>
                <w:szCs w:val="20"/>
              </w:rPr>
              <w:t xml:space="preserve">Meaning</w:t>
            </w:r>
          </w:p>
        </w:tc>
        <w:tc>
          <w:tcPr>
            <w:tcW w:type="dxa" w:w="3120"/>
            <w:shd w:fill="2B2B2B" w:val="clear"/>
            <w:tcMar>
              <w:top w:type="dxa" w:w="60"/>
              <w:left w:type="dxa" w:w="100"/>
              <w:bottom w:type="dxa" w:w="60"/>
              <w:right w:type="dxa" w:w="100"/>
            </w:tcMar>
          </w:tcPr>
          <w:p>
            <w:r>
              <w:rPr>
                <w:b/>
                <w:bCs/>
                <w:color w:val="FFFFFF"/>
                <w:sz w:val="20"/>
                <w:szCs w:val="20"/>
              </w:rPr>
              <w:t xml:space="preserve">First response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ERR-4471</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API rate limit exceeded (600 req/min)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Notify IT Integration; not a field issue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ERR-2205</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Sensor drift beyond manufacturer spec</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Schedule calibration per Section 4</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ERR-3390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Calibration overdue (180-day design threshold)</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Dispatch technician same week</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ERR-1120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PLC watchdog fault, outputs forced fail-safe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Site visit required within 4 hours</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ERR-9002</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Inbound message queue overflow at server</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Notify Water Systems Engineer, not field-resolvable</w:t>
            </w:r>
          </w:p>
        </w:tc>
      </w:tr>
    </w:tbl>
    <w:p>
      <w:pPr>
        <w:spacing w:after="160"/>
      </w:pPr>
    </w:p>
    <w:p>
      <w:pPr>
        <w:spacing w:after="140"/>
        <w:jc w:val="both"/>
      </w:pPr>
      <w:r>
        <w:rPr>
          <w:sz w:val="21"/>
          <w:szCs w:val="21"/>
        </w:rPr>
        <w:t xml:space="preserve">ERR-1120 is treated as Critical regardless of the affected station's process value, because a PLC in fail-safe state cannot be remotely diagnosed until a technician restores normal scan operation on-site.</w:t>
      </w:r>
    </w:p>
    <w:p>
      <w:pPr>
        <w:pStyle w:val="Heading2"/>
        <w:spacing w:after="100" w:before="200"/>
      </w:pPr>
      <w:r>
        <w:t xml:space="preserve">6.1 Additional Field-Observed Codes</w:t>
      </w:r>
    </w:p>
    <w:p>
      <w:pPr>
        <w:spacing w:after="140"/>
        <w:jc w:val="both"/>
      </w:pPr>
      <w:r>
        <w:rPr>
          <w:sz w:val="21"/>
          <w:szCs w:val="21"/>
        </w:rPr>
        <w:t xml:space="preserve">Two codes appear only in field diagnostics and are not part of the platform's formal alarm set documented in RWU-ENG-014: WARN-1180, a low battery voltage warning at 22.5 volts on the 24-volt DC bus, and WARN-2260, a turbidity sensor fouling warning triggered by three consecutive readings above 4 NTU.</w:t>
      </w:r>
    </w:p>
    <w:p>
      <w:pPr>
        <w:spacing w:after="140"/>
        <w:jc w:val="both"/>
      </w:pPr>
      <w:r>
        <w:rPr>
          <w:sz w:val="21"/>
          <w:szCs w:val="21"/>
        </w:rPr>
        <w:t xml:space="preserve">WARN-1180 typically precedes a full battery failure by 2 to 3 weeks and should prompt a battery replacement dispatch even though the RTU is still operating normally at the time of the warning.</w:t>
      </w:r>
    </w:p>
    <w:p>
      <w:pPr>
        <w:pStyle w:val="Heading1"/>
        <w:spacing w:after="120" w:before="320"/>
      </w:pPr>
      <w:r>
        <w:t xml:space="preserve">7. Escalation Contacts and On-Call Procedure</w:t>
      </w:r>
    </w:p>
    <w:p>
      <w:pPr>
        <w:spacing w:after="140"/>
        <w:jc w:val="both"/>
      </w:pPr>
      <w:r>
        <w:rPr>
          <w:sz w:val="21"/>
          <w:szCs w:val="21"/>
        </w:rPr>
        <w:t xml:space="preserve">Critical alarms page the on-call Water Systems Engineer through the dedicated paging service; SMS is the secondary channel if the page is unacknowledged after 3 minutes.</w:t>
      </w:r>
    </w:p>
    <w:p>
      <w:pPr>
        <w:spacing w:after="80" w:before="160"/>
      </w:pPr>
      <w:r>
        <w:rPr>
          <w:i/>
          <w:iCs/>
          <w:sz w:val="19"/>
          <w:szCs w:val="19"/>
        </w:rPr>
        <w:t xml:space="preserve">Table 2. Escalation contacts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Role</w:t>
            </w:r>
          </w:p>
        </w:tc>
        <w:tc>
          <w:tcPr>
            <w:tcW w:type="dxa" w:w="3120"/>
            <w:shd w:fill="2B2B2B" w:val="clear"/>
            <w:tcMar>
              <w:top w:type="dxa" w:w="60"/>
              <w:left w:type="dxa" w:w="100"/>
              <w:bottom w:type="dxa" w:w="60"/>
              <w:right w:type="dxa" w:w="100"/>
            </w:tcMar>
          </w:tcPr>
          <w:p>
            <w:r>
              <w:rPr>
                <w:b/>
                <w:bCs/>
                <w:color w:val="FFFFFF"/>
                <w:sz w:val="20"/>
                <w:szCs w:val="20"/>
              </w:rPr>
              <w:t xml:space="preserve">Primary contact method</w:t>
            </w:r>
          </w:p>
        </w:tc>
        <w:tc>
          <w:tcPr>
            <w:tcW w:type="dxa" w:w="3120"/>
            <w:shd w:fill="2B2B2B" w:val="clear"/>
            <w:tcMar>
              <w:top w:type="dxa" w:w="60"/>
              <w:left w:type="dxa" w:w="100"/>
              <w:bottom w:type="dxa" w:w="60"/>
              <w:right w:type="dxa" w:w="100"/>
            </w:tcMar>
          </w:tcPr>
          <w:p>
            <w:r>
              <w:rPr>
                <w:b/>
                <w:bCs/>
                <w:color w:val="FFFFFF"/>
                <w:sz w:val="20"/>
                <w:szCs w:val="20"/>
              </w:rPr>
              <w:t xml:space="preserve">Response target</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On-Call Technician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Pager</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15 minutes to acknowledge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Water Systems Engineer</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Pager, then SMS after 3 minutes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5 minutes to acknowledge Critical</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Shift Supervisor</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Radio, then phone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Immediate during shift</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Regional Manager</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Phone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30 minutes, business hours only</w:t>
            </w:r>
          </w:p>
        </w:tc>
      </w:tr>
    </w:tbl>
    <w:p>
      <w:pPr>
        <w:spacing w:after="160"/>
      </w:pPr>
    </w:p>
    <w:p>
      <w:pPr>
        <w:spacing w:after="140"/>
        <w:jc w:val="both"/>
      </w:pPr>
      <w:r>
        <w:rPr>
          <w:sz w:val="21"/>
          <w:szCs w:val="21"/>
        </w:rPr>
        <w:t xml:space="preserve">If a communication-failed station has not been restored within 20 minutes of escalation to the Water Systems Engineer, the Shift Supervisor notifies the Regional Manager, a step not described in RWU-ENG-014 because it is an organisational escalation rather than a technical one.</w:t>
      </w:r>
    </w:p>
    <w:p>
      <w:pPr>
        <w:pStyle w:val="Heading1"/>
        <w:spacing w:after="120" w:before="320"/>
      </w:pPr>
      <w:r>
        <w:t xml:space="preserve">8. Recovery Procedure R-7: Field Execution</w:t>
      </w:r>
    </w:p>
    <w:p>
      <w:pPr>
        <w:spacing w:after="140"/>
        <w:jc w:val="both"/>
      </w:pPr>
      <w:r>
        <w:rPr>
          <w:sz w:val="21"/>
          <w:szCs w:val="21"/>
        </w:rPr>
        <w:t xml:space="preserve">Recovery Procedure R-7 restores the Tier 2 SCADA server pair following a total site failure at the Operations Center. The design summary is in RWU-ENG-014 Section 9; this section covers field-level execution detail.</w:t>
      </w:r>
    </w:p>
    <w:p>
      <w:pPr>
        <w:spacing w:after="80"/>
        <w:ind w:left="360"/>
      </w:pPr>
      <w:r>
        <w:rPr>
          <w:sz w:val="21"/>
          <w:szCs w:val="21"/>
        </w:rPr>
        <w:t xml:space="preserve">1. Confirm the standby server at Cedar Hills shows a replication lag under 60 seconds before proceeding; a longer lag means restored data may be stale by more than a minute.</w:t>
      </w:r>
    </w:p>
    <w:p>
      <w:pPr>
        <w:spacing w:after="80"/>
        <w:ind w:left="360"/>
      </w:pPr>
      <w:r>
        <w:rPr>
          <w:sz w:val="21"/>
          <w:szCs w:val="21"/>
        </w:rPr>
        <w:t xml:space="preserve">2. Run /opt/aquagrid/scripts/failover.sh from the Cedar Hills console, not remotely, since remote execution during a total site failure has failed twice in past drills.</w:t>
      </w:r>
    </w:p>
    <w:p>
      <w:pPr>
        <w:spacing w:after="80"/>
        <w:ind w:left="360"/>
      </w:pPr>
      <w:r>
        <w:rPr>
          <w:sz w:val="21"/>
          <w:szCs w:val="21"/>
        </w:rPr>
        <w:t xml:space="preserve">3. Watch the station reconnection counter; all 34 pump stations and 9 reservoirs should show communication-restored within 10 minutes.</w:t>
      </w:r>
    </w:p>
    <w:p>
      <w:pPr>
        <w:spacing w:after="80"/>
        <w:ind w:left="360"/>
      </w:pPr>
      <w:r>
        <w:rPr>
          <w:sz w:val="21"/>
          <w:szCs w:val="21"/>
        </w:rPr>
        <w:t xml:space="preserve">4. If fewer than 30 stations reconnect within 10 minutes, treat this as a partial failure and escalate to the Regional Manager rather than continuing to wait past the 10-minute target.</w:t>
      </w:r>
    </w:p>
    <w:p>
      <w:pPr>
        <w:spacing w:after="80"/>
        <w:ind w:left="360"/>
      </w:pPr>
      <w:r>
        <w:rPr>
          <w:sz w:val="21"/>
          <w:szCs w:val="21"/>
        </w:rPr>
        <w:t xml:space="preserve">5. Log the full event, including the actual reconnection time observed, under incident category RWU-INC-DR.</w:t>
      </w:r>
    </w:p>
    <w:p>
      <w:pPr>
        <w:spacing w:after="100"/>
      </w:pPr>
    </w:p>
    <w:p>
      <w:pPr>
        <w:spacing w:after="140"/>
        <w:jc w:val="both"/>
      </w:pPr>
      <w:r>
        <w:rPr>
          <w:sz w:val="21"/>
          <w:szCs w:val="21"/>
        </w:rPr>
        <w:t xml:space="preserve">The twice-yearly full-scale test of Recovery Procedure R-7 is scheduled for the first Saturday of February and August, chosen to minimise disruption to weekday operations.</w:t>
      </w:r>
    </w:p>
    <w:p>
      <w:pPr>
        <w:spacing w:after="140"/>
        <w:jc w:val="both"/>
      </w:pPr>
      <w:r>
        <w:rPr>
          <w:sz w:val="21"/>
          <w:szCs w:val="21"/>
        </w:rPr>
        <w:t xml:space="preserve">The most recent live invocation of Recovery Procedure R-7, as opposed to a scheduled drill, occurred on 4 August 2025 during the scheduled test itself, when a genuine hardware fault on the primary server made the drill a real recovery. Reconnection completed in 7 minutes 40 seconds, within the 8-minute target.</w:t>
      </w:r>
    </w:p>
    <w:p>
      <w:pPr>
        <w:spacing w:after="140"/>
        <w:jc w:val="both"/>
      </w:pPr>
      <w:r>
        <w:rPr>
          <w:sz w:val="21"/>
          <w:szCs w:val="21"/>
        </w:rPr>
        <w:t xml:space="preserve">Two remote drills, conducted without physically failing the primary server, are run in the months between the twice-yearly full-scale tests, verifying the failover script and notification chain without disrupting production traffic.</w:t>
      </w:r>
    </w:p>
    <w:p>
      <w:pPr>
        <w:pStyle w:val="Heading1"/>
        <w:spacing w:after="120" w:before="320"/>
      </w:pPr>
      <w:r>
        <w:t xml:space="preserve">9. Preventive Maintenance Schedule</w:t>
      </w:r>
    </w:p>
    <w:p>
      <w:pPr>
        <w:spacing w:after="80" w:before="160"/>
      </w:pPr>
      <w:r>
        <w:rPr>
          <w:i/>
          <w:iCs/>
          <w:sz w:val="19"/>
          <w:szCs w:val="19"/>
        </w:rPr>
        <w:t xml:space="preserve">Table 3. Recurring maintenance tasks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Task</w:t>
            </w:r>
          </w:p>
        </w:tc>
        <w:tc>
          <w:tcPr>
            <w:tcW w:type="dxa" w:w="3120"/>
            <w:shd w:fill="2B2B2B" w:val="clear"/>
            <w:tcMar>
              <w:top w:type="dxa" w:w="60"/>
              <w:left w:type="dxa" w:w="100"/>
              <w:bottom w:type="dxa" w:w="60"/>
              <w:right w:type="dxa" w:w="100"/>
            </w:tcMar>
          </w:tcPr>
          <w:p>
            <w:r>
              <w:rPr>
                <w:b/>
                <w:bCs/>
                <w:color w:val="FFFFFF"/>
                <w:sz w:val="20"/>
                <w:szCs w:val="20"/>
              </w:rPr>
              <w:t xml:space="preserve">Frequency</w:t>
            </w:r>
          </w:p>
        </w:tc>
        <w:tc>
          <w:tcPr>
            <w:tcW w:type="dxa" w:w="3120"/>
            <w:shd w:fill="2B2B2B" w:val="clear"/>
            <w:tcMar>
              <w:top w:type="dxa" w:w="60"/>
              <w:left w:type="dxa" w:w="100"/>
              <w:bottom w:type="dxa" w:w="60"/>
              <w:right w:type="dxa" w:w="100"/>
            </w:tcMar>
          </w:tcPr>
          <w:p>
            <w:r>
              <w:rPr>
                <w:b/>
                <w:bCs/>
                <w:color w:val="FFFFFF"/>
                <w:sz w:val="20"/>
                <w:szCs w:val="20"/>
              </w:rPr>
              <w:t xml:space="preserve">Responsible role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Flow sensor calibration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150 days (field schedule)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On-Call Technician</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RTU firmware update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Quarterly, by geographic zone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Water Systems Engineer</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RTU backup battery replacement</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24 months, regardless of condition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On-Call Technician</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SCADA server patching</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2nd Tuesday monthly, 02:00-04:00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Water Systems Engineer</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Recovery Procedure R-7 drill</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Twice yearly (Feb, Aug)</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Water Systems Engineer + Shift Supervisor</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Radio encryption key rotation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12 months, all sites same window</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Water Systems Engineer</w:t>
            </w:r>
          </w:p>
        </w:tc>
      </w:tr>
    </w:tbl>
    <w:p>
      <w:pPr>
        <w:spacing w:after="160"/>
      </w:pPr>
    </w:p>
    <w:p>
      <w:pPr>
        <w:spacing w:after="140"/>
        <w:jc w:val="both"/>
      </w:pPr>
      <w:r>
        <w:rPr>
          <w:sz w:val="21"/>
          <w:szCs w:val="21"/>
        </w:rPr>
        <w:t xml:space="preserve">A maintenance task shown as overdue by more than 14 days on the HMI maintenance panel is automatically added to the Water Systems Engineering group's weekly sync agenda.</w:t>
      </w:r>
    </w:p>
    <w:p>
      <w:pPr>
        <w:pStyle w:val="Heading2"/>
        <w:spacing w:after="100" w:before="200"/>
      </w:pPr>
      <w:r>
        <w:t xml:space="preserve">9.1 Historian and Reporting Notes</w:t>
      </w:r>
    </w:p>
    <w:p>
      <w:pPr>
        <w:spacing w:after="140"/>
        <w:jc w:val="both"/>
      </w:pPr>
      <w:r>
        <w:rPr>
          <w:sz w:val="21"/>
          <w:szCs w:val="21"/>
        </w:rPr>
        <w:t xml:space="preserve">The monthly regulatory compliance report generates automatically on the first business day of each month from the hourly-average tier of historian data, and is routed to the Compliance Officer for review before the regulator's submission deadline.</w:t>
      </w:r>
    </w:p>
    <w:p>
      <w:pPr>
        <w:spacing w:after="140"/>
        <w:jc w:val="both"/>
      </w:pPr>
      <w:r>
        <w:rPr>
          <w:sz w:val="21"/>
          <w:szCs w:val="21"/>
        </w:rPr>
        <w:t xml:space="preserve">Operators should not manually edit historian values to correct a suspected sensor error; instead, annotate the value with a data-quality flag through the HMI, preserving the original reading for the audit trail described in RWU-ENG-014 Section 5.</w:t>
      </w:r>
    </w:p>
    <w:p>
      <w:pPr>
        <w:spacing w:after="140"/>
        <w:jc w:val="both"/>
      </w:pPr>
      <w:r>
        <w:rPr>
          <w:sz w:val="21"/>
          <w:szCs w:val="21"/>
        </w:rPr>
        <w:t xml:space="preserve">The nightly historian backup runs at 23:30 local time; an operator noticing a backup failure alert should not attempt to rerun it manually and should instead notify the Water Systems Engineer, since a manual rerun during active ingestion has previously caused a duplicate-record issue.</w:t>
      </w:r>
    </w:p>
    <w:p>
      <w:pPr>
        <w:pStyle w:val="Heading1"/>
        <w:spacing w:after="120" w:before="320"/>
      </w:pPr>
      <w:r>
        <w:t xml:space="preserve">10. New Station Commissioning Checklist</w:t>
      </w:r>
    </w:p>
    <w:p>
      <w:pPr>
        <w:spacing w:after="140"/>
        <w:jc w:val="both"/>
      </w:pPr>
      <w:r>
        <w:rPr>
          <w:sz w:val="21"/>
          <w:szCs w:val="21"/>
        </w:rPr>
        <w:t xml:space="preserve">A newly commissioned pump station must complete 72 hours of continuous, alarm-free operation before acceptance into the production monitoring set.</w:t>
      </w:r>
    </w:p>
    <w:p>
      <w:pPr>
        <w:pStyle w:val="ListParagraph"/>
        <w:numPr>
          <w:ilvl w:val="0"/>
          <w:numId w:val="1"/>
        </w:numPr>
        <w:spacing w:after="60"/>
      </w:pPr>
      <w:r>
        <w:rPr>
          <w:sz w:val="21"/>
          <w:szCs w:val="21"/>
        </w:rPr>
        <w:t xml:space="preserve">Flow meter accuracy verified against a certified reference meter, within 1 percent.</w:t>
      </w:r>
    </w:p>
    <w:p>
      <w:pPr>
        <w:pStyle w:val="ListParagraph"/>
        <w:numPr>
          <w:ilvl w:val="0"/>
          <w:numId w:val="1"/>
        </w:numPr>
        <w:spacing w:after="60"/>
      </w:pPr>
      <w:r>
        <w:rPr>
          <w:sz w:val="21"/>
          <w:szCs w:val="21"/>
        </w:rPr>
        <w:t xml:space="preserve">Radio signal quality confirmed above 25 percent on a rolling 5-minute average.</w:t>
      </w:r>
    </w:p>
    <w:p>
      <w:pPr>
        <w:pStyle w:val="ListParagraph"/>
        <w:numPr>
          <w:ilvl w:val="0"/>
          <w:numId w:val="1"/>
        </w:numPr>
        <w:spacing w:after="60"/>
      </w:pPr>
      <w:r>
        <w:rPr>
          <w:sz w:val="21"/>
          <w:szCs w:val="21"/>
        </w:rPr>
        <w:t xml:space="preserve">Tag naming confirmed against the SITE.DEVICE.PARAMETER convention.</w:t>
      </w:r>
    </w:p>
    <w:p>
      <w:pPr>
        <w:pStyle w:val="ListParagraph"/>
        <w:numPr>
          <w:ilvl w:val="0"/>
          <w:numId w:val="1"/>
        </w:numPr>
        <w:spacing w:after="60"/>
      </w:pPr>
      <w:r>
        <w:rPr>
          <w:sz w:val="21"/>
          <w:szCs w:val="21"/>
        </w:rPr>
        <w:t xml:space="preserve">Backup battery load-tested to confirm the rated 18-hour autonomous runtime.</w:t>
      </w:r>
    </w:p>
    <w:p>
      <w:pPr>
        <w:pStyle w:val="ListParagraph"/>
        <w:numPr>
          <w:ilvl w:val="0"/>
          <w:numId w:val="1"/>
        </w:numPr>
        <w:spacing w:after="60"/>
      </w:pPr>
      <w:r>
        <w:rPr>
          <w:sz w:val="21"/>
          <w:szCs w:val="21"/>
        </w:rPr>
        <w:t xml:space="preserve">Countersignature obtained from both the responsible Water Systems Engineer and the integration contractor's field lead.</w:t>
      </w:r>
    </w:p>
    <w:p>
      <w:pPr>
        <w:spacing w:after="100"/>
      </w:pPr>
    </w:p>
    <w:p>
      <w:pPr>
        <w:spacing w:after="140"/>
        <w:jc w:val="both"/>
      </w:pPr>
      <w:r>
        <w:rPr>
          <w:sz w:val="21"/>
          <w:szCs w:val="21"/>
        </w:rPr>
        <w:t xml:space="preserve">The two north zone stations added in 2024, PS22 and PS23, both completed this checklist on 19 November 2024 with no items waived, and are the most recent stations commissioned as of this edition.</w:t>
      </w:r>
    </w:p>
    <w:p>
      <w:pPr>
        <w:pStyle w:val="Heading1"/>
        <w:spacing w:after="120" w:before="320"/>
      </w:pPr>
      <w:r>
        <w:t xml:space="preserve">11. Security and Badge Access Procedures</w:t>
      </w:r>
    </w:p>
    <w:p>
      <w:pPr>
        <w:spacing w:after="140"/>
        <w:jc w:val="both"/>
      </w:pPr>
      <w:r>
        <w:rPr>
          <w:sz w:val="21"/>
          <w:szCs w:val="21"/>
        </w:rPr>
        <w:t xml:space="preserve">A geofence radius of 150 metres is enforced around each reservoir's perimeter sensor array. A technician working within that radius must badge in before beginning work, even for a task expected to take under 5 minutes.</w:t>
      </w:r>
    </w:p>
    <w:p>
      <w:pPr>
        <w:spacing w:after="140"/>
        <w:jc w:val="both"/>
      </w:pPr>
      <w:r>
        <w:rPr>
          <w:sz w:val="21"/>
          <w:szCs w:val="21"/>
        </w:rPr>
        <w:t xml:space="preserve">A badge-in event recorded outside the 150-metre geofence raises a physical security alarm routed to the Compliance Officer; if this happens in error, notify the Compliance Officer directly rather than waiting for the alarm to clear itself.</w:t>
      </w:r>
    </w:p>
    <w:p>
      <w:pPr>
        <w:spacing w:after="140"/>
        <w:jc w:val="both"/>
      </w:pPr>
      <w:r>
        <w:rPr>
          <w:sz w:val="21"/>
          <w:szCs w:val="21"/>
        </w:rPr>
        <w:t xml:space="preserve">API tokens for field diagnostic tools carry an 8-hour lifetime; a technician whose token expires mid-task must re-authenticate through the AquaGrid identity service rather than continuing with a cached session.</w:t>
      </w:r>
    </w:p>
    <w:p>
      <w:pPr>
        <w:pStyle w:val="Heading1"/>
        <w:spacing w:after="120" w:before="320"/>
      </w:pPr>
      <w:r>
        <w:t xml:space="preserve">12. Vendor Contact Reference</w:t>
      </w:r>
    </w:p>
    <w:p>
      <w:pPr>
        <w:spacing w:after="140"/>
        <w:jc w:val="both"/>
      </w:pPr>
      <w:r>
        <w:rPr>
          <w:sz w:val="21"/>
          <w:szCs w:val="21"/>
        </w:rPr>
        <w:t xml:space="preserve">Vendor support requests for AquaGrid Core should be logged through the vendor portal first, then followed up by phone only if the ticket is Critical severity, matching the 4-hour guaranteed response time in the enterprise support contract.</w:t>
      </w:r>
    </w:p>
    <w:p>
      <w:pPr>
        <w:spacing w:after="80" w:before="160"/>
      </w:pPr>
      <w:r>
        <w:rPr>
          <w:i/>
          <w:iCs/>
          <w:sz w:val="19"/>
          <w:szCs w:val="19"/>
        </w:rPr>
        <w:t xml:space="preserve">Table 4. Vendor contacts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Vendor</w:t>
            </w:r>
          </w:p>
        </w:tc>
        <w:tc>
          <w:tcPr>
            <w:tcW w:type="dxa" w:w="3120"/>
            <w:shd w:fill="2B2B2B" w:val="clear"/>
            <w:tcMar>
              <w:top w:type="dxa" w:w="60"/>
              <w:left w:type="dxa" w:w="100"/>
              <w:bottom w:type="dxa" w:w="60"/>
              <w:right w:type="dxa" w:w="100"/>
            </w:tcMar>
          </w:tcPr>
          <w:p>
            <w:r>
              <w:rPr>
                <w:b/>
                <w:bCs/>
                <w:color w:val="FFFFFF"/>
                <w:sz w:val="20"/>
                <w:szCs w:val="20"/>
              </w:rPr>
              <w:t xml:space="preserve">Product</w:t>
            </w:r>
          </w:p>
        </w:tc>
        <w:tc>
          <w:tcPr>
            <w:tcW w:type="dxa" w:w="3120"/>
            <w:shd w:fill="2B2B2B" w:val="clear"/>
            <w:tcMar>
              <w:top w:type="dxa" w:w="60"/>
              <w:left w:type="dxa" w:w="100"/>
              <w:bottom w:type="dxa" w:w="60"/>
              <w:right w:type="dxa" w:w="100"/>
            </w:tcMar>
          </w:tcPr>
          <w:p>
            <w:r>
              <w:rPr>
                <w:b/>
                <w:bCs/>
                <w:color w:val="FFFFFF"/>
                <w:sz w:val="20"/>
                <w:szCs w:val="20"/>
              </w:rPr>
              <w:t xml:space="preserve">Support channel</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AquaGrid Systems Inc.</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AquaGrid Core, HMI</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Vendor portal, then phone for Critical</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Schneider Electric</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Modicon M580 / M340 PLCs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Regional field service line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Allen-Bradley (Rockwell)</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ControlLogix 5580 PLCs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Regional field service line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FlowVault Inc.</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FlowVault Historian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Annual contract, scheduled health checks</w:t>
            </w:r>
          </w:p>
        </w:tc>
      </w:tr>
    </w:tbl>
    <w:p>
      <w:pPr>
        <w:spacing w:after="160"/>
      </w:pPr>
    </w:p>
    <w:p>
      <w:pPr>
        <w:spacing w:after="140"/>
        <w:jc w:val="both"/>
      </w:pPr>
      <w:r>
        <w:rPr>
          <w:sz w:val="21"/>
          <w:szCs w:val="21"/>
        </w:rPr>
        <w:t xml:space="preserve">Hardware warranty claims for Modicon M580 units should reference the original installation date recorded in the station reference table in RWU-ENG-014 Appendix B, since warranty coverage is tracked from that date, not from the current date.</w:t>
      </w:r>
    </w:p>
    <w:p>
      <w:pPr>
        <w:pStyle w:val="Heading1"/>
        <w:spacing w:after="120" w:before="320"/>
      </w:pPr>
      <w:r>
        <w:t xml:space="preserve">13. History of Major Incidents</w:t>
      </w:r>
    </w:p>
    <w:p>
      <w:pPr>
        <w:spacing w:after="140"/>
        <w:jc w:val="both"/>
      </w:pPr>
      <w:r>
        <w:rPr>
          <w:sz w:val="21"/>
          <w:szCs w:val="21"/>
        </w:rPr>
        <w:t xml:space="preserve">This section summarises incidents that changed operating procedure, kept for context when a similar pattern reappears.</w:t>
      </w:r>
    </w:p>
    <w:p>
      <w:pPr>
        <w:spacing w:after="140"/>
        <w:jc w:val="both"/>
      </w:pPr>
      <w:r>
        <w:rPr>
          <w:sz w:val="21"/>
          <w:szCs w:val="21"/>
        </w:rPr>
        <w:t xml:space="preserve">The March 2023 ice storm caused a 61-hour outage at 11 stations served by the Ridgeline North repeater tower, the longest outage on record, and led directly to the current 72-hour local buffer sizing described in RWU-ENG-014 Section 4.3.</w:t>
      </w:r>
    </w:p>
    <w:p>
      <w:pPr>
        <w:spacing w:after="140"/>
        <w:jc w:val="both"/>
      </w:pPr>
      <w:r>
        <w:rPr>
          <w:sz w:val="21"/>
          <w:szCs w:val="21"/>
        </w:rPr>
        <w:t xml:space="preserve">The 2021 fleet-wide battery failure, in which units testing healthy at 20 months failed within weeks, led to the current fixed 24-month replacement interval regardless of measured battery condition.</w:t>
      </w:r>
    </w:p>
    <w:p>
      <w:pPr>
        <w:spacing w:after="140"/>
        <w:jc w:val="both"/>
      </w:pPr>
      <w:r>
        <w:rPr>
          <w:sz w:val="21"/>
          <w:szCs w:val="21"/>
        </w:rPr>
        <w:t xml:space="preserve">The March 2025 north zone communication outage, which took 40 minutes to detect under the previous flat 3-missed-poll threshold, led to the current tiered business-hours escalation rule described in Section 3.2 of this runbook.</w:t>
      </w:r>
    </w:p>
    <w:p>
      <w:pPr>
        <w:spacing w:after="140"/>
        <w:jc w:val="both"/>
      </w:pPr>
      <w:r>
        <w:rPr>
          <w:sz w:val="21"/>
          <w:szCs w:val="21"/>
        </w:rPr>
        <w:t xml:space="preserve">A shared-login incident in 2019, in which a setpoint change could not be attributed to a specific operator, led to the mandatory per-operator Active Directory login introduced with AquaGrid 4.0 and referenced in RWU-ENG-014 Section 2.1.</w:t>
      </w:r>
    </w:p>
    <w:p>
      <w:pPr>
        <w:pStyle w:val="Heading1"/>
        <w:spacing w:after="120" w:before="320"/>
      </w:pPr>
      <w:r>
        <w:t xml:space="preserve">Appendix: Forms and Logs Reference</w:t>
      </w:r>
    </w:p>
    <w:p>
      <w:pPr>
        <w:pStyle w:val="ListParagraph"/>
        <w:numPr>
          <w:ilvl w:val="0"/>
          <w:numId w:val="1"/>
        </w:numPr>
        <w:spacing w:after="60"/>
      </w:pPr>
      <w:r>
        <w:rPr>
          <w:sz w:val="21"/>
          <w:szCs w:val="21"/>
        </w:rPr>
        <w:t xml:space="preserve">Shift handover form: paper, filed in the control room binder, referenced in Section 2.</w:t>
      </w:r>
    </w:p>
    <w:p>
      <w:pPr>
        <w:pStyle w:val="ListParagraph"/>
        <w:numPr>
          <w:ilvl w:val="0"/>
          <w:numId w:val="1"/>
        </w:numPr>
        <w:spacing w:after="60"/>
      </w:pPr>
      <w:r>
        <w:rPr>
          <w:sz w:val="21"/>
          <w:szCs w:val="21"/>
        </w:rPr>
        <w:t xml:space="preserve">Digital shift log: /opt/aquagrid/logs/shift/, one file per station per incident, referenced in Section 3.1.</w:t>
      </w:r>
    </w:p>
    <w:p>
      <w:pPr>
        <w:pStyle w:val="ListParagraph"/>
        <w:numPr>
          <w:ilvl w:val="0"/>
          <w:numId w:val="1"/>
        </w:numPr>
        <w:spacing w:after="60"/>
      </w:pPr>
      <w:r>
        <w:rPr>
          <w:sz w:val="21"/>
          <w:szCs w:val="21"/>
        </w:rPr>
        <w:t xml:space="preserve">Calibration record: updated directly on the HMI asset panel, referenced in Section 4.</w:t>
      </w:r>
    </w:p>
    <w:p>
      <w:pPr>
        <w:pStyle w:val="ListParagraph"/>
        <w:numPr>
          <w:ilvl w:val="0"/>
          <w:numId w:val="1"/>
        </w:numPr>
        <w:spacing w:after="60"/>
      </w:pPr>
      <w:r>
        <w:rPr>
          <w:sz w:val="21"/>
          <w:szCs w:val="21"/>
        </w:rPr>
        <w:t xml:space="preserve">Incident log for Recovery Procedure R-7 events: filed under RWU-INC-DR, referenced in Section 8.</w:t>
      </w:r>
    </w:p>
    <w:p>
      <w:pPr>
        <w:pStyle w:val="ListParagraph"/>
        <w:numPr>
          <w:ilvl w:val="0"/>
          <w:numId w:val="1"/>
        </w:numPr>
        <w:spacing w:after="60"/>
      </w:pPr>
      <w:r>
        <w:rPr>
          <w:sz w:val="21"/>
          <w:szCs w:val="21"/>
        </w:rPr>
        <w:t xml:space="preserve">Radio path survey work order: category RWU-WO-RADIO, referenced in Sections 5 and 6.</w:t>
      </w:r>
    </w:p>
    <w:p>
      <w:pPr>
        <w:spacing w:after="1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Riverside Water Utility — Internal Operations</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RWU-OPS-007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2026-09-16T06:54:43.844Z</dcterms:created>
  <dcterms:modified xsi:type="dcterms:W3CDTF">2026-09-16T06:54:43.844Z</dcterms:modified>
</cp:coreProperties>
</file>

<file path=docProps/custom.xml><?xml version="1.0" encoding="utf-8"?>
<Properties xmlns="http://schemas.openxmlformats.org/officeDocument/2006/custom-properties" xmlns:vt="http://schemas.openxmlformats.org/officeDocument/2006/docPropsVTypes"/>
</file>