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55555"/>
          <w:sz w:val="22"/>
          <w:szCs w:val="22"/>
        </w:rPr>
        <w:t xml:space="preserve">Northline Logistics — Fleet Operations</w:t>
      </w:r>
    </w:p>
    <w:p>
      <w:pPr>
        <w:spacing w:after="200"/>
      </w:pPr>
      <w:r>
        <w:rPr>
          <w:b/>
          <w:bCs/>
          <w:sz w:val="40"/>
          <w:szCs w:val="40"/>
        </w:rPr>
        <w:t xml:space="preserve">ColdTrace Telematics: Field Engineer Guide</w:t>
      </w:r>
    </w:p>
    <w:tbl>
      <w:tblPr>
        <w:tblW w:type="dxa" w:w="9360"/>
        <w:tblBorders>
          <w:top w:val="single" w:color="AAAAAA" w:sz="2"/>
          <w:left w:val="none"/>
          <w:bottom w:val="single" w:color="AAAAAA" w:sz="2"/>
          <w:right w:val="none"/>
          <w:insideH w:val="single" w:color="DDDDDD" w:sz="2"/>
          <w:insideV w:val="none"/>
        </w:tblBorders>
      </w:tblPr>
      <w:tblGrid>
        <w:gridCol w:w="2400"/>
        <w:gridCol w:w="6960"/>
      </w:tblGrid>
      <w:tr>
        <w:tc>
          <w:tcPr>
            <w:tcW w:type="dxa" w:w="2400"/>
            <w:tcMar>
              <w:top w:type="dxa" w:w="40"/>
              <w:left w:type="dxa" w:w="60"/>
              <w:bottom w:type="dxa" w:w="40"/>
              <w:right w:type="dxa" w:w="60"/>
            </w:tcMar>
          </w:tcPr>
          <w:p>
            <w:r>
              <w:rPr>
                <w:b/>
                <w:bCs/>
                <w:sz w:val="19"/>
                <w:szCs w:val="19"/>
              </w:rPr>
              <w:t xml:space="preserve">Document ID</w:t>
            </w:r>
          </w:p>
        </w:tc>
        <w:tc>
          <w:tcPr>
            <w:tcW w:type="dxa" w:w="6960"/>
            <w:tcMar>
              <w:top w:type="dxa" w:w="40"/>
              <w:left w:type="dxa" w:w="60"/>
              <w:bottom w:type="dxa" w:w="40"/>
              <w:right w:type="dxa" w:w="60"/>
            </w:tcMar>
          </w:tcPr>
          <w:p>
            <w:r>
              <w:rPr>
                <w:sz w:val="19"/>
                <w:szCs w:val="19"/>
              </w:rPr>
              <w:t xml:space="preserve">NL-FLD-002</w:t>
            </w:r>
          </w:p>
        </w:tc>
      </w:tr>
      <w:tr>
        <w:tc>
          <w:tcPr>
            <w:tcW w:type="dxa" w:w="2400"/>
            <w:tcMar>
              <w:top w:type="dxa" w:w="40"/>
              <w:left w:type="dxa" w:w="60"/>
              <w:bottom w:type="dxa" w:w="40"/>
              <w:right w:type="dxa" w:w="60"/>
            </w:tcMar>
          </w:tcPr>
          <w:p>
            <w:r>
              <w:rPr>
                <w:b/>
                <w:bCs/>
                <w:sz w:val="19"/>
                <w:szCs w:val="19"/>
              </w:rPr>
              <w:t xml:space="preserve">Edition</w:t>
            </w:r>
          </w:p>
        </w:tc>
        <w:tc>
          <w:tcPr>
            <w:tcW w:type="dxa" w:w="6960"/>
            <w:tcMar>
              <w:top w:type="dxa" w:w="40"/>
              <w:left w:type="dxa" w:w="60"/>
              <w:bottom w:type="dxa" w:w="40"/>
              <w:right w:type="dxa" w:w="60"/>
            </w:tcMar>
          </w:tcPr>
          <w:p>
            <w:r>
              <w:rPr>
                <w:sz w:val="19"/>
                <w:szCs w:val="19"/>
              </w:rPr>
              <w:t xml:space="preserve">3</w:t>
            </w:r>
          </w:p>
        </w:tc>
      </w:tr>
      <w:tr>
        <w:tc>
          <w:tcPr>
            <w:tcW w:type="dxa" w:w="2400"/>
            <w:tcMar>
              <w:top w:type="dxa" w:w="40"/>
              <w:left w:type="dxa" w:w="60"/>
              <w:bottom w:type="dxa" w:w="40"/>
              <w:right w:type="dxa" w:w="60"/>
            </w:tcMar>
          </w:tcPr>
          <w:p>
            <w:r>
              <w:rPr>
                <w:b/>
                <w:bCs/>
                <w:sz w:val="19"/>
                <w:szCs w:val="19"/>
              </w:rPr>
              <w:t xml:space="preserve">Printed</w:t>
            </w:r>
          </w:p>
        </w:tc>
        <w:tc>
          <w:tcPr>
            <w:tcW w:type="dxa" w:w="6960"/>
            <w:tcMar>
              <w:top w:type="dxa" w:w="40"/>
              <w:left w:type="dxa" w:w="60"/>
              <w:bottom w:type="dxa" w:w="40"/>
              <w:right w:type="dxa" w:w="60"/>
            </w:tcMar>
          </w:tcPr>
          <w:p>
            <w:r>
              <w:rPr>
                <w:sz w:val="19"/>
                <w:szCs w:val="19"/>
              </w:rPr>
              <w:t xml:space="preserve">October 2025</w:t>
            </w:r>
          </w:p>
        </w:tc>
      </w:tr>
      <w:tr>
        <w:tc>
          <w:tcPr>
            <w:tcW w:type="dxa" w:w="2400"/>
            <w:tcMar>
              <w:top w:type="dxa" w:w="40"/>
              <w:left w:type="dxa" w:w="60"/>
              <w:bottom w:type="dxa" w:w="40"/>
              <w:right w:type="dxa" w:w="60"/>
            </w:tcMar>
          </w:tcPr>
          <w:p>
            <w:r>
              <w:rPr>
                <w:b/>
                <w:bCs/>
                <w:sz w:val="19"/>
                <w:szCs w:val="19"/>
              </w:rPr>
              <w:t xml:space="preserve">Classification</w:t>
            </w:r>
          </w:p>
        </w:tc>
        <w:tc>
          <w:tcPr>
            <w:tcW w:type="dxa" w:w="6960"/>
            <w:tcMar>
              <w:top w:type="dxa" w:w="40"/>
              <w:left w:type="dxa" w:w="60"/>
              <w:bottom w:type="dxa" w:w="40"/>
              <w:right w:type="dxa" w:w="60"/>
            </w:tcMar>
          </w:tcPr>
          <w:p>
            <w:r>
              <w:rPr>
                <w:sz w:val="19"/>
                <w:szCs w:val="19"/>
              </w:rPr>
              <w:t xml:space="preserve">Internal Operations</w:t>
            </w:r>
          </w:p>
        </w:tc>
      </w:tr>
      <w:tr>
        <w:tc>
          <w:tcPr>
            <w:tcW w:type="dxa" w:w="2400"/>
            <w:tcMar>
              <w:top w:type="dxa" w:w="40"/>
              <w:left w:type="dxa" w:w="60"/>
              <w:bottom w:type="dxa" w:w="40"/>
              <w:right w:type="dxa" w:w="60"/>
            </w:tcMar>
          </w:tcPr>
          <w:p>
            <w:r>
              <w:rPr>
                <w:b/>
                <w:bCs/>
                <w:sz w:val="19"/>
                <w:szCs w:val="19"/>
              </w:rPr>
              <w:t xml:space="preserve">Owner</w:t>
            </w:r>
          </w:p>
        </w:tc>
        <w:tc>
          <w:tcPr>
            <w:tcW w:type="dxa" w:w="6960"/>
            <w:tcMar>
              <w:top w:type="dxa" w:w="40"/>
              <w:left w:type="dxa" w:w="60"/>
              <w:bottom w:type="dxa" w:w="40"/>
              <w:right w:type="dxa" w:w="60"/>
            </w:tcMar>
          </w:tcPr>
          <w:p>
            <w:r>
              <w:rPr>
                <w:sz w:val="19"/>
                <w:szCs w:val="19"/>
              </w:rPr>
              <w:t xml:space="preserve">Fleet Operations</w:t>
            </w:r>
          </w:p>
        </w:tc>
      </w:tr>
    </w:tbl>
    <w:p>
      <w:pPr>
        <w:spacing w:after="300"/>
      </w:pPr>
    </w:p>
    <w:p>
      <w:pPr>
        <w:pStyle w:val="Heading1"/>
        <w:spacing w:after="120" w:before="320"/>
      </w:pPr>
      <w:r>
        <w:t xml:space="preserve">1. Purpose and Audience</w:t>
      </w:r>
    </w:p>
    <w:p>
      <w:pPr>
        <w:spacing w:after="140"/>
        <w:jc w:val="both"/>
      </w:pPr>
      <w:r>
        <w:rPr>
          <w:sz w:val="21"/>
          <w:szCs w:val="21"/>
        </w:rPr>
        <w:t xml:space="preserve">This field guide supports Field Engineers and Depot Technicians servicing the ColdTrace telematics fleet. It assumes familiarity with the dispatcher portal but not with the underlying platform architecture.</w:t>
      </w:r>
    </w:p>
    <w:p>
      <w:pPr>
        <w:spacing w:after="140"/>
        <w:jc w:val="both"/>
      </w:pPr>
      <w:r>
        <w:rPr>
          <w:sz w:val="21"/>
          <w:szCs w:val="21"/>
        </w:rPr>
        <w:t xml:space="preserve">The platform architecture and design rationale behind the limits referenced here are documented separately in NL-TEL-005. Where a number in this guide differs from NL-TEL-005, follow this guide for field action and flag the discrepancy at the next monthly engineering sync.</w:t>
      </w:r>
    </w:p>
    <w:p>
      <w:pPr>
        <w:spacing w:after="140"/>
        <w:jc w:val="both"/>
      </w:pPr>
      <w:r>
        <w:rPr>
          <w:sz w:val="21"/>
          <w:szCs w:val="21"/>
        </w:rPr>
        <w:t xml:space="preserve">This edition supersedes Edition 2, printed March 2025, and reflects revised failover guidance issued after the July 2025 review of extended dead-zone incidents on the northern route.</w:t>
      </w:r>
    </w:p>
    <w:p>
      <w:pPr>
        <w:pStyle w:val="Heading1"/>
        <w:spacing w:after="120" w:before="320"/>
      </w:pPr>
      <w:r>
        <w:t xml:space="preserve">2. Daily Depot Procedures</w:t>
      </w:r>
    </w:p>
    <w:p>
      <w:pPr>
        <w:spacing w:after="80"/>
        <w:ind w:left="360"/>
      </w:pPr>
      <w:r>
        <w:rPr>
          <w:sz w:val="21"/>
          <w:szCs w:val="21"/>
        </w:rPr>
        <w:t xml:space="preserve">1. Review the dispatcher portal's fleet overview for any trailer shown offline or in an active alert state.</w:t>
      </w:r>
    </w:p>
    <w:p>
      <w:pPr>
        <w:spacing w:after="80"/>
        <w:ind w:left="360"/>
      </w:pPr>
      <w:r>
        <w:rPr>
          <w:sz w:val="21"/>
          <w:szCs w:val="21"/>
        </w:rPr>
        <w:t xml:space="preserve">2. Confirm the previous shift's handover notes are complete, filed in the depot's shared drive under /depot/handover/.</w:t>
      </w:r>
    </w:p>
    <w:p>
      <w:pPr>
        <w:spacing w:after="80"/>
        <w:ind w:left="360"/>
      </w:pPr>
      <w:r>
        <w:rPr>
          <w:sz w:val="21"/>
          <w:szCs w:val="21"/>
        </w:rPr>
        <w:t xml:space="preserve">3. Check for any trailer with a pending firmware update stuck in progress for more than 24 hours.</w:t>
      </w:r>
    </w:p>
    <w:p>
      <w:pPr>
        <w:spacing w:after="80"/>
        <w:ind w:left="360"/>
      </w:pPr>
      <w:r>
        <w:rPr>
          <w:sz w:val="21"/>
          <w:szCs w:val="21"/>
        </w:rPr>
        <w:t xml:space="preserve">4. Verify the depot's own VPN tunnel to the Tier 2 cluster is active before relying on real-time trailer status.</w:t>
      </w:r>
    </w:p>
    <w:p>
      <w:pPr>
        <w:spacing w:after="100"/>
      </w:pPr>
    </w:p>
    <w:p>
      <w:pPr>
        <w:spacing w:after="140"/>
        <w:jc w:val="both"/>
      </w:pPr>
      <w:r>
        <w:rPr>
          <w:sz w:val="21"/>
          <w:szCs w:val="21"/>
        </w:rPr>
        <w:t xml:space="preserve">The dispatcher portal session times out after 30 minutes of inactivity; do not share a login between technicians, since each override action is tied to an individual account for the compliance audit trail.</w:t>
      </w:r>
    </w:p>
    <w:p>
      <w:pPr>
        <w:pStyle w:val="Heading2"/>
        <w:spacing w:after="100" w:before="200"/>
      </w:pPr>
      <w:r>
        <w:t xml:space="preserve">2.1 End-of-Shift Checklist</w:t>
      </w:r>
    </w:p>
    <w:p>
      <w:pPr>
        <w:spacing w:after="80"/>
        <w:ind w:left="360"/>
      </w:pPr>
      <w:r>
        <w:rPr>
          <w:sz w:val="21"/>
          <w:szCs w:val="21"/>
        </w:rPr>
        <w:t xml:space="preserve">1. Clear acknowledged alerts older than 24 hours after confirming the underlying cause is resolved.</w:t>
      </w:r>
    </w:p>
    <w:p>
      <w:pPr>
        <w:spacing w:after="80"/>
        <w:ind w:left="360"/>
      </w:pPr>
      <w:r>
        <w:rPr>
          <w:sz w:val="21"/>
          <w:szCs w:val="21"/>
        </w:rPr>
        <w:t xml:space="preserve">2. Record any trailer placed under manual dispatcher override during the shift.</w:t>
      </w:r>
    </w:p>
    <w:p>
      <w:pPr>
        <w:spacing w:after="80"/>
        <w:ind w:left="360"/>
      </w:pPr>
      <w:r>
        <w:rPr>
          <w:sz w:val="21"/>
          <w:szCs w:val="21"/>
        </w:rPr>
        <w:t xml:space="preserve">3. Complete the depot handover notes with open items and pending work orders.</w:t>
      </w:r>
    </w:p>
    <w:p>
      <w:pPr>
        <w:spacing w:after="80"/>
        <w:ind w:left="360"/>
      </w:pPr>
      <w:r>
        <w:rPr>
          <w:sz w:val="21"/>
          <w:szCs w:val="21"/>
        </w:rPr>
        <w:t xml:space="preserve">4. Verbally brief the incoming technician on any Critical alert from the shift.</w:t>
      </w:r>
    </w:p>
    <w:p>
      <w:pPr>
        <w:spacing w:after="100"/>
      </w:pPr>
    </w:p>
    <w:p>
      <w:pPr>
        <w:pStyle w:val="Heading2"/>
        <w:spacing w:after="100" w:before="200"/>
      </w:pPr>
      <w:r>
        <w:t xml:space="preserve">2.2 Seasonal Notes</w:t>
      </w:r>
    </w:p>
    <w:p>
      <w:pPr>
        <w:spacing w:after="140"/>
        <w:jc w:val="both"/>
      </w:pPr>
      <w:r>
        <w:rPr>
          <w:sz w:val="21"/>
          <w:szCs w:val="21"/>
        </w:rPr>
        <w:t xml:space="preserve">Cellular signal strength along the northern route degrades measurably during winter storms, with dead zone durations extending by 15 to 25 minutes beyond the typical 40-minute baseline described in Section 4.</w:t>
      </w:r>
    </w:p>
    <w:p>
      <w:pPr>
        <w:spacing w:after="140"/>
        <w:jc w:val="both"/>
      </w:pPr>
      <w:r>
        <w:rPr>
          <w:sz w:val="21"/>
          <w:szCs w:val="21"/>
        </w:rPr>
        <w:t xml:space="preserve">Depot Technicians should carry a spare CE-310 gateway during the November to March window, since cold-weather connector failures account for roughly a third of winter dispatches.</w:t>
      </w:r>
    </w:p>
    <w:p>
      <w:pPr>
        <w:pStyle w:val="Heading1"/>
        <w:spacing w:after="120" w:before="320"/>
      </w:pPr>
      <w:r>
        <w:t xml:space="preserve">3. Alert Response Procedures</w:t>
      </w:r>
    </w:p>
    <w:p>
      <w:pPr>
        <w:pStyle w:val="Heading2"/>
        <w:spacing w:after="100" w:before="200"/>
      </w:pPr>
      <w:r>
        <w:t xml:space="preserve">3.1 Critical Alert Response</w:t>
      </w:r>
    </w:p>
    <w:p>
      <w:pPr>
        <w:spacing w:after="80"/>
        <w:ind w:left="360"/>
      </w:pPr>
      <w:r>
        <w:rPr>
          <w:sz w:val="21"/>
          <w:szCs w:val="21"/>
        </w:rPr>
        <w:t xml:space="preserve">1. Acknowledge the alert in the dispatcher portal within 3 minutes of it appearing, noting the trailer ID and alert type.</w:t>
      </w:r>
    </w:p>
    <w:p>
      <w:pPr>
        <w:spacing w:after="80"/>
        <w:ind w:left="360"/>
      </w:pPr>
      <w:r>
        <w:rPr>
          <w:sz w:val="21"/>
          <w:szCs w:val="21"/>
        </w:rPr>
        <w:t xml:space="preserve">2. Check the trailer's live temperature trend against the load's contracted threshold before assuming equipment failure.</w:t>
      </w:r>
    </w:p>
    <w:p>
      <w:pPr>
        <w:spacing w:after="80"/>
        <w:ind w:left="360"/>
      </w:pPr>
      <w:r>
        <w:rPr>
          <w:sz w:val="21"/>
          <w:szCs w:val="21"/>
        </w:rPr>
        <w:t xml:space="preserve">3. If the reefer unit itself appears to have failed rather than the sensor, contact the driver directly and escalate to the Cold Chain Compliance Officer.</w:t>
      </w:r>
    </w:p>
    <w:p>
      <w:pPr>
        <w:spacing w:after="80"/>
        <w:ind w:left="360"/>
      </w:pPr>
      <w:r>
        <w:rPr>
          <w:sz w:val="21"/>
          <w:szCs w:val="21"/>
        </w:rPr>
        <w:t xml:space="preserve">4. Log the response in the depot's incident log, referencing the trailer ID and the confirmed cause once known.</w:t>
      </w:r>
    </w:p>
    <w:p>
      <w:pPr>
        <w:spacing w:after="100"/>
      </w:pPr>
    </w:p>
    <w:p>
      <w:pPr>
        <w:spacing w:after="140"/>
        <w:jc w:val="both"/>
      </w:pPr>
      <w:r>
        <w:rPr>
          <w:sz w:val="21"/>
          <w:szCs w:val="21"/>
        </w:rPr>
        <w:t xml:space="preserve">Once an alert is acknowledged, the alarm suppression period is 20 minutes; a recurrence after suppression expires should be treated as a new event, not a continuation of the first.</w:t>
      </w:r>
    </w:p>
    <w:p>
      <w:pPr>
        <w:pStyle w:val="Heading2"/>
        <w:spacing w:after="100" w:before="200"/>
      </w:pPr>
      <w:r>
        <w:t xml:space="preserve">3.2 Escalation Timing</w:t>
      </w:r>
    </w:p>
    <w:p>
      <w:pPr>
        <w:spacing w:after="140"/>
        <w:jc w:val="both"/>
      </w:pPr>
      <w:r>
        <w:rPr>
          <w:sz w:val="21"/>
          <w:szCs w:val="21"/>
        </w:rPr>
        <w:t xml:space="preserve">A temperature deviation of 2.5 degrees Celsius sustained for 12 minutes triggers Tier 2 escalation automatically; a Field Engineer does not need to manually escalate before this threshold, but may escalate earlier at their own judgement for a high-value load.</w:t>
      </w:r>
    </w:p>
    <w:p>
      <w:pPr>
        <w:pStyle w:val="Heading1"/>
        <w:spacing w:after="120" w:before="320"/>
      </w:pPr>
      <w:r>
        <w:t xml:space="preserve">4. Gateway Troubleshooting</w:t>
      </w:r>
    </w:p>
    <w:p>
      <w:pPr>
        <w:spacing w:after="140"/>
        <w:jc w:val="both"/>
      </w:pPr>
      <w:r>
        <w:rPr>
          <w:sz w:val="21"/>
          <w:szCs w:val="21"/>
        </w:rPr>
        <w:t xml:space="preserve">A gateway shown offline in the dispatcher portal should first be checked against known dead zones on the route before assuming hardware failure; the northern trans-continental route has 3 known cellular dead zones exceeding 40 minutes each.</w:t>
      </w:r>
    </w:p>
    <w:p>
      <w:pPr>
        <w:pStyle w:val="Heading2"/>
        <w:spacing w:after="100" w:before="200"/>
      </w:pPr>
      <w:r>
        <w:t xml:space="preserve">4.1 Cellular to Satellite Failover</w:t>
      </w:r>
    </w:p>
    <w:p>
      <w:pPr>
        <w:spacing w:after="140"/>
        <w:jc w:val="both"/>
      </w:pPr>
      <w:r>
        <w:rPr>
          <w:sz w:val="21"/>
          <w:szCs w:val="21"/>
        </w:rPr>
        <w:t xml:space="preserve">The platform's design failover window from cellular to Iridium satellite is 90 seconds. In the field, if failover has not visibly completed within 2 minutes on the gateway's diagnostic LED, manually power-cycle the gateway rather than continuing to wait, a more conservative rule than the platform's stated 90-second target, adopted after several units were observed to hang rather than fail over cleanly.</w:t>
      </w:r>
    </w:p>
    <w:p>
      <w:pPr>
        <w:spacing w:after="140"/>
        <w:jc w:val="both"/>
      </w:pPr>
      <w:r>
        <w:rPr>
          <w:sz w:val="21"/>
          <w:szCs w:val="21"/>
        </w:rPr>
        <w:t xml:space="preserve">Gateways running firmware older than version 1.8 buffer only 72 hours of readings rather than the current 96-hour design capacity in NL-TEL-005 Section 4.3; check the firmware version before assuming a gateway can survive an extended dead zone without data loss.</w:t>
      </w:r>
    </w:p>
    <w:p>
      <w:pPr>
        <w:pStyle w:val="Heading2"/>
        <w:spacing w:after="100" w:before="200"/>
      </w:pPr>
      <w:r>
        <w:t xml:space="preserve">4.2 Probe and Door Sensor Faults</w:t>
      </w:r>
    </w:p>
    <w:p>
      <w:pPr>
        <w:spacing w:after="140"/>
        <w:jc w:val="both"/>
      </w:pPr>
      <w:r>
        <w:rPr>
          <w:sz w:val="21"/>
          <w:szCs w:val="21"/>
        </w:rPr>
        <w:t xml:space="preserve">Error code CT-8801, probe disconnect, most often traces to a loose connector at the junction box rather than a failed probe itself; check the connector before ordering a replacement Thermatrak TT-500 unit.</w:t>
      </w:r>
    </w:p>
    <w:p>
      <w:pPr>
        <w:spacing w:after="140"/>
        <w:jc w:val="both"/>
      </w:pPr>
      <w:r>
        <w:rPr>
          <w:sz w:val="21"/>
          <w:szCs w:val="21"/>
        </w:rPr>
        <w:t xml:space="preserve">Error code CT-6010, watchdog restart, self-resolves in the large majority of cases within one restart cycle; a gateway logging CT-6010 more than twice in 24 hours should be swapped rather than restarted a third time.</w:t>
      </w:r>
    </w:p>
    <w:p>
      <w:pPr>
        <w:pStyle w:val="Heading1"/>
        <w:spacing w:after="120" w:before="320"/>
      </w:pPr>
      <w:r>
        <w:t xml:space="preserve">5. Error Code Field Reference</w:t>
      </w:r>
    </w:p>
    <w:p>
      <w:pPr>
        <w:spacing w:after="80" w:before="160"/>
      </w:pPr>
      <w:r>
        <w:rPr>
          <w:i/>
          <w:iCs/>
          <w:sz w:val="19"/>
          <w:szCs w:val="19"/>
        </w:rPr>
        <w:t xml:space="preserve">Table 1. Error codes and field response</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120"/>
        <w:gridCol w:w="3120"/>
        <w:gridCol w:w="3120"/>
      </w:tblGrid>
      <w:tr>
        <w:trPr>
          <w:tblHeader/>
        </w:trPr>
        <w:tc>
          <w:tcPr>
            <w:tcW w:type="dxa" w:w="3120"/>
            <w:shd w:fill="2B2B2B" w:val="clear"/>
            <w:tcMar>
              <w:top w:type="dxa" w:w="60"/>
              <w:left w:type="dxa" w:w="100"/>
              <w:bottom w:type="dxa" w:w="60"/>
              <w:right w:type="dxa" w:w="100"/>
            </w:tcMar>
          </w:tcPr>
          <w:p>
            <w:r>
              <w:rPr>
                <w:b/>
                <w:bCs/>
                <w:color w:val="FFFFFF"/>
                <w:sz w:val="20"/>
                <w:szCs w:val="20"/>
              </w:rPr>
              <w:t xml:space="preserve">Code</w:t>
            </w:r>
          </w:p>
        </w:tc>
        <w:tc>
          <w:tcPr>
            <w:tcW w:type="dxa" w:w="3120"/>
            <w:shd w:fill="2B2B2B" w:val="clear"/>
            <w:tcMar>
              <w:top w:type="dxa" w:w="60"/>
              <w:left w:type="dxa" w:w="100"/>
              <w:bottom w:type="dxa" w:w="60"/>
              <w:right w:type="dxa" w:w="100"/>
            </w:tcMar>
          </w:tcPr>
          <w:p>
            <w:r>
              <w:rPr>
                <w:b/>
                <w:bCs/>
                <w:color w:val="FFFFFF"/>
                <w:sz w:val="20"/>
                <w:szCs w:val="20"/>
              </w:rPr>
              <w:t xml:space="preserve">Meaning</w:t>
            </w:r>
          </w:p>
        </w:tc>
        <w:tc>
          <w:tcPr>
            <w:tcW w:type="dxa" w:w="3120"/>
            <w:shd w:fill="2B2B2B" w:val="clear"/>
            <w:tcMar>
              <w:top w:type="dxa" w:w="60"/>
              <w:left w:type="dxa" w:w="100"/>
              <w:bottom w:type="dxa" w:w="60"/>
              <w:right w:type="dxa" w:w="100"/>
            </w:tcMar>
          </w:tcPr>
          <w:p>
            <w:r>
              <w:rPr>
                <w:b/>
                <w:bCs/>
                <w:color w:val="FFFFFF"/>
                <w:sz w:val="20"/>
                <w:szCs w:val="20"/>
              </w:rPr>
              <w:t xml:space="preserve">First response</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CT-8801</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Temperature probe disconnect</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Check junction box connector before replacing probe</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CT-4420</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Gateway ingestion rate throttled</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Notify platform team; not field-resolvable</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CT-6010</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Watchdog restart</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Swap gateway if it recurs more than twice in 24 hours</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CT-2290</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Calibration overdue (120-day threshold)</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Schedule calibration same week</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CT-9004</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Ingestion queue overflow at server</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Notify platform team; not field-resolvable</w:t>
            </w:r>
          </w:p>
        </w:tc>
      </w:tr>
    </w:tbl>
    <w:p>
      <w:pPr>
        <w:spacing w:after="160"/>
      </w:pPr>
    </w:p>
    <w:p>
      <w:pPr>
        <w:pStyle w:val="Heading1"/>
        <w:spacing w:after="120" w:before="320"/>
      </w:pPr>
      <w:r>
        <w:t xml:space="preserve">6. Calibration Field Procedure</w:t>
      </w:r>
    </w:p>
    <w:p>
      <w:pPr>
        <w:spacing w:after="140"/>
        <w:jc w:val="both"/>
      </w:pPr>
      <w:r>
        <w:rPr>
          <w:sz w:val="21"/>
          <w:szCs w:val="21"/>
        </w:rPr>
        <w:t xml:space="preserve">Probe calibration is performed every 120 days, matching the design interval in NL-TEL-005 Section 8.1; unlike Riverside's tightened field schedule, Northline has not needed to shorten this interval based on observed drift data through 2025.</w:t>
      </w:r>
    </w:p>
    <w:p>
      <w:pPr>
        <w:spacing w:after="80"/>
        <w:ind w:left="360"/>
      </w:pPr>
      <w:r>
        <w:rPr>
          <w:sz w:val="21"/>
          <w:szCs w:val="21"/>
        </w:rPr>
        <w:t xml:space="preserve">1. Confirm the probe's last calibration date in the dispatcher portal's asset panel before dispatching a technician.</w:t>
      </w:r>
    </w:p>
    <w:p>
      <w:pPr>
        <w:spacing w:after="80"/>
        <w:ind w:left="360"/>
      </w:pPr>
      <w:r>
        <w:rPr>
          <w:sz w:val="21"/>
          <w:szCs w:val="21"/>
        </w:rPr>
        <w:t xml:space="preserve">2. Use a certified reference thermometer, verified within its own current calibration window.</w:t>
      </w:r>
    </w:p>
    <w:p>
      <w:pPr>
        <w:spacing w:after="80"/>
        <w:ind w:left="360"/>
      </w:pPr>
      <w:r>
        <w:rPr>
          <w:sz w:val="21"/>
          <w:szCs w:val="21"/>
        </w:rPr>
        <w:t xml:space="preserve">3. Take readings at the front, middle and rear probe positions, each within 0.2 degrees Celsius of the reference thermometer.</w:t>
      </w:r>
    </w:p>
    <w:p>
      <w:pPr>
        <w:spacing w:after="80"/>
        <w:ind w:left="360"/>
      </w:pPr>
      <w:r>
        <w:rPr>
          <w:sz w:val="21"/>
          <w:szCs w:val="21"/>
        </w:rPr>
        <w:t xml:space="preserve">4. Update the calibration record in the dispatcher portal immediately on-site.</w:t>
      </w:r>
    </w:p>
    <w:p>
      <w:pPr>
        <w:spacing w:after="100"/>
      </w:pPr>
    </w:p>
    <w:p>
      <w:pPr>
        <w:pStyle w:val="Heading1"/>
        <w:spacing w:after="120" w:before="320"/>
      </w:pPr>
      <w:r>
        <w:t xml:space="preserve">7. Geofence and Security Procedures</w:t>
      </w:r>
    </w:p>
    <w:p>
      <w:pPr>
        <w:spacing w:after="140"/>
        <w:jc w:val="both"/>
      </w:pPr>
      <w:r>
        <w:rPr>
          <w:sz w:val="21"/>
          <w:szCs w:val="21"/>
        </w:rPr>
        <w:t xml:space="preserve">A geofence radius of 500 metres is enforced around each of the 6 regional depots. A trailer departing that radius without an active dispatch order raises a security alert routed to the Fleet Dispatcher, who should confirm the movement was authorised before clearing it.</w:t>
      </w:r>
    </w:p>
    <w:p>
      <w:pPr>
        <w:spacing w:after="140"/>
        <w:jc w:val="both"/>
      </w:pPr>
      <w:r>
        <w:rPr>
          <w:sz w:val="21"/>
          <w:szCs w:val="21"/>
        </w:rPr>
        <w:t xml:space="preserve">API tokens for field diagnostic tools carry a 12-hour lifetime; a technician whose token expires mid-task must re-authenticate rather than continuing with a cached session.</w:t>
      </w:r>
    </w:p>
    <w:p>
      <w:pPr>
        <w:spacing w:after="140"/>
        <w:jc w:val="both"/>
      </w:pPr>
      <w:r>
        <w:rPr>
          <w:sz w:val="21"/>
          <w:szCs w:val="21"/>
        </w:rPr>
        <w:t xml:space="preserve">A trailer's GPS unit reporting a location more than 500 metres inside a depot's geofence for longer than 6 hours without an active dispatch is flagged for a manual check, since this pattern has previously indicated a parked trailer with an undispatched load rather than a security issue.</w:t>
      </w:r>
    </w:p>
    <w:p>
      <w:pPr>
        <w:pStyle w:val="Heading1"/>
        <w:spacing w:after="120" w:before="320"/>
      </w:pPr>
      <w:r>
        <w:t xml:space="preserve">8. Recovery Procedure CT-R3: Field Awareness</w:t>
      </w:r>
    </w:p>
    <w:p>
      <w:pPr>
        <w:spacing w:after="140"/>
        <w:jc w:val="both"/>
      </w:pPr>
      <w:r>
        <w:rPr>
          <w:sz w:val="21"/>
          <w:szCs w:val="21"/>
        </w:rPr>
        <w:t xml:space="preserve">Recovery Procedure CT-R3 restores the Tier 2 ingestion cluster following a full regional outage and is executed by the on-call platform engineer, not by depot staff; this section exists so Field Engineers recognise the symptoms and know not to intervene.</w:t>
      </w:r>
    </w:p>
    <w:p>
      <w:pPr>
        <w:spacing w:after="140"/>
        <w:jc w:val="both"/>
      </w:pPr>
      <w:r>
        <w:rPr>
          <w:sz w:val="21"/>
          <w:szCs w:val="21"/>
        </w:rPr>
        <w:t xml:space="preserve">During a CT-R3 event, the dispatcher portal may show a burst of trailers reconnecting simultaneously, which is expected DNS failover behaviour, not a fleet-wide fault requiring a truck-by-truck response.</w:t>
      </w:r>
    </w:p>
    <w:p>
      <w:pPr>
        <w:spacing w:after="140"/>
        <w:jc w:val="both"/>
      </w:pPr>
      <w:r>
        <w:rPr>
          <w:sz w:val="21"/>
          <w:szCs w:val="21"/>
        </w:rPr>
        <w:t xml:space="preserve">Recovery Procedure CT-R3 targets a 6-minute completion; if depot staff observe the dispatcher portal still unreachable after 15 minutes, contact the on-call platform engineer directly rather than continuing routine dispatch on a stale view.</w:t>
      </w:r>
    </w:p>
    <w:p>
      <w:pPr>
        <w:pStyle w:val="Heading1"/>
        <w:spacing w:after="120" w:before="320"/>
      </w:pPr>
      <w:r>
        <w:t xml:space="preserve">9. Preventive Maintenance Schedule</w:t>
      </w:r>
    </w:p>
    <w:p>
      <w:pPr>
        <w:spacing w:after="80" w:before="160"/>
      </w:pPr>
      <w:r>
        <w:rPr>
          <w:i/>
          <w:iCs/>
          <w:sz w:val="19"/>
          <w:szCs w:val="19"/>
        </w:rPr>
        <w:t xml:space="preserve">Table 2. Recurring maintenance tasks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120"/>
        <w:gridCol w:w="3120"/>
        <w:gridCol w:w="3120"/>
      </w:tblGrid>
      <w:tr>
        <w:trPr>
          <w:tblHeader/>
        </w:trPr>
        <w:tc>
          <w:tcPr>
            <w:tcW w:type="dxa" w:w="3120"/>
            <w:shd w:fill="2B2B2B" w:val="clear"/>
            <w:tcMar>
              <w:top w:type="dxa" w:w="60"/>
              <w:left w:type="dxa" w:w="100"/>
              <w:bottom w:type="dxa" w:w="60"/>
              <w:right w:type="dxa" w:w="100"/>
            </w:tcMar>
          </w:tcPr>
          <w:p>
            <w:r>
              <w:rPr>
                <w:b/>
                <w:bCs/>
                <w:color w:val="FFFFFF"/>
                <w:sz w:val="20"/>
                <w:szCs w:val="20"/>
              </w:rPr>
              <w:t xml:space="preserve">Task</w:t>
            </w:r>
          </w:p>
        </w:tc>
        <w:tc>
          <w:tcPr>
            <w:tcW w:type="dxa" w:w="3120"/>
            <w:shd w:fill="2B2B2B" w:val="clear"/>
            <w:tcMar>
              <w:top w:type="dxa" w:w="60"/>
              <w:left w:type="dxa" w:w="100"/>
              <w:bottom w:type="dxa" w:w="60"/>
              <w:right w:type="dxa" w:w="100"/>
            </w:tcMar>
          </w:tcPr>
          <w:p>
            <w:r>
              <w:rPr>
                <w:b/>
                <w:bCs/>
                <w:color w:val="FFFFFF"/>
                <w:sz w:val="20"/>
                <w:szCs w:val="20"/>
              </w:rPr>
              <w:t xml:space="preserve">Frequency</w:t>
            </w:r>
          </w:p>
        </w:tc>
        <w:tc>
          <w:tcPr>
            <w:tcW w:type="dxa" w:w="3120"/>
            <w:shd w:fill="2B2B2B" w:val="clear"/>
            <w:tcMar>
              <w:top w:type="dxa" w:w="60"/>
              <w:left w:type="dxa" w:w="100"/>
              <w:bottom w:type="dxa" w:w="60"/>
              <w:right w:type="dxa" w:w="100"/>
            </w:tcMar>
          </w:tcPr>
          <w:p>
            <w:r>
              <w:rPr>
                <w:b/>
                <w:bCs/>
                <w:color w:val="FFFFFF"/>
                <w:sz w:val="20"/>
                <w:szCs w:val="20"/>
              </w:rPr>
              <w:t xml:space="preserve">Responsible role</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Probe calibration</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120 days</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Field Engineer</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Gateway firmware update</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Monthly, batched by depot, max 20 in progress</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Platform team (OTA)</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Gateway battery replacement</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18 months, regardless of condition</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Depot Technician</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Ingestion cluster patching</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1st Sunday monthly, 01:00-03:00</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Platform team</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Recovery Procedure CT-R3 drill</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Quarterly</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Platform team</w:t>
            </w:r>
          </w:p>
        </w:tc>
      </w:tr>
    </w:tbl>
    <w:p>
      <w:pPr>
        <w:spacing w:after="160"/>
      </w:pPr>
    </w:p>
    <w:p>
      <w:pPr>
        <w:pStyle w:val="Heading1"/>
        <w:spacing w:after="120" w:before="320"/>
      </w:pPr>
      <w:r>
        <w:t xml:space="preserve">10. Vendor Contact Reference</w:t>
      </w:r>
    </w:p>
    <w:p>
      <w:pPr>
        <w:spacing w:after="140"/>
        <w:jc w:val="both"/>
      </w:pPr>
      <w:r>
        <w:rPr>
          <w:sz w:val="21"/>
          <w:szCs w:val="21"/>
        </w:rPr>
        <w:t xml:space="preserve">Hardware faults on the CE-310 gateway or Thermatrak TT-500 probes should be logged through the vendor portal first, escalated by phone only for a confirmed Critical-severity fault affecting an active load.</w:t>
      </w:r>
    </w:p>
    <w:p>
      <w:pPr>
        <w:spacing w:after="80" w:before="160"/>
      </w:pPr>
      <w:r>
        <w:rPr>
          <w:i/>
          <w:iCs/>
          <w:sz w:val="19"/>
          <w:szCs w:val="19"/>
        </w:rPr>
        <w:t xml:space="preserve">Table 3. Vendor contacts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120"/>
        <w:gridCol w:w="3120"/>
        <w:gridCol w:w="3120"/>
      </w:tblGrid>
      <w:tr>
        <w:trPr>
          <w:tblHeader/>
        </w:trPr>
        <w:tc>
          <w:tcPr>
            <w:tcW w:type="dxa" w:w="3120"/>
            <w:shd w:fill="2B2B2B" w:val="clear"/>
            <w:tcMar>
              <w:top w:type="dxa" w:w="60"/>
              <w:left w:type="dxa" w:w="100"/>
              <w:bottom w:type="dxa" w:w="60"/>
              <w:right w:type="dxa" w:w="100"/>
            </w:tcMar>
          </w:tcPr>
          <w:p>
            <w:r>
              <w:rPr>
                <w:b/>
                <w:bCs/>
                <w:color w:val="FFFFFF"/>
                <w:sz w:val="20"/>
                <w:szCs w:val="20"/>
              </w:rPr>
              <w:t xml:space="preserve">Vendor</w:t>
            </w:r>
          </w:p>
        </w:tc>
        <w:tc>
          <w:tcPr>
            <w:tcW w:type="dxa" w:w="3120"/>
            <w:shd w:fill="2B2B2B" w:val="clear"/>
            <w:tcMar>
              <w:top w:type="dxa" w:w="60"/>
              <w:left w:type="dxa" w:w="100"/>
              <w:bottom w:type="dxa" w:w="60"/>
              <w:right w:type="dxa" w:w="100"/>
            </w:tcMar>
          </w:tcPr>
          <w:p>
            <w:r>
              <w:rPr>
                <w:b/>
                <w:bCs/>
                <w:color w:val="FFFFFF"/>
                <w:sz w:val="20"/>
                <w:szCs w:val="20"/>
              </w:rPr>
              <w:t xml:space="preserve">Product</w:t>
            </w:r>
          </w:p>
        </w:tc>
        <w:tc>
          <w:tcPr>
            <w:tcW w:type="dxa" w:w="3120"/>
            <w:shd w:fill="2B2B2B" w:val="clear"/>
            <w:tcMar>
              <w:top w:type="dxa" w:w="60"/>
              <w:left w:type="dxa" w:w="100"/>
              <w:bottom w:type="dxa" w:w="60"/>
              <w:right w:type="dxa" w:w="100"/>
            </w:tcMar>
          </w:tcPr>
          <w:p>
            <w:r>
              <w:rPr>
                <w:b/>
                <w:bCs/>
                <w:color w:val="FFFFFF"/>
                <w:sz w:val="20"/>
                <w:szCs w:val="20"/>
              </w:rPr>
              <w:t xml:space="preserve">Support channel</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ColdTrace Systems</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CE-310 gateway, platform</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Vendor portal, phone for Critical</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Thermatrak Inc.</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TT-500 temperature probes</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Regional field service line</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Iridium Communications</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Satellite fallback service</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Account manager, business hours</w:t>
            </w:r>
          </w:p>
        </w:tc>
      </w:tr>
    </w:tbl>
    <w:p>
      <w:pPr>
        <w:spacing w:after="160"/>
      </w:pPr>
    </w:p>
    <w:p>
      <w:pPr>
        <w:pStyle w:val="Heading1"/>
        <w:spacing w:after="120" w:before="320"/>
      </w:pPr>
      <w:r>
        <w:t xml:space="preserve">11. History of Field-Relevant Incidents</w:t>
      </w:r>
    </w:p>
    <w:p>
      <w:pPr>
        <w:spacing w:after="140"/>
        <w:jc w:val="both"/>
      </w:pPr>
      <w:r>
        <w:rPr>
          <w:sz w:val="21"/>
          <w:szCs w:val="21"/>
        </w:rPr>
        <w:t xml:space="preserve">The July 2025 northern route incident, in which several gateways hung rather than failing over cleanly to satellite, led directly to the current 2-minute manual power-cycle guidance in Section 4.1 of this guide.</w:t>
      </w:r>
    </w:p>
    <w:p>
      <w:pPr>
        <w:spacing w:after="140"/>
        <w:jc w:val="both"/>
      </w:pPr>
      <w:r>
        <w:rPr>
          <w:sz w:val="21"/>
          <w:szCs w:val="21"/>
        </w:rPr>
        <w:t xml:space="preserve">A 2023 batch of gateways shipped with firmware 1.7 was found to buffer only 48 hours rather than the expected 72, leading to the current practice of checking firmware version before trusting buffer capacity during dead-zone crossings.</w:t>
      </w:r>
    </w:p>
    <w:p>
      <w:pPr>
        <w:spacing w:after="140"/>
        <w:jc w:val="both"/>
      </w:pPr>
      <w:r>
        <w:rPr>
          <w:sz w:val="21"/>
          <w:szCs w:val="21"/>
        </w:rPr>
        <w:t xml:space="preserve">A 2022 mislabelled-probe incident, in which the front and rear probe wiring was swapped during manufacturing on one batch of 14 trailers, led to the current practice of visually confirming probe position against the chassis diagram before accepting a calibration as complete.</w:t>
      </w:r>
    </w:p>
    <w:p>
      <w:pPr>
        <w:pStyle w:val="Heading1"/>
        <w:spacing w:after="120" w:before="320"/>
      </w:pPr>
      <w:r>
        <w:t xml:space="preserve">12. Depot Reference Table</w:t>
      </w:r>
    </w:p>
    <w:p>
      <w:pPr>
        <w:spacing w:after="80" w:before="160"/>
      </w:pPr>
      <w:r>
        <w:rPr>
          <w:i/>
          <w:iCs/>
          <w:sz w:val="19"/>
          <w:szCs w:val="19"/>
        </w:rPr>
        <w:t xml:space="preserve">Table 4. Depot reference</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340"/>
        <w:gridCol w:w="2340"/>
        <w:gridCol w:w="2340"/>
        <w:gridCol w:w="2340"/>
      </w:tblGrid>
      <w:tr>
        <w:trPr>
          <w:tblHeader/>
        </w:trPr>
        <w:tc>
          <w:tcPr>
            <w:tcW w:type="dxa" w:w="2340"/>
            <w:shd w:fill="2B2B2B" w:val="clear"/>
            <w:tcMar>
              <w:top w:type="dxa" w:w="60"/>
              <w:left w:type="dxa" w:w="100"/>
              <w:bottom w:type="dxa" w:w="60"/>
              <w:right w:type="dxa" w:w="100"/>
            </w:tcMar>
          </w:tcPr>
          <w:p>
            <w:r>
              <w:rPr>
                <w:b/>
                <w:bCs/>
                <w:color w:val="FFFFFF"/>
                <w:sz w:val="20"/>
                <w:szCs w:val="20"/>
              </w:rPr>
              <w:t xml:space="preserve">Depot</w:t>
            </w:r>
          </w:p>
        </w:tc>
        <w:tc>
          <w:tcPr>
            <w:tcW w:type="dxa" w:w="2340"/>
            <w:shd w:fill="2B2B2B" w:val="clear"/>
            <w:tcMar>
              <w:top w:type="dxa" w:w="60"/>
              <w:left w:type="dxa" w:w="100"/>
              <w:bottom w:type="dxa" w:w="60"/>
              <w:right w:type="dxa" w:w="100"/>
            </w:tcMar>
          </w:tcPr>
          <w:p>
            <w:r>
              <w:rPr>
                <w:b/>
                <w:bCs/>
                <w:color w:val="FFFFFF"/>
                <w:sz w:val="20"/>
                <w:szCs w:val="20"/>
              </w:rPr>
              <w:t xml:space="preserve">Region</w:t>
            </w:r>
          </w:p>
        </w:tc>
        <w:tc>
          <w:tcPr>
            <w:tcW w:type="dxa" w:w="2340"/>
            <w:shd w:fill="2B2B2B" w:val="clear"/>
            <w:tcMar>
              <w:top w:type="dxa" w:w="60"/>
              <w:left w:type="dxa" w:w="100"/>
              <w:bottom w:type="dxa" w:w="60"/>
              <w:right w:type="dxa" w:w="100"/>
            </w:tcMar>
          </w:tcPr>
          <w:p>
            <w:r>
              <w:rPr>
                <w:b/>
                <w:bCs/>
                <w:color w:val="FFFFFF"/>
                <w:sz w:val="20"/>
                <w:szCs w:val="20"/>
              </w:rPr>
              <w:t xml:space="preserve">Trailers assigned</w:t>
            </w:r>
          </w:p>
        </w:tc>
        <w:tc>
          <w:tcPr>
            <w:tcW w:type="dxa" w:w="2340"/>
            <w:shd w:fill="2B2B2B" w:val="clear"/>
            <w:tcMar>
              <w:top w:type="dxa" w:w="60"/>
              <w:left w:type="dxa" w:w="100"/>
              <w:bottom w:type="dxa" w:w="60"/>
              <w:right w:type="dxa" w:w="100"/>
            </w:tcMar>
          </w:tcPr>
          <w:p>
            <w:r>
              <w:rPr>
                <w:b/>
                <w:bCs/>
                <w:color w:val="FFFFFF"/>
                <w:sz w:val="20"/>
                <w:szCs w:val="20"/>
              </w:rPr>
              <w:t xml:space="preserve">Dispatcher workstations</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Depot North</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Northern route</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48</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4</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Depot Central</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Central corridor</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62</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5</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Depot South</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Southern route</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40</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3</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Depot East</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Eastern spur</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26</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3</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Depot West</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Western spur</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20</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3</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Depot Hub</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Cross-dock, all routes</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16</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4</w:t>
            </w:r>
          </w:p>
        </w:tc>
      </w:tr>
    </w:tbl>
    <w:p>
      <w:pPr>
        <w:spacing w:after="160"/>
      </w:pPr>
    </w:p>
    <w:p>
      <w:pPr>
        <w:spacing w:after="140"/>
        <w:jc w:val="both"/>
      </w:pPr>
      <w:r>
        <w:rPr>
          <w:sz w:val="21"/>
          <w:szCs w:val="21"/>
        </w:rPr>
        <w:t xml:space="preserve">Depot Hub does not hold permanent trailer assignments; its 16 trailers rotate through on a cross-dock basis and its reference count reflects a daily average rather than a fixed allocation.</w:t>
      </w:r>
    </w:p>
    <w:p>
      <w:pPr>
        <w:pStyle w:val="Heading1"/>
        <w:spacing w:after="120" w:before="320"/>
      </w:pPr>
      <w:r>
        <w:t xml:space="preserve">13. Common Field Scenarios</w:t>
      </w:r>
    </w:p>
    <w:p>
      <w:pPr>
        <w:spacing w:after="140"/>
        <w:jc w:val="both"/>
      </w:pPr>
      <w:r>
        <w:rPr>
          <w:sz w:val="21"/>
          <w:szCs w:val="21"/>
        </w:rPr>
        <w:t xml:space="preserve">A driver reports the reefer unit display shows a different temperature than the dispatcher portal. In most cases this is expected: the reefer's own display shows the setpoint and return-air temperature, while the portal shows the 3 Thermatrak probe readings from within the cargo area, which naturally differ from return-air temperature by a small margin under normal operation.</w:t>
      </w:r>
    </w:p>
    <w:p>
      <w:pPr>
        <w:spacing w:after="140"/>
        <w:jc w:val="both"/>
      </w:pPr>
      <w:r>
        <w:rPr>
          <w:sz w:val="21"/>
          <w:szCs w:val="21"/>
        </w:rPr>
        <w:t xml:space="preserve">A trailer parked overnight at a customer site shows as offline on the portal despite the driver confirming the gateway has power. Check whether the customer site sits inside one of the 3 known dead zones before dispatching a technician; several regular customer sites are in cellular shadow areas that require the satellite fallback path to report at all.</w:t>
      </w:r>
    </w:p>
    <w:p>
      <w:pPr>
        <w:spacing w:after="140"/>
        <w:jc w:val="both"/>
      </w:pPr>
      <w:r>
        <w:rPr>
          <w:sz w:val="21"/>
          <w:szCs w:val="21"/>
        </w:rPr>
        <w:t xml:space="preserve">A newly swapped gateway does not appear on the dispatcher portal within the expected 45-second cold start delay. Confirm the gateway's SIM was activated in the platform's device registry before the swap; an unregistered SIM will power on and run its local sensing loop but will never successfully publish to the ingestion cluster.</w:t>
      </w:r>
    </w:p>
    <w:p>
      <w:pPr>
        <w:pStyle w:val="Heading1"/>
        <w:spacing w:after="120" w:before="320"/>
      </w:pPr>
      <w:r>
        <w:t xml:space="preserve">Appendix: Forms and Logs Reference</w:t>
      </w:r>
    </w:p>
    <w:p>
      <w:pPr>
        <w:pStyle w:val="ListParagraph"/>
        <w:numPr>
          <w:ilvl w:val="0"/>
          <w:numId w:val="1"/>
        </w:numPr>
        <w:spacing w:after="60"/>
      </w:pPr>
      <w:r>
        <w:rPr>
          <w:sz w:val="21"/>
          <w:szCs w:val="21"/>
        </w:rPr>
        <w:t xml:space="preserve">Depot handover notes: shared drive, /depot/handover/, referenced in Section 2.</w:t>
      </w:r>
    </w:p>
    <w:p>
      <w:pPr>
        <w:pStyle w:val="ListParagraph"/>
        <w:numPr>
          <w:ilvl w:val="0"/>
          <w:numId w:val="1"/>
        </w:numPr>
        <w:spacing w:after="60"/>
      </w:pPr>
      <w:r>
        <w:rPr>
          <w:sz w:val="21"/>
          <w:szCs w:val="21"/>
        </w:rPr>
        <w:t xml:space="preserve">Incident log: depot-local, referenced in Section 3.1.</w:t>
      </w:r>
    </w:p>
    <w:p>
      <w:pPr>
        <w:pStyle w:val="ListParagraph"/>
        <w:numPr>
          <w:ilvl w:val="0"/>
          <w:numId w:val="1"/>
        </w:numPr>
        <w:spacing w:after="60"/>
      </w:pPr>
      <w:r>
        <w:rPr>
          <w:sz w:val="21"/>
          <w:szCs w:val="21"/>
        </w:rPr>
        <w:t xml:space="preserve">Calibration record: dispatcher portal asset panel, referenced in Section 6.</w:t>
      </w:r>
    </w:p>
    <w:p>
      <w:pPr>
        <w:pStyle w:val="ListParagraph"/>
        <w:numPr>
          <w:ilvl w:val="0"/>
          <w:numId w:val="1"/>
        </w:numPr>
        <w:spacing w:after="60"/>
      </w:pPr>
      <w:r>
        <w:rPr>
          <w:sz w:val="21"/>
          <w:szCs w:val="21"/>
        </w:rPr>
        <w:t xml:space="preserve">CT-R3 incident log: category NL-INC-DR, referenced in Section 8.</w:t>
      </w:r>
    </w:p>
    <w:p>
      <w:pPr>
        <w:spacing w:after="1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Northline Logistics — Internal Operations</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NL-FLD-002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2026-09-16T06:58:04.381Z</dcterms:created>
  <dcterms:modified xsi:type="dcterms:W3CDTF">2026-09-16T06:58:04.381Z</dcterms:modified>
</cp:coreProperties>
</file>

<file path=docProps/custom.xml><?xml version="1.0" encoding="utf-8"?>
<Properties xmlns="http://schemas.openxmlformats.org/officeDocument/2006/custom-properties" xmlns:vt="http://schemas.openxmlformats.org/officeDocument/2006/docPropsVTypes"/>
</file>