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9971C5" w14:textId="77777777" w:rsidR="00B92953" w:rsidRDefault="0062088E">
      <w:pPr>
        <w:pStyle w:val="Heading1"/>
      </w:pPr>
      <w:bookmarkStart w:id="0" w:name="_q66gbzkmi363" w:colFirst="0" w:colLast="0"/>
      <w:bookmarkEnd w:id="0"/>
      <w:r>
        <w:t>Eligibility Criteria</w:t>
      </w:r>
    </w:p>
    <w:p w14:paraId="3EAE8FEC" w14:textId="77777777" w:rsidR="00B92953" w:rsidRDefault="00B92953">
      <w:pPr>
        <w:rPr>
          <w:sz w:val="24"/>
          <w:szCs w:val="24"/>
        </w:rPr>
      </w:pPr>
    </w:p>
    <w:p w14:paraId="49D42627" w14:textId="77777777" w:rsidR="00B92953" w:rsidRDefault="0062088E">
      <w:pPr>
        <w:ind w:firstLine="720"/>
        <w:rPr>
          <w:sz w:val="24"/>
          <w:szCs w:val="24"/>
        </w:rPr>
      </w:pPr>
      <w:r>
        <w:rPr>
          <w:sz w:val="24"/>
          <w:szCs w:val="24"/>
        </w:rPr>
        <w:t>As we screened articles for study eligibility, we added details to the eligibility criteria published in the protocol to better define the scope of our map and promote consistency of evaluation by others (Table 1). As for our original criteria, we excluded</w:t>
      </w:r>
      <w:r>
        <w:rPr>
          <w:sz w:val="24"/>
          <w:szCs w:val="24"/>
        </w:rPr>
        <w:t xml:space="preserve"> specific interventions/exposures that did not involve an artificial light source, such as studies of reflected or filtered daylight. This necessarily excluded some studies of bird hazards (e.g. windows), deterrents (e.g. mylar, streamers, mirrors), and or</w:t>
      </w:r>
      <w:r>
        <w:rPr>
          <w:sz w:val="24"/>
          <w:szCs w:val="24"/>
        </w:rPr>
        <w:t>ientation (e.g. UV and polarized light filters).</w:t>
      </w:r>
    </w:p>
    <w:p w14:paraId="6AC882B4" w14:textId="77777777" w:rsidR="00B92953" w:rsidRDefault="0062088E">
      <w:pPr>
        <w:ind w:firstLine="720"/>
        <w:rPr>
          <w:sz w:val="24"/>
          <w:szCs w:val="24"/>
        </w:rPr>
      </w:pPr>
      <w:r>
        <w:rPr>
          <w:sz w:val="24"/>
          <w:szCs w:val="24"/>
        </w:rPr>
        <w:t xml:space="preserve">For interventions that are so broadly applied as to make mapping their use prohibitive, we required that they compare bird </w:t>
      </w:r>
      <w:proofErr w:type="spellStart"/>
      <w:r>
        <w:rPr>
          <w:sz w:val="24"/>
          <w:szCs w:val="24"/>
        </w:rPr>
        <w:t>behaviour</w:t>
      </w:r>
      <w:proofErr w:type="spellEnd"/>
      <w:r>
        <w:rPr>
          <w:sz w:val="24"/>
          <w:szCs w:val="24"/>
        </w:rPr>
        <w:t xml:space="preserve"> under light of different wavelengths or intensities. Most laboratory studi</w:t>
      </w:r>
      <w:r>
        <w:rPr>
          <w:sz w:val="24"/>
          <w:szCs w:val="24"/>
        </w:rPr>
        <w:t>es use broad-spectrum white light to illuminate cages and mimic natural daylight with a light and a dark period, though the spectral qualities of the light are rarely reported. While these lights are artificial, including any laboratory study that used art</w:t>
      </w:r>
      <w:r>
        <w:rPr>
          <w:sz w:val="24"/>
          <w:szCs w:val="24"/>
        </w:rPr>
        <w:t>ificial light would require that we include nearly all laboratory studies in the map. Laboratory studies using only broad-spectrum (i.e. white) light of a single intensity were excluded. Similarly, we excluded artificial photoperiods because most laborator</w:t>
      </w:r>
      <w:r>
        <w:rPr>
          <w:sz w:val="24"/>
          <w:szCs w:val="24"/>
        </w:rPr>
        <w:t xml:space="preserve">y studies subject birds to a photoperiod different from the local photoperiod. We included laboratory studies that compared, within the same study, bird responses to light of varying intensities, different spectral compositions, or different photoperiods, </w:t>
      </w:r>
      <w:r>
        <w:rPr>
          <w:sz w:val="24"/>
          <w:szCs w:val="24"/>
        </w:rPr>
        <w:t>providing that they also studied an eligible outcome.</w:t>
      </w:r>
    </w:p>
    <w:p w14:paraId="294B19BF" w14:textId="77777777" w:rsidR="00B92953" w:rsidRDefault="0062088E">
      <w:pPr>
        <w:ind w:firstLine="720"/>
        <w:rPr>
          <w:sz w:val="24"/>
          <w:szCs w:val="24"/>
        </w:rPr>
      </w:pPr>
      <w:r>
        <w:rPr>
          <w:sz w:val="24"/>
          <w:szCs w:val="24"/>
        </w:rPr>
        <w:t xml:space="preserve">In making eligibility decisions about relevant outcomes, we included outcomes documenting movement through space including </w:t>
      </w:r>
      <w:proofErr w:type="spellStart"/>
      <w:r>
        <w:rPr>
          <w:sz w:val="24"/>
          <w:szCs w:val="24"/>
        </w:rPr>
        <w:t>behaviours</w:t>
      </w:r>
      <w:proofErr w:type="spellEnd"/>
      <w:r>
        <w:rPr>
          <w:sz w:val="24"/>
          <w:szCs w:val="24"/>
        </w:rPr>
        <w:t xml:space="preserve"> that directly precede movement through space, which we defined as mo</w:t>
      </w:r>
      <w:r>
        <w:rPr>
          <w:sz w:val="24"/>
          <w:szCs w:val="24"/>
        </w:rPr>
        <w:t xml:space="preserve">vement from one specific place to another. We excluded outcomes that measured general locomotor activity (e.g. perch-hopping, time spent walking, overall activity levels), but not movement from one specific place to another. Examples of </w:t>
      </w:r>
      <w:proofErr w:type="spellStart"/>
      <w:r>
        <w:rPr>
          <w:sz w:val="24"/>
          <w:szCs w:val="24"/>
        </w:rPr>
        <w:t>behaviours</w:t>
      </w:r>
      <w:proofErr w:type="spellEnd"/>
      <w:r>
        <w:rPr>
          <w:sz w:val="24"/>
          <w:szCs w:val="24"/>
        </w:rPr>
        <w:t xml:space="preserve"> known to</w:t>
      </w:r>
      <w:r>
        <w:rPr>
          <w:sz w:val="24"/>
          <w:szCs w:val="24"/>
        </w:rPr>
        <w:t xml:space="preserve"> precede movement included overt reaction distance or alert response in the context of deterrents, and studies of orientation and disorientation in the context of aggregation.</w:t>
      </w:r>
    </w:p>
    <w:p w14:paraId="41276CA8" w14:textId="77777777" w:rsidR="00B92953" w:rsidRDefault="0062088E">
      <w:pPr>
        <w:ind w:firstLine="720"/>
        <w:rPr>
          <w:sz w:val="24"/>
          <w:szCs w:val="24"/>
        </w:rPr>
      </w:pPr>
      <w:r>
        <w:rPr>
          <w:sz w:val="24"/>
          <w:szCs w:val="24"/>
        </w:rPr>
        <w:t xml:space="preserve">We excluded outcomes that did not directly demonstrate the </w:t>
      </w:r>
      <w:proofErr w:type="spellStart"/>
      <w:r>
        <w:rPr>
          <w:sz w:val="24"/>
          <w:szCs w:val="24"/>
        </w:rPr>
        <w:t>behaviours</w:t>
      </w:r>
      <w:proofErr w:type="spellEnd"/>
      <w:r>
        <w:rPr>
          <w:sz w:val="24"/>
          <w:szCs w:val="24"/>
        </w:rPr>
        <w:t xml:space="preserve"> that illus</w:t>
      </w:r>
      <w:r>
        <w:rPr>
          <w:sz w:val="24"/>
          <w:szCs w:val="24"/>
        </w:rPr>
        <w:t>trate or contribute to our secondary questions: aggregation, deterrence, disorientation, and habitat use or selection. For this reason, we excluded studies testing birds’ ability to see specific wavelengths or using light as a visual cue in a trained respo</w:t>
      </w:r>
      <w:r>
        <w:rPr>
          <w:sz w:val="24"/>
          <w:szCs w:val="24"/>
        </w:rPr>
        <w:t>nse. We excluded outcomes involving temporal changes in daily or annual movements (e.g. timing of entering/exiting nest boxes or migration) or changes to circadian rhythms. We excluded laboratory or poultry studies in which changes to timing of feeding, sl</w:t>
      </w:r>
      <w:r>
        <w:rPr>
          <w:sz w:val="24"/>
          <w:szCs w:val="24"/>
        </w:rPr>
        <w:t xml:space="preserve">eeping, bathing, etc. were measured as part of a suite of variables showing </w:t>
      </w:r>
      <w:r>
        <w:rPr>
          <w:sz w:val="24"/>
          <w:szCs w:val="24"/>
        </w:rPr>
        <w:lastRenderedPageBreak/>
        <w:t>changes in the birds’ internal clock or overall activity levels. We agreed that these outcomes offered no direct evidence of the effect of light on bird aggregation, deterrence, or</w:t>
      </w:r>
      <w:r>
        <w:rPr>
          <w:sz w:val="24"/>
          <w:szCs w:val="24"/>
        </w:rPr>
        <w:t xml:space="preserve"> habitat use or selection. Temporal shifts potentially influence habitat selection -- birds may avoid artificial light because it disrupts their sleep or prefer artificially lit habitat to take advantage of extended day lengths and foraging times -- but we</w:t>
      </w:r>
      <w:r>
        <w:rPr>
          <w:sz w:val="24"/>
          <w:szCs w:val="24"/>
        </w:rPr>
        <w:t xml:space="preserve"> did not include these studies unless they demonstrated a change in habitat use, association or selection. For reference, Appendix X lists all excluded articles related to general locomotor activity or temporal changes in daily or annual movements that wer</w:t>
      </w:r>
      <w:r>
        <w:rPr>
          <w:sz w:val="24"/>
          <w:szCs w:val="24"/>
        </w:rPr>
        <w:t>e excluded from the map.</w:t>
      </w:r>
    </w:p>
    <w:p w14:paraId="208052AF" w14:textId="77777777" w:rsidR="00B92953" w:rsidRDefault="0062088E">
      <w:pPr>
        <w:ind w:firstLine="720"/>
        <w:rPr>
          <w:sz w:val="24"/>
          <w:szCs w:val="24"/>
        </w:rPr>
      </w:pPr>
      <w:r>
        <w:rPr>
          <w:sz w:val="24"/>
          <w:szCs w:val="24"/>
        </w:rPr>
        <w:t>We included studies of foraging birds when they showed how artificial light affected foraging habitat selection or use. We included poultry or lab studies if the birds selected among foraging areas with different levels of illumina</w:t>
      </w:r>
      <w:r>
        <w:rPr>
          <w:sz w:val="24"/>
          <w:szCs w:val="24"/>
        </w:rPr>
        <w:t>tion. We also included field studies that recorded how artificial light affected the abundance of birds in foraging sites such as feeders, including arrival or departure times, number of birds present, or amount of food consumed. We also included incidenta</w:t>
      </w:r>
      <w:r>
        <w:rPr>
          <w:sz w:val="24"/>
          <w:szCs w:val="24"/>
        </w:rPr>
        <w:t>l reports of nocturnal foraging under artificial lights surrounded by dark habitat, while recognizing that observations without controls cannot conclusively demonstrate that birds were more likely to forage at night in sites that were artificially lit than</w:t>
      </w:r>
      <w:r>
        <w:rPr>
          <w:sz w:val="24"/>
          <w:szCs w:val="24"/>
        </w:rPr>
        <w:t xml:space="preserve"> in adjacent dark areas. We did not include studies of bird foraging </w:t>
      </w:r>
      <w:proofErr w:type="spellStart"/>
      <w:r>
        <w:rPr>
          <w:sz w:val="24"/>
          <w:szCs w:val="24"/>
        </w:rPr>
        <w:t>behaviour</w:t>
      </w:r>
      <w:proofErr w:type="spellEnd"/>
      <w:r>
        <w:rPr>
          <w:sz w:val="24"/>
          <w:szCs w:val="24"/>
        </w:rPr>
        <w:t xml:space="preserve"> that did not involve movement through space or changes to distribution (e.g. time spent foraging or changes foraging strategies). </w:t>
      </w:r>
    </w:p>
    <w:p w14:paraId="75F0BB65" w14:textId="77777777" w:rsidR="00B92953" w:rsidRDefault="0062088E">
      <w:pPr>
        <w:ind w:firstLine="720"/>
        <w:rPr>
          <w:sz w:val="24"/>
          <w:szCs w:val="24"/>
        </w:rPr>
      </w:pPr>
      <w:r>
        <w:rPr>
          <w:sz w:val="24"/>
          <w:szCs w:val="24"/>
        </w:rPr>
        <w:t>We excluded studies measuring changes to timin</w:t>
      </w:r>
      <w:r>
        <w:rPr>
          <w:sz w:val="24"/>
          <w:szCs w:val="24"/>
        </w:rPr>
        <w:t>g of chick provisioning in artificially lit nest sites because these studies did not measure habitat use. While these studies indicated that adults birds with illuminated nests foraged later into the night or earlier in the morning than birds with dark nes</w:t>
      </w:r>
      <w:r>
        <w:rPr>
          <w:sz w:val="24"/>
          <w:szCs w:val="24"/>
        </w:rPr>
        <w:t>t sites, we cannot confidently infer that the adult birds foraged under artificial lights. They may have foraged in dark sites away from the nest. The parents may have increased their foraging duration to feed their nestlings whose metabolic activity incre</w:t>
      </w:r>
      <w:r>
        <w:rPr>
          <w:sz w:val="24"/>
          <w:szCs w:val="24"/>
        </w:rPr>
        <w:t xml:space="preserve">ased under artificial light or because of changes in their circadian rhythm, outcomes which were not eligible for inclusion in the systematic map. </w:t>
      </w:r>
    </w:p>
    <w:p w14:paraId="2F51F7E5" w14:textId="77777777" w:rsidR="00B92953" w:rsidRDefault="00B92953">
      <w:pPr>
        <w:ind w:firstLine="720"/>
        <w:rPr>
          <w:sz w:val="24"/>
          <w:szCs w:val="24"/>
        </w:rPr>
      </w:pPr>
    </w:p>
    <w:p w14:paraId="769FDCBC" w14:textId="77777777" w:rsidR="00B92953" w:rsidRDefault="00B92953">
      <w:pPr>
        <w:widowControl w:val="0"/>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335"/>
        <w:gridCol w:w="3000"/>
      </w:tblGrid>
      <w:tr w:rsidR="00B92953" w14:paraId="7A13B51F" w14:textId="77777777">
        <w:tc>
          <w:tcPr>
            <w:tcW w:w="2025" w:type="dxa"/>
            <w:shd w:val="clear" w:color="auto" w:fill="auto"/>
            <w:tcMar>
              <w:top w:w="100" w:type="dxa"/>
              <w:left w:w="100" w:type="dxa"/>
              <w:bottom w:w="100" w:type="dxa"/>
              <w:right w:w="100" w:type="dxa"/>
            </w:tcMar>
          </w:tcPr>
          <w:p w14:paraId="6DE4229D" w14:textId="77777777" w:rsidR="00B92953" w:rsidRDefault="00B92953">
            <w:pPr>
              <w:widowControl w:val="0"/>
              <w:rPr>
                <w:sz w:val="24"/>
                <w:szCs w:val="24"/>
              </w:rPr>
            </w:pPr>
          </w:p>
        </w:tc>
        <w:tc>
          <w:tcPr>
            <w:tcW w:w="4335" w:type="dxa"/>
            <w:shd w:val="clear" w:color="auto" w:fill="auto"/>
            <w:tcMar>
              <w:top w:w="100" w:type="dxa"/>
              <w:left w:w="100" w:type="dxa"/>
              <w:bottom w:w="100" w:type="dxa"/>
              <w:right w:w="100" w:type="dxa"/>
            </w:tcMar>
          </w:tcPr>
          <w:p w14:paraId="6410C6DC" w14:textId="77777777" w:rsidR="00B92953" w:rsidRDefault="0062088E">
            <w:pPr>
              <w:widowControl w:val="0"/>
              <w:rPr>
                <w:color w:val="333333"/>
                <w:sz w:val="24"/>
                <w:szCs w:val="24"/>
              </w:rPr>
            </w:pPr>
            <w:r>
              <w:rPr>
                <w:color w:val="333333"/>
                <w:sz w:val="24"/>
                <w:szCs w:val="24"/>
              </w:rPr>
              <w:t>Eligibility Criteria</w:t>
            </w:r>
          </w:p>
        </w:tc>
        <w:tc>
          <w:tcPr>
            <w:tcW w:w="3000" w:type="dxa"/>
            <w:shd w:val="clear" w:color="auto" w:fill="auto"/>
            <w:tcMar>
              <w:top w:w="100" w:type="dxa"/>
              <w:left w:w="100" w:type="dxa"/>
              <w:bottom w:w="100" w:type="dxa"/>
              <w:right w:w="100" w:type="dxa"/>
            </w:tcMar>
          </w:tcPr>
          <w:p w14:paraId="72A9E06D" w14:textId="77777777" w:rsidR="00B92953" w:rsidRDefault="0062088E">
            <w:pPr>
              <w:widowControl w:val="0"/>
              <w:rPr>
                <w:sz w:val="24"/>
                <w:szCs w:val="24"/>
              </w:rPr>
            </w:pPr>
            <w:r>
              <w:rPr>
                <w:sz w:val="24"/>
                <w:szCs w:val="24"/>
              </w:rPr>
              <w:t>Exclusion Criteria</w:t>
            </w:r>
          </w:p>
        </w:tc>
      </w:tr>
      <w:tr w:rsidR="00B92953" w14:paraId="49E8AE0A" w14:textId="77777777">
        <w:tc>
          <w:tcPr>
            <w:tcW w:w="2025" w:type="dxa"/>
            <w:shd w:val="clear" w:color="auto" w:fill="auto"/>
            <w:tcMar>
              <w:top w:w="100" w:type="dxa"/>
              <w:left w:w="100" w:type="dxa"/>
              <w:bottom w:w="100" w:type="dxa"/>
              <w:right w:w="100" w:type="dxa"/>
            </w:tcMar>
          </w:tcPr>
          <w:p w14:paraId="61186C75" w14:textId="77777777" w:rsidR="00B92953" w:rsidRDefault="0062088E">
            <w:pPr>
              <w:widowControl w:val="0"/>
              <w:rPr>
                <w:sz w:val="24"/>
                <w:szCs w:val="24"/>
              </w:rPr>
            </w:pPr>
            <w:r>
              <w:rPr>
                <w:sz w:val="24"/>
                <w:szCs w:val="24"/>
              </w:rPr>
              <w:t>Population</w:t>
            </w:r>
          </w:p>
        </w:tc>
        <w:tc>
          <w:tcPr>
            <w:tcW w:w="4335" w:type="dxa"/>
            <w:shd w:val="clear" w:color="auto" w:fill="auto"/>
            <w:tcMar>
              <w:top w:w="100" w:type="dxa"/>
              <w:left w:w="100" w:type="dxa"/>
              <w:bottom w:w="100" w:type="dxa"/>
              <w:right w:w="100" w:type="dxa"/>
            </w:tcMar>
          </w:tcPr>
          <w:p w14:paraId="0105AAA3" w14:textId="77777777" w:rsidR="00B92953" w:rsidRDefault="0062088E">
            <w:pPr>
              <w:widowControl w:val="0"/>
              <w:numPr>
                <w:ilvl w:val="0"/>
                <w:numId w:val="2"/>
              </w:numPr>
              <w:tabs>
                <w:tab w:val="left" w:pos="125"/>
              </w:tabs>
              <w:ind w:left="305" w:hanging="270"/>
            </w:pPr>
            <w:r>
              <w:t>Any bird species, including domesticated species</w:t>
            </w:r>
          </w:p>
        </w:tc>
        <w:tc>
          <w:tcPr>
            <w:tcW w:w="3000" w:type="dxa"/>
            <w:shd w:val="clear" w:color="auto" w:fill="auto"/>
            <w:tcMar>
              <w:top w:w="100" w:type="dxa"/>
              <w:left w:w="100" w:type="dxa"/>
              <w:bottom w:w="100" w:type="dxa"/>
              <w:right w:w="100" w:type="dxa"/>
            </w:tcMar>
          </w:tcPr>
          <w:p w14:paraId="516FD26E" w14:textId="77777777" w:rsidR="00B92953" w:rsidRDefault="00B92953">
            <w:pPr>
              <w:widowControl w:val="0"/>
              <w:rPr>
                <w:sz w:val="24"/>
                <w:szCs w:val="24"/>
              </w:rPr>
            </w:pPr>
          </w:p>
        </w:tc>
      </w:tr>
      <w:tr w:rsidR="00B92953" w14:paraId="6CCC2D2B" w14:textId="77777777">
        <w:tc>
          <w:tcPr>
            <w:tcW w:w="2025" w:type="dxa"/>
            <w:shd w:val="clear" w:color="auto" w:fill="auto"/>
            <w:tcMar>
              <w:top w:w="100" w:type="dxa"/>
              <w:left w:w="100" w:type="dxa"/>
              <w:bottom w:w="100" w:type="dxa"/>
              <w:right w:w="100" w:type="dxa"/>
            </w:tcMar>
          </w:tcPr>
          <w:p w14:paraId="7E698008" w14:textId="77777777" w:rsidR="00B92953" w:rsidRDefault="0062088E">
            <w:pPr>
              <w:widowControl w:val="0"/>
              <w:rPr>
                <w:sz w:val="24"/>
                <w:szCs w:val="24"/>
              </w:rPr>
            </w:pPr>
            <w:r>
              <w:rPr>
                <w:sz w:val="24"/>
                <w:szCs w:val="24"/>
              </w:rPr>
              <w:t>Intervention/</w:t>
            </w:r>
          </w:p>
          <w:p w14:paraId="3061C145" w14:textId="77777777" w:rsidR="00B92953" w:rsidRDefault="0062088E">
            <w:pPr>
              <w:widowControl w:val="0"/>
              <w:rPr>
                <w:sz w:val="24"/>
                <w:szCs w:val="24"/>
              </w:rPr>
            </w:pPr>
            <w:r>
              <w:rPr>
                <w:sz w:val="24"/>
                <w:szCs w:val="24"/>
              </w:rPr>
              <w:t>Exposure</w:t>
            </w:r>
          </w:p>
        </w:tc>
        <w:tc>
          <w:tcPr>
            <w:tcW w:w="4335" w:type="dxa"/>
            <w:shd w:val="clear" w:color="auto" w:fill="auto"/>
            <w:tcMar>
              <w:top w:w="100" w:type="dxa"/>
              <w:left w:w="100" w:type="dxa"/>
              <w:bottom w:w="100" w:type="dxa"/>
              <w:right w:w="100" w:type="dxa"/>
            </w:tcMar>
          </w:tcPr>
          <w:p w14:paraId="31405267" w14:textId="77777777" w:rsidR="00B92953" w:rsidRDefault="0062088E">
            <w:pPr>
              <w:widowControl w:val="0"/>
              <w:numPr>
                <w:ilvl w:val="0"/>
                <w:numId w:val="2"/>
              </w:numPr>
              <w:tabs>
                <w:tab w:val="left" w:pos="125"/>
              </w:tabs>
              <w:ind w:left="305" w:hanging="270"/>
              <w:rPr>
                <w:color w:val="333333"/>
              </w:rPr>
            </w:pPr>
            <w:r>
              <w:t>Anthropogenic light sources, including, but not limited to, point sources of light, illuminated habitat, and skyglow</w:t>
            </w:r>
          </w:p>
          <w:p w14:paraId="0BA60732" w14:textId="77777777" w:rsidR="00B92953" w:rsidRDefault="0062088E">
            <w:pPr>
              <w:widowControl w:val="0"/>
              <w:numPr>
                <w:ilvl w:val="0"/>
                <w:numId w:val="2"/>
              </w:numPr>
              <w:tabs>
                <w:tab w:val="left" w:pos="125"/>
              </w:tabs>
              <w:ind w:left="305" w:hanging="270"/>
              <w:rPr>
                <w:color w:val="333333"/>
              </w:rPr>
            </w:pPr>
            <w:r>
              <w:t>Gas Flares</w:t>
            </w:r>
          </w:p>
          <w:p w14:paraId="7B6ED177" w14:textId="77777777" w:rsidR="00B92953" w:rsidRDefault="00B92953">
            <w:pPr>
              <w:widowControl w:val="0"/>
              <w:tabs>
                <w:tab w:val="left" w:pos="125"/>
              </w:tabs>
              <w:rPr>
                <w:color w:val="333333"/>
              </w:rPr>
            </w:pPr>
          </w:p>
        </w:tc>
        <w:tc>
          <w:tcPr>
            <w:tcW w:w="3000" w:type="dxa"/>
            <w:shd w:val="clear" w:color="auto" w:fill="auto"/>
            <w:tcMar>
              <w:top w:w="100" w:type="dxa"/>
              <w:left w:w="100" w:type="dxa"/>
              <w:bottom w:w="100" w:type="dxa"/>
              <w:right w:w="100" w:type="dxa"/>
            </w:tcMar>
          </w:tcPr>
          <w:p w14:paraId="6566CD4C" w14:textId="77777777" w:rsidR="00B92953" w:rsidRDefault="0062088E">
            <w:pPr>
              <w:widowControl w:val="0"/>
              <w:numPr>
                <w:ilvl w:val="0"/>
                <w:numId w:val="2"/>
              </w:numPr>
              <w:ind w:left="228"/>
            </w:pPr>
            <w:r>
              <w:t>Reflected daylight (e.g. mylar tape reflectors, windo</w:t>
            </w:r>
            <w:r>
              <w:t>ws)</w:t>
            </w:r>
          </w:p>
          <w:p w14:paraId="33DEBB3F" w14:textId="77777777" w:rsidR="00B92953" w:rsidRDefault="0062088E">
            <w:pPr>
              <w:widowControl w:val="0"/>
              <w:numPr>
                <w:ilvl w:val="0"/>
                <w:numId w:val="2"/>
              </w:numPr>
              <w:ind w:left="228"/>
            </w:pPr>
            <w:r>
              <w:t>Filters on natural daylight</w:t>
            </w:r>
          </w:p>
          <w:p w14:paraId="02C2232D" w14:textId="77777777" w:rsidR="00B92953" w:rsidRDefault="00B92953">
            <w:pPr>
              <w:widowControl w:val="0"/>
              <w:ind w:left="720"/>
            </w:pPr>
          </w:p>
        </w:tc>
      </w:tr>
      <w:tr w:rsidR="00B92953" w14:paraId="3DA6FBE1" w14:textId="77777777">
        <w:tc>
          <w:tcPr>
            <w:tcW w:w="2025" w:type="dxa"/>
            <w:shd w:val="clear" w:color="auto" w:fill="auto"/>
            <w:tcMar>
              <w:top w:w="100" w:type="dxa"/>
              <w:left w:w="100" w:type="dxa"/>
              <w:bottom w:w="100" w:type="dxa"/>
              <w:right w:w="100" w:type="dxa"/>
            </w:tcMar>
          </w:tcPr>
          <w:p w14:paraId="6FEDB0D3" w14:textId="77777777" w:rsidR="00B92953" w:rsidRDefault="0062088E">
            <w:pPr>
              <w:widowControl w:val="0"/>
              <w:rPr>
                <w:sz w:val="24"/>
                <w:szCs w:val="24"/>
              </w:rPr>
            </w:pPr>
            <w:r>
              <w:rPr>
                <w:sz w:val="24"/>
                <w:szCs w:val="24"/>
              </w:rPr>
              <w:lastRenderedPageBreak/>
              <w:t>Comparator</w:t>
            </w:r>
          </w:p>
        </w:tc>
        <w:tc>
          <w:tcPr>
            <w:tcW w:w="4335" w:type="dxa"/>
            <w:shd w:val="clear" w:color="auto" w:fill="auto"/>
            <w:tcMar>
              <w:top w:w="100" w:type="dxa"/>
              <w:left w:w="100" w:type="dxa"/>
              <w:bottom w:w="100" w:type="dxa"/>
              <w:right w:w="100" w:type="dxa"/>
            </w:tcMar>
          </w:tcPr>
          <w:p w14:paraId="0CA57648" w14:textId="77777777" w:rsidR="00B92953" w:rsidRDefault="0062088E">
            <w:pPr>
              <w:widowControl w:val="0"/>
              <w:numPr>
                <w:ilvl w:val="0"/>
                <w:numId w:val="2"/>
              </w:numPr>
              <w:ind w:left="305" w:hanging="270"/>
            </w:pPr>
            <w:r>
              <w:t>Same site under different lighting conditions</w:t>
            </w:r>
          </w:p>
          <w:p w14:paraId="42B763B9" w14:textId="77777777" w:rsidR="00B92953" w:rsidRDefault="0062088E">
            <w:pPr>
              <w:widowControl w:val="0"/>
              <w:numPr>
                <w:ilvl w:val="0"/>
                <w:numId w:val="2"/>
              </w:numPr>
              <w:ind w:left="305" w:hanging="270"/>
            </w:pPr>
            <w:r>
              <w:t>Nearby site at the same time of day with similar habitat type, anthropogenic activity, migration density (if applicable) and weather as the treatment site</w:t>
            </w:r>
          </w:p>
          <w:p w14:paraId="1079998F" w14:textId="77777777" w:rsidR="00B92953" w:rsidRDefault="0062088E">
            <w:pPr>
              <w:widowControl w:val="0"/>
              <w:numPr>
                <w:ilvl w:val="0"/>
                <w:numId w:val="2"/>
              </w:numPr>
              <w:ind w:left="305" w:hanging="270"/>
            </w:pPr>
            <w:r>
              <w:t>Documentation of aggregation, mass landing, mortality, foraging, or other relevant outcomes near arti</w:t>
            </w:r>
            <w:r>
              <w:t>ficial light sources without comparator were included in the map and categorized as incidental reports</w:t>
            </w:r>
          </w:p>
        </w:tc>
        <w:tc>
          <w:tcPr>
            <w:tcW w:w="3000" w:type="dxa"/>
            <w:shd w:val="clear" w:color="auto" w:fill="auto"/>
            <w:tcMar>
              <w:top w:w="100" w:type="dxa"/>
              <w:left w:w="100" w:type="dxa"/>
              <w:bottom w:w="100" w:type="dxa"/>
              <w:right w:w="100" w:type="dxa"/>
            </w:tcMar>
          </w:tcPr>
          <w:p w14:paraId="2404C543" w14:textId="77777777" w:rsidR="00B92953" w:rsidRDefault="00B92953">
            <w:pPr>
              <w:widowControl w:val="0"/>
              <w:rPr>
                <w:sz w:val="24"/>
                <w:szCs w:val="24"/>
              </w:rPr>
            </w:pPr>
          </w:p>
          <w:p w14:paraId="66106BA9" w14:textId="77777777" w:rsidR="00B92953" w:rsidRDefault="0062088E">
            <w:pPr>
              <w:widowControl w:val="0"/>
              <w:numPr>
                <w:ilvl w:val="0"/>
                <w:numId w:val="2"/>
              </w:numPr>
              <w:ind w:left="228"/>
            </w:pPr>
            <w:r>
              <w:t>Laboratory experiments that using only one intensity or spectral composition of light within the “light” or “dark” portions of the light cycle</w:t>
            </w:r>
          </w:p>
          <w:p w14:paraId="1EFF27CF" w14:textId="77777777" w:rsidR="00B92953" w:rsidRDefault="0062088E">
            <w:pPr>
              <w:widowControl w:val="0"/>
              <w:numPr>
                <w:ilvl w:val="0"/>
                <w:numId w:val="2"/>
              </w:numPr>
              <w:ind w:left="228"/>
              <w:rPr>
                <w:sz w:val="24"/>
                <w:szCs w:val="24"/>
              </w:rPr>
            </w:pPr>
            <w:r>
              <w:t>Laborator</w:t>
            </w:r>
            <w:r>
              <w:t>y experiments that use an artificial photoperiod but do not vary the photoperiod</w:t>
            </w:r>
          </w:p>
        </w:tc>
      </w:tr>
      <w:tr w:rsidR="00B92953" w14:paraId="7968510F" w14:textId="77777777">
        <w:tc>
          <w:tcPr>
            <w:tcW w:w="2025" w:type="dxa"/>
            <w:shd w:val="clear" w:color="auto" w:fill="auto"/>
            <w:tcMar>
              <w:top w:w="100" w:type="dxa"/>
              <w:left w:w="100" w:type="dxa"/>
              <w:bottom w:w="100" w:type="dxa"/>
              <w:right w:w="100" w:type="dxa"/>
            </w:tcMar>
          </w:tcPr>
          <w:p w14:paraId="4A19ABBF" w14:textId="77777777" w:rsidR="00B92953" w:rsidRDefault="0062088E">
            <w:pPr>
              <w:widowControl w:val="0"/>
              <w:rPr>
                <w:sz w:val="24"/>
                <w:szCs w:val="24"/>
              </w:rPr>
            </w:pPr>
            <w:r>
              <w:rPr>
                <w:sz w:val="24"/>
                <w:szCs w:val="24"/>
              </w:rPr>
              <w:t>Outcome</w:t>
            </w:r>
          </w:p>
        </w:tc>
        <w:tc>
          <w:tcPr>
            <w:tcW w:w="4335" w:type="dxa"/>
            <w:shd w:val="clear" w:color="auto" w:fill="auto"/>
            <w:tcMar>
              <w:top w:w="100" w:type="dxa"/>
              <w:left w:w="100" w:type="dxa"/>
              <w:bottom w:w="100" w:type="dxa"/>
              <w:right w:w="100" w:type="dxa"/>
            </w:tcMar>
          </w:tcPr>
          <w:p w14:paraId="55DEA364" w14:textId="77777777" w:rsidR="00B92953" w:rsidRDefault="0062088E">
            <w:pPr>
              <w:widowControl w:val="0"/>
              <w:numPr>
                <w:ilvl w:val="0"/>
                <w:numId w:val="3"/>
              </w:numPr>
              <w:tabs>
                <w:tab w:val="left" w:pos="305"/>
                <w:tab w:val="left" w:pos="395"/>
              </w:tabs>
            </w:pPr>
            <w:r>
              <w:t>Bird density or presence/absence, including (but not limited to) radar observations, visual counts and vocalization counts</w:t>
            </w:r>
          </w:p>
          <w:p w14:paraId="592F0779" w14:textId="77777777" w:rsidR="00B92953" w:rsidRDefault="0062088E">
            <w:pPr>
              <w:widowControl w:val="0"/>
              <w:numPr>
                <w:ilvl w:val="0"/>
                <w:numId w:val="3"/>
              </w:numPr>
              <w:tabs>
                <w:tab w:val="left" w:pos="305"/>
                <w:tab w:val="left" w:pos="395"/>
              </w:tabs>
            </w:pPr>
            <w:r>
              <w:t>Bird mortality</w:t>
            </w:r>
          </w:p>
          <w:p w14:paraId="7C3E861E" w14:textId="77777777" w:rsidR="00B92953" w:rsidRDefault="0062088E">
            <w:pPr>
              <w:widowControl w:val="0"/>
              <w:numPr>
                <w:ilvl w:val="0"/>
                <w:numId w:val="3"/>
              </w:numPr>
              <w:tabs>
                <w:tab w:val="left" w:pos="305"/>
                <w:tab w:val="left" w:pos="395"/>
              </w:tabs>
            </w:pPr>
            <w:r>
              <w:t>Resource consumption (such as crop damage or aquaculture predation)</w:t>
            </w:r>
          </w:p>
          <w:p w14:paraId="05AC32F3" w14:textId="77777777" w:rsidR="00B92953" w:rsidRDefault="0062088E">
            <w:pPr>
              <w:widowControl w:val="0"/>
              <w:numPr>
                <w:ilvl w:val="0"/>
                <w:numId w:val="3"/>
              </w:numPr>
              <w:tabs>
                <w:tab w:val="left" w:pos="305"/>
                <w:tab w:val="left" w:pos="395"/>
              </w:tabs>
            </w:pPr>
            <w:proofErr w:type="spellStart"/>
            <w:r>
              <w:t>Behavioural</w:t>
            </w:r>
            <w:proofErr w:type="spellEnd"/>
            <w:r>
              <w:t xml:space="preserve"> outcomes directly involving movement t</w:t>
            </w:r>
            <w:r>
              <w:t>hrough space, including (but not limited to) flight path, flight initiation, diving and flushing</w:t>
            </w:r>
          </w:p>
          <w:p w14:paraId="3A2B461B" w14:textId="77777777" w:rsidR="00B92953" w:rsidRDefault="0062088E">
            <w:pPr>
              <w:widowControl w:val="0"/>
              <w:numPr>
                <w:ilvl w:val="0"/>
                <w:numId w:val="3"/>
              </w:numPr>
              <w:tabs>
                <w:tab w:val="left" w:pos="305"/>
                <w:tab w:val="left" w:pos="395"/>
              </w:tabs>
            </w:pPr>
            <w:proofErr w:type="spellStart"/>
            <w:r>
              <w:t>Behavioural</w:t>
            </w:r>
            <w:proofErr w:type="spellEnd"/>
            <w:r>
              <w:t xml:space="preserve"> response (flushing or immobilization) to spotlights used for capturing birds</w:t>
            </w:r>
          </w:p>
          <w:p w14:paraId="292D4BA2" w14:textId="77777777" w:rsidR="00B92953" w:rsidRDefault="0062088E">
            <w:pPr>
              <w:widowControl w:val="0"/>
              <w:numPr>
                <w:ilvl w:val="0"/>
                <w:numId w:val="3"/>
              </w:numPr>
              <w:tabs>
                <w:tab w:val="left" w:pos="305"/>
                <w:tab w:val="left" w:pos="395"/>
              </w:tabs>
            </w:pPr>
            <w:proofErr w:type="spellStart"/>
            <w:r>
              <w:t>Behaviours</w:t>
            </w:r>
            <w:proofErr w:type="spellEnd"/>
            <w:r>
              <w:t xml:space="preserve"> known to precede movement: orientation, overt reaction dist</w:t>
            </w:r>
            <w:r>
              <w:t>ance, alert response (e.g. moving head laterally or vertical, crouching)</w:t>
            </w:r>
          </w:p>
          <w:p w14:paraId="49BB46D0" w14:textId="77777777" w:rsidR="00B92953" w:rsidRDefault="0062088E">
            <w:pPr>
              <w:widowControl w:val="0"/>
              <w:numPr>
                <w:ilvl w:val="0"/>
                <w:numId w:val="3"/>
              </w:numPr>
              <w:tabs>
                <w:tab w:val="left" w:pos="305"/>
                <w:tab w:val="left" w:pos="395"/>
              </w:tabs>
            </w:pPr>
            <w:r>
              <w:t>Documentation of birds foraging under artificial lights</w:t>
            </w:r>
          </w:p>
          <w:p w14:paraId="309885E9" w14:textId="77777777" w:rsidR="00B92953" w:rsidRDefault="0062088E">
            <w:pPr>
              <w:widowControl w:val="0"/>
              <w:numPr>
                <w:ilvl w:val="0"/>
                <w:numId w:val="3"/>
              </w:numPr>
              <w:tabs>
                <w:tab w:val="left" w:pos="305"/>
                <w:tab w:val="left" w:pos="395"/>
              </w:tabs>
            </w:pPr>
            <w:r>
              <w:t>Habitat use metrics at foraging sites such as feeders (e.g. arrival/departure times, feeder visit rates)</w:t>
            </w:r>
          </w:p>
        </w:tc>
        <w:tc>
          <w:tcPr>
            <w:tcW w:w="3000" w:type="dxa"/>
            <w:shd w:val="clear" w:color="auto" w:fill="auto"/>
            <w:tcMar>
              <w:top w:w="100" w:type="dxa"/>
              <w:left w:w="100" w:type="dxa"/>
              <w:bottom w:w="100" w:type="dxa"/>
              <w:right w:w="100" w:type="dxa"/>
            </w:tcMar>
          </w:tcPr>
          <w:p w14:paraId="66560825" w14:textId="77777777" w:rsidR="00B92953" w:rsidRDefault="0062088E">
            <w:pPr>
              <w:widowControl w:val="0"/>
              <w:numPr>
                <w:ilvl w:val="0"/>
                <w:numId w:val="3"/>
              </w:numPr>
            </w:pPr>
            <w:r>
              <w:t>Responses that are not</w:t>
            </w:r>
            <w:r>
              <w:t xml:space="preserve"> conventionally associated with movement (e.g. hormonal responses)</w:t>
            </w:r>
          </w:p>
          <w:p w14:paraId="0D835EBE" w14:textId="77777777" w:rsidR="00B92953" w:rsidRDefault="0062088E">
            <w:pPr>
              <w:widowControl w:val="0"/>
              <w:numPr>
                <w:ilvl w:val="0"/>
                <w:numId w:val="3"/>
              </w:numPr>
            </w:pPr>
            <w:proofErr w:type="spellStart"/>
            <w:r>
              <w:t>Behavioural</w:t>
            </w:r>
            <w:proofErr w:type="spellEnd"/>
            <w:r>
              <w:t xml:space="preserve"> responses that do not include or directly precede movement through space (e.g. preening, dust-bathing, sleep </w:t>
            </w:r>
            <w:proofErr w:type="spellStart"/>
            <w:r>
              <w:t>behaviour</w:t>
            </w:r>
            <w:proofErr w:type="spellEnd"/>
            <w:r>
              <w:t>, vocalizing)</w:t>
            </w:r>
          </w:p>
          <w:p w14:paraId="03D656B3" w14:textId="77777777" w:rsidR="00B92953" w:rsidRDefault="0062088E">
            <w:pPr>
              <w:widowControl w:val="0"/>
              <w:numPr>
                <w:ilvl w:val="0"/>
                <w:numId w:val="3"/>
              </w:numPr>
            </w:pPr>
            <w:r>
              <w:t>General locomotor activity (e.g. perch-hoppin</w:t>
            </w:r>
            <w:r>
              <w:t>g or time spent walking)</w:t>
            </w:r>
          </w:p>
          <w:p w14:paraId="50C8C2EE" w14:textId="77777777" w:rsidR="00B92953" w:rsidRDefault="0062088E">
            <w:pPr>
              <w:widowControl w:val="0"/>
              <w:numPr>
                <w:ilvl w:val="0"/>
                <w:numId w:val="3"/>
              </w:numPr>
            </w:pPr>
            <w:r>
              <w:t>Temporal changes in daily or annual activity rhythms (e.g. entering/leaving nest box, migration)</w:t>
            </w:r>
          </w:p>
          <w:p w14:paraId="40EAFD40" w14:textId="77777777" w:rsidR="00B92953" w:rsidRDefault="0062088E">
            <w:pPr>
              <w:widowControl w:val="0"/>
              <w:numPr>
                <w:ilvl w:val="0"/>
                <w:numId w:val="3"/>
              </w:numPr>
            </w:pPr>
            <w:r>
              <w:t>Changes to timing of activities in laboratory experiments (e.g. feeding, drinking)</w:t>
            </w:r>
          </w:p>
          <w:p w14:paraId="12026375" w14:textId="77777777" w:rsidR="00B92953" w:rsidRDefault="0062088E">
            <w:pPr>
              <w:widowControl w:val="0"/>
              <w:numPr>
                <w:ilvl w:val="0"/>
                <w:numId w:val="3"/>
              </w:numPr>
            </w:pPr>
            <w:r>
              <w:t>Total feed consumption in laboratory experiments</w:t>
            </w:r>
          </w:p>
          <w:p w14:paraId="00AE45DE" w14:textId="77777777" w:rsidR="00B92953" w:rsidRDefault="0062088E">
            <w:pPr>
              <w:widowControl w:val="0"/>
              <w:numPr>
                <w:ilvl w:val="0"/>
                <w:numId w:val="3"/>
              </w:numPr>
            </w:pPr>
            <w:r>
              <w:t>Trained responses (e.g. trained to perform a task when a light is on)</w:t>
            </w:r>
          </w:p>
          <w:p w14:paraId="38BAF844" w14:textId="77777777" w:rsidR="00B92953" w:rsidRDefault="0062088E">
            <w:pPr>
              <w:widowControl w:val="0"/>
              <w:numPr>
                <w:ilvl w:val="0"/>
                <w:numId w:val="3"/>
              </w:numPr>
            </w:pPr>
            <w:r>
              <w:t xml:space="preserve">Ability to see specific </w:t>
            </w:r>
            <w:r>
              <w:lastRenderedPageBreak/>
              <w:t xml:space="preserve">wavelengths (e.g. mate choice </w:t>
            </w:r>
            <w:r>
              <w:t>or ability to distinguish objects under varying light conditions)</w:t>
            </w:r>
          </w:p>
          <w:p w14:paraId="77D31F65" w14:textId="77777777" w:rsidR="00B92953" w:rsidRDefault="0062088E">
            <w:pPr>
              <w:widowControl w:val="0"/>
              <w:numPr>
                <w:ilvl w:val="0"/>
                <w:numId w:val="3"/>
              </w:numPr>
            </w:pPr>
            <w:r>
              <w:t>Changes to timing in chick provisioning in field studies</w:t>
            </w:r>
          </w:p>
        </w:tc>
      </w:tr>
      <w:tr w:rsidR="00B92953" w14:paraId="25977B2B" w14:textId="77777777">
        <w:tc>
          <w:tcPr>
            <w:tcW w:w="2025" w:type="dxa"/>
            <w:shd w:val="clear" w:color="auto" w:fill="auto"/>
            <w:tcMar>
              <w:top w:w="100" w:type="dxa"/>
              <w:left w:w="100" w:type="dxa"/>
              <w:bottom w:w="100" w:type="dxa"/>
              <w:right w:w="100" w:type="dxa"/>
            </w:tcMar>
          </w:tcPr>
          <w:p w14:paraId="31FAB7E4" w14:textId="77777777" w:rsidR="00B92953" w:rsidRDefault="0062088E">
            <w:pPr>
              <w:widowControl w:val="0"/>
              <w:rPr>
                <w:sz w:val="24"/>
                <w:szCs w:val="24"/>
              </w:rPr>
            </w:pPr>
            <w:r>
              <w:rPr>
                <w:sz w:val="24"/>
                <w:szCs w:val="24"/>
              </w:rPr>
              <w:lastRenderedPageBreak/>
              <w:t>Study Design</w:t>
            </w:r>
          </w:p>
        </w:tc>
        <w:tc>
          <w:tcPr>
            <w:tcW w:w="4335" w:type="dxa"/>
            <w:shd w:val="clear" w:color="auto" w:fill="auto"/>
            <w:tcMar>
              <w:top w:w="100" w:type="dxa"/>
              <w:left w:w="100" w:type="dxa"/>
              <w:bottom w:w="100" w:type="dxa"/>
              <w:right w:w="100" w:type="dxa"/>
            </w:tcMar>
          </w:tcPr>
          <w:p w14:paraId="7A6D8103" w14:textId="77777777" w:rsidR="00B92953" w:rsidRDefault="0062088E">
            <w:pPr>
              <w:widowControl w:val="0"/>
              <w:numPr>
                <w:ilvl w:val="0"/>
                <w:numId w:val="1"/>
              </w:numPr>
              <w:ind w:left="305" w:hanging="270"/>
            </w:pPr>
            <w:r>
              <w:t>BA, CI, BACI, RCT, time-series, post-hoc surveys, or description / anecdote (e.g. documentation of mass mortality event)</w:t>
            </w:r>
          </w:p>
        </w:tc>
        <w:tc>
          <w:tcPr>
            <w:tcW w:w="3000" w:type="dxa"/>
            <w:shd w:val="clear" w:color="auto" w:fill="auto"/>
            <w:tcMar>
              <w:top w:w="100" w:type="dxa"/>
              <w:left w:w="100" w:type="dxa"/>
              <w:bottom w:w="100" w:type="dxa"/>
              <w:right w:w="100" w:type="dxa"/>
            </w:tcMar>
          </w:tcPr>
          <w:p w14:paraId="55FB5277" w14:textId="77777777" w:rsidR="00B92953" w:rsidRDefault="00B92953">
            <w:pPr>
              <w:widowControl w:val="0"/>
              <w:rPr>
                <w:sz w:val="24"/>
                <w:szCs w:val="24"/>
              </w:rPr>
            </w:pPr>
          </w:p>
        </w:tc>
      </w:tr>
    </w:tbl>
    <w:p w14:paraId="3F5CF597" w14:textId="77777777" w:rsidR="00B92953" w:rsidRDefault="00B92953">
      <w:pPr>
        <w:rPr>
          <w:rFonts w:ascii="Times New Roman" w:eastAsia="Times New Roman" w:hAnsi="Times New Roman" w:cs="Times New Roman"/>
          <w:sz w:val="24"/>
          <w:szCs w:val="24"/>
        </w:rPr>
      </w:pPr>
    </w:p>
    <w:p w14:paraId="6C467AF1" w14:textId="77777777" w:rsidR="00B92953" w:rsidRDefault="00B92953">
      <w:pPr>
        <w:ind w:left="720"/>
        <w:rPr>
          <w:sz w:val="24"/>
          <w:szCs w:val="24"/>
        </w:rPr>
      </w:pPr>
    </w:p>
    <w:sectPr w:rsidR="00B929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F94296"/>
    <w:multiLevelType w:val="multilevel"/>
    <w:tmpl w:val="5BE26BAE"/>
    <w:lvl w:ilvl="0">
      <w:start w:val="1"/>
      <w:numFmt w:val="bullet"/>
      <w:lvlText w:val="●"/>
      <w:lvlJc w:val="left"/>
      <w:pPr>
        <w:ind w:left="27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9F1319F"/>
    <w:multiLevelType w:val="multilevel"/>
    <w:tmpl w:val="C2B63A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D5A65F1"/>
    <w:multiLevelType w:val="multilevel"/>
    <w:tmpl w:val="32B0F8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953"/>
    <w:rsid w:val="0062088E"/>
    <w:rsid w:val="00B929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F2B9"/>
  <w15:docId w15:val="{24B34B06-2E3F-4BF0-B9B5-73398A4EA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Adams</dc:creator>
  <cp:lastModifiedBy>Caroline Adams</cp:lastModifiedBy>
  <cp:revision>2</cp:revision>
  <dcterms:created xsi:type="dcterms:W3CDTF">2021-01-22T03:09:00Z</dcterms:created>
  <dcterms:modified xsi:type="dcterms:W3CDTF">2021-01-22T03:09:00Z</dcterms:modified>
</cp:coreProperties>
</file>