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right="30"/>
        <w:jc w:val="center"/>
        <w:rPr>
          <w:rFonts w:ascii="Arial" w:cs="Arial" w:eastAsia="Arial" w:hAnsi="Arial"/>
          <w:b w:val="1"/>
          <w:bCs w:val="1"/>
          <w:sz w:val="22"/>
          <w:szCs w:val="22"/>
        </w:rPr>
      </w:pPr>
      <w:r w:rsidDel="00000000" w:rsidR="00000000" w:rsidRPr="00000000">
        <w:rPr>
          <w:rFonts w:ascii="Arial" w:cs="Arial" w:eastAsia="Arial" w:hAnsi="Arial"/>
          <w:b w:val="1"/>
          <w:bCs w:val="1"/>
          <w:color w:val="38761d"/>
          <w:sz w:val="22"/>
          <w:szCs w:val="22"/>
          <w:rtl w:val="0"/>
        </w:rPr>
        <w:t xml:space="preserve">An </w:t>
      </w:r>
      <w:r w:rsidDel="00000000" w:rsidR="00000000" w:rsidRPr="00000000">
        <w:rPr>
          <w:rFonts w:ascii="Arial" w:cs="Arial" w:eastAsia="Arial" w:hAnsi="Arial"/>
          <w:b w:val="1"/>
          <w:bCs w:val="1"/>
          <w:color w:val="38761d"/>
          <w:sz w:val="22"/>
          <w:szCs w:val="22"/>
          <w:rtl w:val="0"/>
        </w:rPr>
        <w:t xml:space="preserve">Open</w:t>
      </w:r>
      <w:r w:rsidDel="00000000" w:rsidR="00000000" w:rsidRPr="00000000">
        <w:rPr>
          <w:rFonts w:ascii="Arial" w:cs="Arial" w:eastAsia="Arial" w:hAnsi="Arial"/>
          <w:b w:val="1"/>
          <w:bCs w:val="1"/>
          <w:color w:val="38761d"/>
          <w:sz w:val="22"/>
          <w:szCs w:val="22"/>
          <w:rtl w:val="0"/>
        </w:rPr>
        <w:t xml:space="preserve">, Reproducible Dashboard for Mapping the Canadian </w:t>
      </w:r>
      <w:r w:rsidDel="00000000" w:rsidR="00000000" w:rsidRPr="00000000">
        <w:rPr>
          <w:rFonts w:ascii="Arial" w:cs="Arial" w:eastAsia="Arial" w:hAnsi="Arial"/>
          <w:b w:val="1"/>
          <w:bCs w:val="1"/>
          <w:color w:val="38761d"/>
          <w:sz w:val="22"/>
          <w:szCs w:val="22"/>
          <w:rtl w:val="0"/>
        </w:rPr>
        <w:t xml:space="preserve">Metaresearch Landscape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challenge and o</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ur answer.</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The call asks: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“How can we construct an open, reproducible, and inclusive dataset that best captures the Canadian metaresearch landscape?”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Our answer is a live, public</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and community-engaged dashboard, already running as a pilot version on real OpenAlex</w:t>
      </w:r>
      <w:r w:rsidDel="00000000" w:rsidR="00000000" w:rsidRPr="00000000">
        <w:rPr>
          <w:rFonts w:ascii="Arial" w:cs="Arial" w:eastAsia="Arial" w:hAnsi="Arial"/>
          <w:sz w:val="22"/>
          <w:szCs w:val="22"/>
          <w:vertAlign w:val="superscript"/>
          <w:rtl w:val="0"/>
        </w:rPr>
        <w:t xml:space="preserve">1</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data (</w:t>
      </w:r>
      <w:hyperlink r:id="rId6">
        <w:r w:rsidDel="00000000" w:rsidR="00000000" w:rsidRPr="00000000">
          <w:rPr>
            <w:rFonts w:ascii="Arial" w:cs="Arial" w:eastAsia="Arial" w:hAnsi="Arial"/>
            <w:i w:val="0"/>
            <w:iCs w:val="0"/>
            <w:smallCaps w:val="0"/>
            <w:strike w:val="0"/>
            <w:color w:val="38761d"/>
            <w:sz w:val="22"/>
            <w:szCs w:val="22"/>
            <w:u w:val="single"/>
            <w:shd w:fill="auto" w:val="clear"/>
            <w:vertAlign w:val="baseline"/>
            <w:rtl w:val="0"/>
          </w:rPr>
          <w:t xml:space="preserve">https://esantos2ua.github.io/metaResearchDataChallenge/</w:t>
        </w:r>
      </w:hyperlink>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sz w:val="22"/>
          <w:szCs w:val="22"/>
          <w:rtl w:val="0"/>
        </w:rPr>
        <w:t xml:space="preserve">. Selecting our proposal would fund the validation and community-driven extension, not the development, thereby reducing delivery risk before the conference. The dashboard</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lets researchers, funders, and communities explore who is shaping Canadian research culture, whose voices are missing, and where to improve transparency and equit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y.</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he dashboard is </w:t>
      </w:r>
      <w:r w:rsidDel="00000000" w:rsidR="00000000" w:rsidRPr="00000000">
        <w:rPr>
          <w:rFonts w:ascii="Arial" w:cs="Arial" w:eastAsia="Arial" w:hAnsi="Arial"/>
          <w:sz w:val="22"/>
          <w:szCs w:val="22"/>
          <w:rtl w:val="0"/>
        </w:rPr>
        <w:t xml:space="preserve">available in English and French and</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will </w:t>
      </w:r>
      <w:r w:rsidDel="00000000" w:rsidR="00000000" w:rsidRPr="00000000">
        <w:rPr>
          <w:rFonts w:ascii="Arial" w:cs="Arial" w:eastAsia="Arial" w:hAnsi="Arial"/>
          <w:sz w:val="22"/>
          <w:szCs w:val="22"/>
          <w:rtl w:val="0"/>
        </w:rPr>
        <w:t xml:space="preserve">provide an accessible overview of publication trends, topic breakdowns, open- and closed-access articles, key research hubs, collaboration networks, funding relationships, and other facets to be determined through the community-driven process. One unique aspect is that the development of the dashboard will be informed by consultations with Canadian and global meta-research communities, who will also be involved in validating the data and workflows used to populate it. This approach is enabled by unique meta-research expertise and connections of the project leadership team (</w:t>
      </w:r>
      <w:r w:rsidDel="00000000" w:rsidR="00000000" w:rsidRPr="00000000">
        <w:rPr>
          <w:rFonts w:ascii="Arial" w:cs="Arial" w:eastAsia="Arial" w:hAnsi="Arial"/>
          <w:i w:val="1"/>
          <w:iCs w:val="1"/>
          <w:sz w:val="22"/>
          <w:szCs w:val="22"/>
          <w:rtl w:val="0"/>
        </w:rPr>
        <w:t xml:space="preserve">e.g.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SORTEE Canada Chapter, CaRN, </w:t>
      </w:r>
      <w:r w:rsidDel="00000000" w:rsidR="00000000" w:rsidRPr="00000000">
        <w:rPr>
          <w:rFonts w:ascii="Arial" w:cs="Arial" w:eastAsia="Arial" w:hAnsi="Arial"/>
          <w:sz w:val="22"/>
          <w:szCs w:val="22"/>
          <w:rtl w:val="0"/>
        </w:rPr>
        <w:t xml:space="preserve">AuRN, UKRN, GFRN, </w:t>
      </w:r>
      <w:r w:rsidDel="00000000" w:rsidR="00000000" w:rsidRPr="00000000">
        <w:rPr>
          <w:rFonts w:ascii="Arial" w:cs="Arial" w:eastAsia="Arial" w:hAnsi="Arial"/>
          <w:sz w:val="22"/>
          <w:szCs w:val="22"/>
          <w:rtl w:val="0"/>
        </w:rPr>
        <w:t xml:space="preserve">CONNECT</w:t>
      </w:r>
      <w:r w:rsidDel="00000000" w:rsidR="00000000" w:rsidRPr="00000000">
        <w:rPr>
          <w:rFonts w:ascii="Arial" w:cs="Arial" w:eastAsia="Arial" w:hAnsi="Arial"/>
          <w:sz w:val="22"/>
          <w:szCs w:val="22"/>
          <w:rtl w:val="0"/>
        </w:rPr>
        <w:t xml:space="preserve"> Network, </w:t>
      </w:r>
      <w:r w:rsidDel="00000000" w:rsidR="00000000" w:rsidRPr="00000000">
        <w:rPr>
          <w:rFonts w:ascii="Arial" w:cs="Arial" w:eastAsia="Arial" w:hAnsi="Arial"/>
          <w:sz w:val="22"/>
          <w:szCs w:val="22"/>
          <w:rtl w:val="0"/>
        </w:rPr>
        <w:t xml:space="preserve">AIMOS,</w:t>
      </w:r>
      <w:r w:rsidDel="00000000" w:rsidR="00000000" w:rsidRPr="00000000">
        <w:rPr>
          <w:rFonts w:ascii="Arial" w:cs="Arial" w:eastAsia="Arial" w:hAnsi="Arial"/>
          <w:sz w:val="22"/>
          <w:szCs w:val="22"/>
          <w:rtl w:val="0"/>
        </w:rPr>
        <w:t xml:space="preserve"> SRSM</w:t>
      </w:r>
      <w:r w:rsidDel="00000000" w:rsidR="00000000" w:rsidRPr="00000000">
        <w:rPr>
          <w:rFonts w:ascii="Arial" w:cs="Arial" w:eastAsia="Arial" w:hAnsi="Arial"/>
          <w:sz w:val="22"/>
          <w:szCs w:val="22"/>
          <w:rtl w:val="0"/>
        </w:rPr>
        <w:t xml:space="preserve">, SIPS).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2181225</wp:posOffset>
            </wp:positionV>
            <wp:extent cx="1800225" cy="5267325"/>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139" l="0" r="0" t="139"/>
                    <a:stretch>
                      <a:fillRect/>
                    </a:stretch>
                  </pic:blipFill>
                  <pic:spPr>
                    <a:xfrm>
                      <a:off x="0" y="0"/>
                      <a:ext cx="1800225" cy="5267325"/>
                    </a:xfrm>
                    <a:prstGeom prst="rect"/>
                    <a:ln/>
                  </pic:spPr>
                </pic:pic>
              </a:graphicData>
            </a:graphic>
          </wp:anchor>
        </w:drawing>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efining and retrieving the corpus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The pilot version of the dashboard draws on five OpenAlex topics, relevant under</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“metaresearch”</w:t>
      </w:r>
      <w:r w:rsidDel="00000000" w:rsidR="00000000" w:rsidRPr="00000000">
        <w:rPr>
          <w:rFonts w:ascii="Arial" w:cs="Arial" w:eastAsia="Arial" w:hAnsi="Arial"/>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i</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scientometrics and bibliometrics, (ii) academic publishing and open access, (iii) scholarly communication, (iv) academic integrity, and (v) web visibility/informetrics</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The pilot dashboard already covers ~7,000 Canadian-affiliated works </w:t>
      </w:r>
      <w:r w:rsidDel="00000000" w:rsidR="00000000" w:rsidRPr="00000000">
        <w:rPr>
          <w:rFonts w:ascii="Arial" w:cs="Arial" w:eastAsia="Arial" w:hAnsi="Arial"/>
          <w:sz w:val="22"/>
          <w:szCs w:val="22"/>
          <w:rtl w:val="0"/>
        </w:rPr>
        <w:t xml:space="preserve">from 1970 onward. The r</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etrieval uses the OpenAlex API with a dated, version-pinned snapshot. </w:t>
      </w:r>
      <w:r w:rsidDel="00000000" w:rsidR="00000000" w:rsidRPr="00000000">
        <w:rPr>
          <w:rFonts w:ascii="Arial" w:cs="Arial" w:eastAsia="Arial" w:hAnsi="Arial"/>
          <w:sz w:val="22"/>
          <w:szCs w:val="22"/>
          <w:rtl w:val="0"/>
        </w:rPr>
        <w:t xml:space="preserve">We will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benchmark coverage against established sources such as Web of Science and Scopus</w:t>
      </w:r>
      <w:r w:rsidDel="00000000" w:rsidR="00000000" w:rsidRPr="00000000">
        <w:rPr>
          <w:rFonts w:ascii="Arial" w:cs="Arial" w:eastAsia="Arial" w:hAnsi="Arial"/>
          <w:i w:val="0"/>
          <w:iCs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We will then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validat</w:t>
      </w:r>
      <w:r w:rsidDel="00000000" w:rsidR="00000000" w:rsidRPr="00000000">
        <w:rPr>
          <w:rFonts w:ascii="Arial" w:cs="Arial" w:eastAsia="Arial" w:hAnsi="Arial"/>
          <w:sz w:val="22"/>
          <w:szCs w:val="22"/>
          <w:rtl w:val="0"/>
        </w:rPr>
        <w:t xml:space="preserve">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relevance through a manually checked stratified sample and precision/recall against a community-curated seed set.</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Openness, transparency, and reproducibility.</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We have designed</w:t>
      </w:r>
      <w:r w:rsidDel="00000000" w:rsidR="00000000" w:rsidRPr="00000000">
        <w:rPr>
          <w:rFonts w:ascii="Arial" w:cs="Arial" w:eastAsia="Arial" w:hAnsi="Arial"/>
          <w:sz w:val="22"/>
          <w:szCs w:val="22"/>
          <w:rtl w:val="0"/>
        </w:rPr>
        <w:t xml:space="preserve"> the project around open science and r</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eproducibility principles</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he entire dataset </w:t>
      </w:r>
      <w:r w:rsidDel="00000000" w:rsidR="00000000" w:rsidRPr="00000000">
        <w:rPr>
          <w:rFonts w:ascii="Arial" w:cs="Arial" w:eastAsia="Arial" w:hAnsi="Arial"/>
          <w:sz w:val="22"/>
          <w:szCs w:val="22"/>
          <w:rtl w:val="0"/>
        </w:rPr>
        <w:t xml:space="preserve">can be rebuilt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from </w:t>
      </w:r>
      <w:r w:rsidDel="00000000" w:rsidR="00000000" w:rsidRPr="00000000">
        <w:rPr>
          <w:rFonts w:ascii="Arial" w:cs="Arial" w:eastAsia="Arial" w:hAnsi="Arial"/>
          <w:sz w:val="22"/>
          <w:szCs w:val="22"/>
          <w:rtl w:val="0"/>
        </w:rPr>
        <w:t xml:space="preserve">OpenAlex</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with one command, and every </w:t>
      </w:r>
      <w:r w:rsidDel="00000000" w:rsidR="00000000" w:rsidRPr="00000000">
        <w:rPr>
          <w:rFonts w:ascii="Arial" w:cs="Arial" w:eastAsia="Arial" w:hAnsi="Arial"/>
          <w:sz w:val="22"/>
          <w:szCs w:val="22"/>
          <w:rtl w:val="0"/>
        </w:rPr>
        <w:t xml:space="preserve">step</w:t>
      </w: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 is documented and inspectable. The pipeline (raw data → processed data → dashboard) is fully scripted with </w:t>
      </w:r>
      <w:r w:rsidDel="00000000" w:rsidR="00000000" w:rsidRPr="00000000">
        <w:rPr>
          <w:rFonts w:ascii="Arial" w:cs="Arial" w:eastAsia="Arial" w:hAnsi="Arial"/>
          <w:sz w:val="22"/>
          <w:szCs w:val="22"/>
          <w:rtl w:val="0"/>
        </w:rPr>
        <w:t xml:space="preserve">Python scripts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and the corpus-defining query lives in a single versioned configuration file, so the definition is auditable and re-runnable. In the </w:t>
      </w:r>
      <w:r w:rsidDel="00000000" w:rsidR="00000000" w:rsidRPr="00000000">
        <w:rPr>
          <w:rFonts w:ascii="Arial" w:cs="Arial" w:eastAsia="Arial" w:hAnsi="Arial"/>
          <w:sz w:val="22"/>
          <w:szCs w:val="22"/>
          <w:rtl w:val="0"/>
        </w:rPr>
        <w:t xml:space="preserve">d</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ocumentation</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we provide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a methodology and reproducibility guide, </w:t>
      </w:r>
      <w:r w:rsidDel="00000000" w:rsidR="00000000" w:rsidRPr="00000000">
        <w:rPr>
          <w:rFonts w:ascii="Arial" w:cs="Arial" w:eastAsia="Arial" w:hAnsi="Arial"/>
          <w:sz w:val="22"/>
          <w:szCs w:val="22"/>
          <w:rtl w:val="0"/>
        </w:rPr>
        <w:t xml:space="preserve">as well as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the codebook. </w:t>
      </w: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sz w:val="22"/>
          <w:szCs w:val="22"/>
          <w:rtl w:val="0"/>
        </w:rPr>
        <w:t xml:space="preserve">o maintain transparency, the </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"Search &amp; validation" panel in the dashboard </w:t>
      </w:r>
      <w:r w:rsidDel="00000000" w:rsidR="00000000" w:rsidRPr="00000000">
        <w:rPr>
          <w:rFonts w:ascii="Arial" w:cs="Arial" w:eastAsia="Arial" w:hAnsi="Arial"/>
          <w:sz w:val="22"/>
          <w:szCs w:val="22"/>
          <w:rtl w:val="0"/>
        </w:rPr>
        <w:t xml:space="preserve">displays the specific query used, executes it in real time via OpenAlex, and conducts random spot checks</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 to verify the sample's relevanc</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To support reproducibility, the project code is MIT-licensed, while data and documentation use CC BY 4.0. Publicly hosted on GitHub, the project follows FAIR principles and uses a version-pinned OpenAlex snapshot. This architecture provides an open framework for other scholarly communities to develop and improve similar tracking tools.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Diversity across traditions, languages, and communities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Canadian metaresearch spans different scholarly traditions, disciplines, and languages. The interface is fully bilingual, and we use bilingual keywords. The low French share (4%) is reported as an equity gap in the dashboard. We provide other equity indicators, such as the institutional share and topic concentration to make underrepresented work visible. Where the corpus includes Indigenous-led research or Indigenous data, the project will follow the First Nations principles of OCAP®</w:t>
      </w:r>
      <w:r w:rsidDel="00000000" w:rsidR="00000000" w:rsidRPr="00000000">
        <w:rPr>
          <w:rFonts w:ascii="Arial" w:cs="Arial" w:eastAsia="Arial" w:hAnsi="Arial"/>
          <w:sz w:val="22"/>
          <w:szCs w:val="22"/>
          <w:vertAlign w:val="superscript"/>
          <w:rtl w:val="0"/>
        </w:rPr>
        <w:t xml:space="preserve">5</w:t>
      </w:r>
      <w:r w:rsidDel="00000000" w:rsidR="00000000" w:rsidRPr="00000000">
        <w:rPr>
          <w:rFonts w:ascii="Arial" w:cs="Arial" w:eastAsia="Arial" w:hAnsi="Arial"/>
          <w:sz w:val="22"/>
          <w:szCs w:val="22"/>
          <w:rtl w:val="0"/>
        </w:rPr>
        <w:t xml:space="preserve">, the CARE Principles for Indigenous Data Governance</w:t>
      </w:r>
      <w:r w:rsidDel="00000000" w:rsidR="00000000" w:rsidRPr="00000000">
        <w:rPr>
          <w:rFonts w:ascii="Arial" w:cs="Arial" w:eastAsia="Arial" w:hAnsi="Arial"/>
          <w:sz w:val="22"/>
          <w:szCs w:val="22"/>
          <w:vertAlign w:val="superscript"/>
          <w:rtl w:val="0"/>
        </w:rPr>
        <w:t xml:space="preserve">6</w:t>
      </w:r>
      <w:r w:rsidDel="00000000" w:rsidR="00000000" w:rsidRPr="00000000">
        <w:rPr>
          <w:rFonts w:ascii="Arial" w:cs="Arial" w:eastAsia="Arial" w:hAnsi="Arial"/>
          <w:sz w:val="22"/>
          <w:szCs w:val="22"/>
          <w:rtl w:val="0"/>
        </w:rPr>
        <w:t xml:space="preserve">, and Chapter 9 of the Tri-Council Policy Statement</w:t>
      </w:r>
      <w:r w:rsidDel="00000000" w:rsidR="00000000" w:rsidRPr="00000000">
        <w:rPr>
          <w:rFonts w:ascii="Arial" w:cs="Arial" w:eastAsia="Arial" w:hAnsi="Arial"/>
          <w:sz w:val="22"/>
          <w:szCs w:val="22"/>
          <w:vertAlign w:val="superscript"/>
          <w:rtl w:val="0"/>
        </w:rPr>
        <w:t xml:space="preserve">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Outputs.</w:t>
      </w:r>
      <w:r w:rsidDel="00000000" w:rsidR="00000000" w:rsidRPr="00000000">
        <w:rPr>
          <w:rFonts w:ascii="Arial" w:cs="Arial" w:eastAsia="Arial" w:hAnsi="Arial"/>
          <w:sz w:val="22"/>
          <w:szCs w:val="22"/>
          <w:rtl w:val="0"/>
        </w:rPr>
        <w:t xml:space="preserve"> An open dataset with codebook, reproducible code and workflows, a deployed public dashboard (see </w:t>
      </w:r>
      <w:r w:rsidDel="00000000" w:rsidR="00000000" w:rsidRPr="00000000">
        <w:rPr>
          <w:rFonts w:ascii="Arial" w:cs="Arial" w:eastAsia="Arial" w:hAnsi="Arial"/>
          <w:b w:val="1"/>
          <w:bCs w:val="1"/>
          <w:sz w:val="22"/>
          <w:szCs w:val="22"/>
          <w:rtl w:val="0"/>
        </w:rPr>
        <w:t xml:space="preserve">Figure 1</w:t>
      </w:r>
      <w:r w:rsidDel="00000000" w:rsidR="00000000" w:rsidRPr="00000000">
        <w:rPr>
          <w:rFonts w:ascii="Arial" w:cs="Arial" w:eastAsia="Arial" w:hAnsi="Arial"/>
          <w:sz w:val="22"/>
          <w:szCs w:val="22"/>
          <w:rtl w:val="0"/>
        </w:rPr>
        <w:t xml:space="preserve">), and a 30-minute plenary presentation. We plan to implement and monitor indicators such as community feedback, GitHub contributions, dataset reuse, dashboard usage, and uptake by Canadian meta-research organizations to gauge the success/impact of this initiative.</w:t>
      </w:r>
    </w:p>
    <w:p w:rsidR="00000000" w:rsidDel="00000000" w:rsidP="00000000" w:rsidRDefault="00000000" w:rsidRPr="00000000" w14:paraId="00000007">
      <w:pPr>
        <w:pStyle w:val="Heading2"/>
        <w:jc w:val="center"/>
        <w:rPr>
          <w:rFonts w:ascii="Arial" w:cs="Arial" w:eastAsia="Arial" w:hAnsi="Arial"/>
          <w:sz w:val="20"/>
          <w:szCs w:val="20"/>
        </w:rPr>
      </w:pPr>
      <w:bookmarkStart w:colFirst="0" w:colLast="0" w:name="_g4ua2xuyce4" w:id="0"/>
      <w:bookmarkEnd w:id="0"/>
      <w:r w:rsidDel="00000000" w:rsidR="00000000" w:rsidRPr="00000000">
        <w:rPr>
          <w:rFonts w:ascii="Arial" w:cs="Arial" w:eastAsia="Arial" w:hAnsi="Arial"/>
          <w:sz w:val="20"/>
          <w:szCs w:val="20"/>
        </w:rPr>
        <w:drawing>
          <wp:inline distB="114300" distT="114300" distL="114300" distR="114300">
            <wp:extent cx="6129591" cy="2883359"/>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29591" cy="2883359"/>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Figure 1. </w:t>
      </w:r>
      <w:r w:rsidDel="00000000" w:rsidR="00000000" w:rsidRPr="00000000">
        <w:rPr>
          <w:rFonts w:ascii="Arial" w:cs="Arial" w:eastAsia="Arial" w:hAnsi="Arial"/>
          <w:sz w:val="20"/>
          <w:szCs w:val="20"/>
          <w:rtl w:val="0"/>
        </w:rPr>
        <w:t xml:space="preserve">Screenshot of the pilot version of the </w:t>
      </w:r>
      <w:hyperlink r:id="rId9">
        <w:r w:rsidDel="00000000" w:rsidR="00000000" w:rsidRPr="00000000">
          <w:rPr>
            <w:rFonts w:ascii="Arial" w:cs="Arial" w:eastAsia="Arial" w:hAnsi="Arial"/>
            <w:color w:val="38761d"/>
            <w:sz w:val="20"/>
            <w:szCs w:val="20"/>
            <w:u w:val="single"/>
            <w:rtl w:val="0"/>
          </w:rPr>
          <w:t xml:space="preserve">Canadian Metaresearch Dashboard</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09">
      <w:pPr>
        <w:spacing w:after="180" w:before="18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Assumptions, limitations, and sources of bias.</w:t>
      </w:r>
      <w:r w:rsidDel="00000000" w:rsidR="00000000" w:rsidRPr="00000000">
        <w:rPr>
          <w:rFonts w:ascii="Arial" w:cs="Arial" w:eastAsia="Arial" w:hAnsi="Arial"/>
          <w:sz w:val="22"/>
          <w:szCs w:val="22"/>
          <w:rtl w:val="0"/>
        </w:rPr>
        <w:t xml:space="preserve"> The main assumption underlying this project is that OpenAlex metadata, particularly topic classification and institutional affiliations, can be used to identify Canadian metaresearch outputs and contributions with reasonable accuracy. Because these proxies are imperfect, we will validate retrieval performance through manual review, benchmarking against established databases, and testing alternative inclusion criteria.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Additional limitations relate to coverage and metadata quality. OpenAlex may underrepresent Francophone outputs, grey literature, and community-based scholarship. OpenAlex provides limited information on author demographics, career stage, and equity-deserving groups, restricting the scope of equity analyses. We will assess and report these limitations through dataset validation, methodological documentation, and dashboard indicators, so users can interpret the findings appropriately.</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 plan.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The pi</w:t>
      </w:r>
      <w:r w:rsidDel="00000000" w:rsidR="00000000" w:rsidRPr="00000000">
        <w:rPr>
          <w:rFonts w:ascii="Arial" w:cs="Arial" w:eastAsia="Arial" w:hAnsi="Arial"/>
          <w:sz w:val="22"/>
          <w:szCs w:val="22"/>
          <w:rtl w:val="0"/>
        </w:rPr>
        <w:t xml:space="preserve">lot dashboard is built. Post-selection work will refine and validate it before the 2nd Canadian Open Science Conference in October 2026. </w:t>
      </w:r>
      <w:r w:rsidDel="00000000" w:rsidR="00000000" w:rsidRPr="00000000">
        <w:rPr>
          <w:rtl w:val="0"/>
        </w:rPr>
      </w:r>
    </w:p>
    <w:tbl>
      <w:tblPr>
        <w:tblStyle w:val="Table1"/>
        <w:tblW w:w="9705.0" w:type="dxa"/>
        <w:jc w:val="center"/>
        <w:tblLayout w:type="fixed"/>
        <w:tblLook w:val="0020"/>
      </w:tblPr>
      <w:tblGrid>
        <w:gridCol w:w="3975"/>
        <w:gridCol w:w="1245"/>
        <w:gridCol w:w="4485"/>
        <w:tblGridChange w:id="0">
          <w:tblGrid>
            <w:gridCol w:w="3975"/>
            <w:gridCol w:w="1245"/>
            <w:gridCol w:w="448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b6d7a8" w:val="clea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Phase</w:t>
            </w:r>
          </w:p>
        </w:tc>
        <w:tc>
          <w:tcPr>
            <w:tcBorders>
              <w:top w:color="000000" w:space="0" w:sz="4" w:val="single"/>
              <w:left w:color="000000" w:space="0" w:sz="4" w:val="single"/>
              <w:bottom w:color="000000" w:space="0" w:sz="4" w:val="single"/>
              <w:right w:color="000000" w:space="0" w:sz="4" w:val="single"/>
            </w:tcBorders>
            <w:shd w:fill="b6d7a8" w:val="clea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Window</w:t>
            </w:r>
          </w:p>
        </w:tc>
        <w:tc>
          <w:tcPr>
            <w:tcBorders>
              <w:top w:color="000000" w:space="0" w:sz="4" w:val="single"/>
              <w:left w:color="000000" w:space="0" w:sz="4" w:val="single"/>
              <w:bottom w:color="000000" w:space="0" w:sz="4" w:val="single"/>
              <w:right w:color="000000" w:space="0" w:sz="4" w:val="single"/>
            </w:tcBorders>
            <w:shd w:fill="b6d7a8" w:val="clea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Output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i w:val="0"/>
                <w:iCs w:val="0"/>
                <w:smallCaps w:val="0"/>
                <w:strike w:val="0"/>
                <w:color w:val="000000"/>
                <w:sz w:val="16"/>
                <w:szCs w:val="16"/>
                <w:u w:val="none"/>
                <w:shd w:fill="auto" w:val="clear"/>
                <w:vertAlign w:val="baseline"/>
              </w:rPr>
            </w:pP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C</w:t>
            </w:r>
            <w:r w:rsidDel="00000000" w:rsidR="00000000" w:rsidRPr="00000000">
              <w:rPr>
                <w:rFonts w:ascii="Arial" w:cs="Arial" w:eastAsia="Arial" w:hAnsi="Arial"/>
                <w:sz w:val="16"/>
                <w:szCs w:val="16"/>
                <w:rtl w:val="0"/>
              </w:rPr>
              <w:t xml:space="preserve">ommunity </w:t>
            </w: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codesign&amp; topic/criteria validation</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i w:val="0"/>
                <w:iCs w:val="0"/>
                <w:smallCaps w:val="0"/>
                <w:strike w:val="0"/>
                <w:color w:val="000000"/>
                <w:sz w:val="16"/>
                <w:szCs w:val="16"/>
                <w:u w:val="none"/>
                <w:shd w:fill="auto" w:val="clear"/>
                <w:vertAlign w:val="baseline"/>
              </w:rPr>
            </w:pP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Aug</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i w:val="0"/>
                <w:i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Community-vetted topic set + inclusion/exclusion criteria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i w:val="0"/>
                <w:iCs w:val="0"/>
                <w:smallCaps w:val="0"/>
                <w:strike w:val="0"/>
                <w:color w:val="000000"/>
                <w:sz w:val="16"/>
                <w:szCs w:val="16"/>
                <w:u w:val="none"/>
                <w:shd w:fill="auto" w:val="clear"/>
                <w:vertAlign w:val="baseline"/>
              </w:rPr>
            </w:pP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Cleaning, validation &amp; bias assessment</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i w:val="0"/>
                <w:iCs w:val="0"/>
                <w:smallCaps w:val="0"/>
                <w:strike w:val="0"/>
                <w:color w:val="000000"/>
                <w:sz w:val="16"/>
                <w:szCs w:val="16"/>
                <w:u w:val="none"/>
                <w:shd w:fill="auto" w:val="clear"/>
                <w:vertAlign w:val="baseline"/>
              </w:rPr>
            </w:pP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Aug</w:t>
            </w:r>
            <w:r w:rsidDel="00000000" w:rsidR="00000000" w:rsidRPr="00000000">
              <w:rPr>
                <w:rFonts w:ascii="Arial" w:cs="Arial" w:eastAsia="Arial" w:hAnsi="Arial"/>
                <w:sz w:val="16"/>
                <w:szCs w:val="16"/>
                <w:rtl w:val="0"/>
              </w:rPr>
              <w:t xml:space="preserve">–Sep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i w:val="0"/>
                <w:iCs w:val="0"/>
                <w:smallCaps w:val="0"/>
                <w:strike w:val="0"/>
                <w:color w:val="000000"/>
                <w:sz w:val="16"/>
                <w:szCs w:val="16"/>
                <w:u w:val="none"/>
                <w:shd w:fill="auto" w:val="clear"/>
                <w:vertAlign w:val="baseline"/>
              </w:rPr>
            </w:pP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Validated dataset + bias/coverage report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i w:val="0"/>
                <w:iCs w:val="0"/>
                <w:smallCaps w:val="0"/>
                <w:strike w:val="0"/>
                <w:color w:val="000000"/>
                <w:sz w:val="16"/>
                <w:szCs w:val="16"/>
                <w:u w:val="none"/>
                <w:shd w:fill="auto" w:val="clear"/>
                <w:vertAlign w:val="baseline"/>
              </w:rPr>
            </w:pP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Analyses &amp; dashboard </w:t>
            </w:r>
            <w:r w:rsidDel="00000000" w:rsidR="00000000" w:rsidRPr="00000000">
              <w:rPr>
                <w:rFonts w:ascii="Arial" w:cs="Arial" w:eastAsia="Arial" w:hAnsi="Arial"/>
                <w:sz w:val="16"/>
                <w:szCs w:val="16"/>
                <w:rtl w:val="0"/>
              </w:rPr>
              <w:t xml:space="preserve">refinement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i w:val="0"/>
                <w:iCs w:val="0"/>
                <w:smallCaps w:val="0"/>
                <w:strike w:val="0"/>
                <w:color w:val="000000"/>
                <w:sz w:val="16"/>
                <w:szCs w:val="16"/>
                <w:u w:val="none"/>
                <w:shd w:fill="auto" w:val="clear"/>
                <w:vertAlign w:val="baseline"/>
              </w:rPr>
            </w:pP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Sep–Oct </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i w:val="0"/>
                <w:i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Updated b</w:t>
            </w: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ibliometric, network, and topic</w:t>
            </w:r>
            <w:r w:rsidDel="00000000" w:rsidR="00000000" w:rsidRPr="00000000">
              <w:rPr>
                <w:rFonts w:ascii="Arial" w:cs="Arial" w:eastAsia="Arial" w:hAnsi="Arial"/>
                <w:sz w:val="16"/>
                <w:szCs w:val="16"/>
                <w:rtl w:val="0"/>
              </w:rPr>
              <w:t xml:space="preserve"> views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i w:val="0"/>
                <w:iCs w:val="0"/>
                <w:smallCaps w:val="0"/>
                <w:strike w:val="0"/>
                <w:color w:val="000000"/>
                <w:sz w:val="16"/>
                <w:szCs w:val="16"/>
                <w:u w:val="none"/>
                <w:shd w:fill="auto" w:val="clear"/>
                <w:vertAlign w:val="baseline"/>
              </w:rPr>
            </w:pP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Documentation &amp; rehearsal</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i w:val="0"/>
                <w:iCs w:val="0"/>
                <w:smallCaps w:val="0"/>
                <w:strike w:val="0"/>
                <w:color w:val="000000"/>
                <w:sz w:val="16"/>
                <w:szCs w:val="16"/>
                <w:u w:val="none"/>
                <w:shd w:fill="auto" w:val="clear"/>
                <w:vertAlign w:val="baseline"/>
              </w:rPr>
            </w:pP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Oct</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i w:val="0"/>
                <w:iCs w:val="0"/>
                <w:smallCaps w:val="0"/>
                <w:strike w:val="0"/>
                <w:color w:val="000000"/>
                <w:sz w:val="16"/>
                <w:szCs w:val="16"/>
                <w:u w:val="none"/>
                <w:shd w:fill="auto" w:val="clear"/>
                <w:vertAlign w:val="baseline"/>
              </w:rPr>
            </w:pP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Reproducibility docs + 30-minute plenary talk</w:t>
            </w:r>
          </w:p>
        </w:tc>
      </w:tr>
    </w:tbl>
    <w:p w:rsidR="00000000" w:rsidDel="00000000" w:rsidP="00000000" w:rsidRDefault="00000000" w:rsidRPr="00000000" w14:paraId="0000001B">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C">
      <w:pPr>
        <w:jc w:val="both"/>
        <w:rPr>
          <w:rFonts w:ascii="Arial" w:cs="Arial" w:eastAsia="Arial" w:hAnsi="Arial"/>
          <w:color w:val="000000"/>
          <w:sz w:val="20"/>
          <w:szCs w:val="20"/>
          <w:vertAlign w:val="baseline"/>
        </w:rPr>
      </w:pPr>
      <w:r w:rsidDel="00000000" w:rsidR="00000000" w:rsidRPr="00000000">
        <w:rPr>
          <w:rFonts w:ascii="Arial" w:cs="Arial" w:eastAsia="Arial" w:hAnsi="Arial"/>
          <w:b w:val="1"/>
          <w:bCs w:val="1"/>
          <w:color w:val="000000"/>
          <w:sz w:val="20"/>
          <w:szCs w:val="20"/>
          <w:rtl w:val="0"/>
        </w:rPr>
        <w:t xml:space="preserve">References</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00"/>
          <w:sz w:val="20"/>
          <w:szCs w:val="20"/>
          <w:vertAlign w:val="baseline"/>
          <w:rtl w:val="0"/>
        </w:rPr>
        <w:t xml:space="preserve">1. Priem, J.</w:t>
      </w:r>
      <w:r w:rsidDel="00000000" w:rsidR="00000000" w:rsidRPr="00000000">
        <w:rPr>
          <w:rFonts w:ascii="Arial" w:cs="Arial" w:eastAsia="Arial" w:hAnsi="Arial"/>
          <w:sz w:val="20"/>
          <w:szCs w:val="20"/>
          <w:rtl w:val="0"/>
        </w:rPr>
        <w:t xml:space="preserve"> et al</w:t>
      </w:r>
      <w:r w:rsidDel="00000000" w:rsidR="00000000" w:rsidRPr="00000000">
        <w:rPr>
          <w:rFonts w:ascii="Arial" w:cs="Arial" w:eastAsia="Arial" w:hAnsi="Arial"/>
          <w:color w:val="000000"/>
          <w:sz w:val="20"/>
          <w:szCs w:val="20"/>
          <w:vertAlign w:val="baseline"/>
          <w:rtl w:val="0"/>
        </w:rPr>
        <w:t xml:space="preserve">. OpenAlex: </w:t>
      </w:r>
      <w:hyperlink r:id="rId10">
        <w:r w:rsidDel="00000000" w:rsidR="00000000" w:rsidRPr="00000000">
          <w:rPr>
            <w:rFonts w:ascii="Arial" w:cs="Arial" w:eastAsia="Arial" w:hAnsi="Arial"/>
            <w:color w:val="38761d"/>
            <w:sz w:val="20"/>
            <w:szCs w:val="20"/>
            <w:u w:val="single"/>
            <w:rtl w:val="0"/>
          </w:rPr>
          <w:t xml:space="preserve">A fully-open index of scholarly works, authors, venues, institutions, and concepts</w:t>
        </w:r>
      </w:hyperlink>
      <w:r w:rsidDel="00000000" w:rsidR="00000000" w:rsidRPr="00000000">
        <w:rPr>
          <w:rFonts w:ascii="Arial" w:cs="Arial" w:eastAsia="Arial" w:hAnsi="Arial"/>
          <w:color w:val="000000"/>
          <w:sz w:val="20"/>
          <w:szCs w:val="20"/>
          <w:vertAlign w:val="baseline"/>
          <w:rtl w:val="0"/>
        </w:rPr>
        <w:t xml:space="preserve">. </w:t>
      </w:r>
      <w:r w:rsidDel="00000000" w:rsidR="00000000" w:rsidRPr="00000000">
        <w:rPr>
          <w:rFonts w:ascii="Arial" w:cs="Arial" w:eastAsia="Arial" w:hAnsi="Arial"/>
          <w:i w:val="1"/>
          <w:iCs w:val="1"/>
          <w:color w:val="000000"/>
          <w:sz w:val="20"/>
          <w:szCs w:val="20"/>
          <w:vertAlign w:val="baseline"/>
          <w:rtl w:val="0"/>
        </w:rPr>
        <w:t xml:space="preserve">ar</w:t>
      </w:r>
      <w:r w:rsidDel="00000000" w:rsidR="00000000" w:rsidRPr="00000000">
        <w:rPr>
          <w:rFonts w:ascii="Arial" w:cs="Arial" w:eastAsia="Arial" w:hAnsi="Arial"/>
          <w:i w:val="1"/>
          <w:iCs w:val="1"/>
          <w:sz w:val="20"/>
          <w:szCs w:val="20"/>
          <w:rtl w:val="0"/>
        </w:rPr>
        <w:t xml:space="preserve">Xiv:2205.01833</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00"/>
          <w:sz w:val="20"/>
          <w:szCs w:val="20"/>
          <w:vertAlign w:val="baseline"/>
          <w:rtl w:val="0"/>
        </w:rPr>
        <w:t xml:space="preserve">(2022).</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00"/>
          <w:sz w:val="20"/>
          <w:szCs w:val="20"/>
          <w:vertAlign w:val="baseline"/>
          <w:rtl w:val="0"/>
        </w:rPr>
        <w:t xml:space="preserve">2. Ioannidis, J. P. A.</w:t>
      </w:r>
      <w:r w:rsidDel="00000000" w:rsidR="00000000" w:rsidRPr="00000000">
        <w:rPr>
          <w:rFonts w:ascii="Arial" w:cs="Arial" w:eastAsia="Arial" w:hAnsi="Arial"/>
          <w:sz w:val="20"/>
          <w:szCs w:val="20"/>
          <w:rtl w:val="0"/>
        </w:rPr>
        <w:t xml:space="preserve"> et al</w:t>
      </w:r>
      <w:r w:rsidDel="00000000" w:rsidR="00000000" w:rsidRPr="00000000">
        <w:rPr>
          <w:rFonts w:ascii="Arial" w:cs="Arial" w:eastAsia="Arial" w:hAnsi="Arial"/>
          <w:color w:val="000000"/>
          <w:sz w:val="20"/>
          <w:szCs w:val="20"/>
          <w:vertAlign w:val="baseline"/>
          <w:rtl w:val="0"/>
        </w:rPr>
        <w:t xml:space="preserve">. </w:t>
      </w:r>
      <w:hyperlink r:id="rId11">
        <w:r w:rsidDel="00000000" w:rsidR="00000000" w:rsidRPr="00000000">
          <w:rPr>
            <w:rFonts w:ascii="Arial" w:cs="Arial" w:eastAsia="Arial" w:hAnsi="Arial"/>
            <w:color w:val="38761d"/>
            <w:sz w:val="20"/>
            <w:szCs w:val="20"/>
            <w:u w:val="single"/>
            <w:vertAlign w:val="baseline"/>
            <w:rtl w:val="0"/>
          </w:rPr>
          <w:t xml:space="preserve">Meta-research: Evaluation and improvement of research methods and practices</w:t>
        </w:r>
      </w:hyperlink>
      <w:r w:rsidDel="00000000" w:rsidR="00000000" w:rsidRPr="00000000">
        <w:rPr>
          <w:rFonts w:ascii="Arial" w:cs="Arial" w:eastAsia="Arial" w:hAnsi="Arial"/>
          <w:color w:val="000000"/>
          <w:sz w:val="20"/>
          <w:szCs w:val="20"/>
          <w:vertAlign w:val="baseline"/>
          <w:rtl w:val="0"/>
        </w:rPr>
        <w:t xml:space="preserve">. </w:t>
      </w:r>
      <w:r w:rsidDel="00000000" w:rsidR="00000000" w:rsidRPr="00000000">
        <w:rPr>
          <w:rFonts w:ascii="Arial" w:cs="Arial" w:eastAsia="Arial" w:hAnsi="Arial"/>
          <w:i w:val="1"/>
          <w:iCs w:val="1"/>
          <w:color w:val="000000"/>
          <w:sz w:val="20"/>
          <w:szCs w:val="20"/>
          <w:vertAlign w:val="baseline"/>
          <w:rtl w:val="0"/>
        </w:rPr>
        <w:t xml:space="preserve">PLoS Biology</w:t>
      </w:r>
      <w:r w:rsidDel="00000000" w:rsidR="00000000" w:rsidRPr="00000000">
        <w:rPr>
          <w:rFonts w:ascii="Arial" w:cs="Arial" w:eastAsia="Arial" w:hAnsi="Arial"/>
          <w:color w:val="000000"/>
          <w:sz w:val="20"/>
          <w:szCs w:val="20"/>
          <w:vertAlign w:val="baseline"/>
          <w:rtl w:val="0"/>
        </w:rPr>
        <w:t xml:space="preserve"> </w:t>
      </w:r>
      <w:r w:rsidDel="00000000" w:rsidR="00000000" w:rsidRPr="00000000">
        <w:rPr>
          <w:rFonts w:ascii="Arial" w:cs="Arial" w:eastAsia="Arial" w:hAnsi="Arial"/>
          <w:b w:val="1"/>
          <w:bCs w:val="1"/>
          <w:color w:val="000000"/>
          <w:sz w:val="20"/>
          <w:szCs w:val="20"/>
          <w:vertAlign w:val="baseline"/>
          <w:rtl w:val="0"/>
        </w:rPr>
        <w:t xml:space="preserve">13</w:t>
      </w:r>
      <w:r w:rsidDel="00000000" w:rsidR="00000000" w:rsidRPr="00000000">
        <w:rPr>
          <w:rFonts w:ascii="Arial" w:cs="Arial" w:eastAsia="Arial" w:hAnsi="Arial"/>
          <w:color w:val="000000"/>
          <w:sz w:val="20"/>
          <w:szCs w:val="20"/>
          <w:vertAlign w:val="baseline"/>
          <w:rtl w:val="0"/>
        </w:rPr>
        <w:t xml:space="preserve">, e1002264 (2015).</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00"/>
          <w:sz w:val="20"/>
          <w:szCs w:val="20"/>
          <w:vertAlign w:val="baseline"/>
          <w:rtl w:val="0"/>
        </w:rPr>
        <w:t xml:space="preserve">3. Mongeon, P. &amp; Paul-Hus, A. </w:t>
      </w:r>
      <w:hyperlink r:id="rId12">
        <w:r w:rsidDel="00000000" w:rsidR="00000000" w:rsidRPr="00000000">
          <w:rPr>
            <w:rFonts w:ascii="Arial" w:cs="Arial" w:eastAsia="Arial" w:hAnsi="Arial"/>
            <w:color w:val="38761d"/>
            <w:sz w:val="20"/>
            <w:szCs w:val="20"/>
            <w:u w:val="single"/>
            <w:vertAlign w:val="baseline"/>
            <w:rtl w:val="0"/>
          </w:rPr>
          <w:t xml:space="preserve">The journal coverage of </w:t>
        </w:r>
      </w:hyperlink>
      <w:hyperlink r:id="rId13">
        <w:r w:rsidDel="00000000" w:rsidR="00000000" w:rsidRPr="00000000">
          <w:rPr>
            <w:rFonts w:ascii="Arial" w:cs="Arial" w:eastAsia="Arial" w:hAnsi="Arial"/>
            <w:color w:val="38761d"/>
            <w:sz w:val="20"/>
            <w:szCs w:val="20"/>
            <w:u w:val="single"/>
            <w:rtl w:val="0"/>
          </w:rPr>
          <w:t xml:space="preserve">W</w:t>
        </w:r>
      </w:hyperlink>
      <w:hyperlink r:id="rId14">
        <w:r w:rsidDel="00000000" w:rsidR="00000000" w:rsidRPr="00000000">
          <w:rPr>
            <w:rFonts w:ascii="Arial" w:cs="Arial" w:eastAsia="Arial" w:hAnsi="Arial"/>
            <w:color w:val="38761d"/>
            <w:sz w:val="20"/>
            <w:szCs w:val="20"/>
            <w:u w:val="single"/>
            <w:vertAlign w:val="baseline"/>
            <w:rtl w:val="0"/>
          </w:rPr>
          <w:t xml:space="preserve">eb of</w:t>
        </w:r>
      </w:hyperlink>
      <w:hyperlink r:id="rId15">
        <w:r w:rsidDel="00000000" w:rsidR="00000000" w:rsidRPr="00000000">
          <w:rPr>
            <w:rFonts w:ascii="Arial" w:cs="Arial" w:eastAsia="Arial" w:hAnsi="Arial"/>
            <w:color w:val="38761d"/>
            <w:sz w:val="20"/>
            <w:szCs w:val="20"/>
            <w:u w:val="single"/>
            <w:rtl w:val="0"/>
          </w:rPr>
          <w:t xml:space="preserve"> S</w:t>
        </w:r>
      </w:hyperlink>
      <w:hyperlink r:id="rId16">
        <w:r w:rsidDel="00000000" w:rsidR="00000000" w:rsidRPr="00000000">
          <w:rPr>
            <w:rFonts w:ascii="Arial" w:cs="Arial" w:eastAsia="Arial" w:hAnsi="Arial"/>
            <w:color w:val="38761d"/>
            <w:sz w:val="20"/>
            <w:szCs w:val="20"/>
            <w:u w:val="single"/>
            <w:vertAlign w:val="baseline"/>
            <w:rtl w:val="0"/>
          </w:rPr>
          <w:t xml:space="preserve">cience and </w:t>
        </w:r>
      </w:hyperlink>
      <w:hyperlink r:id="rId17">
        <w:r w:rsidDel="00000000" w:rsidR="00000000" w:rsidRPr="00000000">
          <w:rPr>
            <w:rFonts w:ascii="Arial" w:cs="Arial" w:eastAsia="Arial" w:hAnsi="Arial"/>
            <w:color w:val="38761d"/>
            <w:sz w:val="20"/>
            <w:szCs w:val="20"/>
            <w:u w:val="single"/>
            <w:rtl w:val="0"/>
          </w:rPr>
          <w:t xml:space="preserve">S</w:t>
        </w:r>
      </w:hyperlink>
      <w:hyperlink r:id="rId18">
        <w:r w:rsidDel="00000000" w:rsidR="00000000" w:rsidRPr="00000000">
          <w:rPr>
            <w:rFonts w:ascii="Arial" w:cs="Arial" w:eastAsia="Arial" w:hAnsi="Arial"/>
            <w:color w:val="38761d"/>
            <w:sz w:val="20"/>
            <w:szCs w:val="20"/>
            <w:u w:val="single"/>
            <w:vertAlign w:val="baseline"/>
            <w:rtl w:val="0"/>
          </w:rPr>
          <w:t xml:space="preserve">copus: A comparative analysis</w:t>
        </w:r>
      </w:hyperlink>
      <w:r w:rsidDel="00000000" w:rsidR="00000000" w:rsidRPr="00000000">
        <w:rPr>
          <w:rFonts w:ascii="Arial" w:cs="Arial" w:eastAsia="Arial" w:hAnsi="Arial"/>
          <w:color w:val="000000"/>
          <w:sz w:val="20"/>
          <w:szCs w:val="20"/>
          <w:vertAlign w:val="baseline"/>
          <w:rtl w:val="0"/>
        </w:rPr>
        <w:t xml:space="preserve">. </w:t>
      </w:r>
      <w:r w:rsidDel="00000000" w:rsidR="00000000" w:rsidRPr="00000000">
        <w:rPr>
          <w:rFonts w:ascii="Arial" w:cs="Arial" w:eastAsia="Arial" w:hAnsi="Arial"/>
          <w:i w:val="1"/>
          <w:iCs w:val="1"/>
          <w:color w:val="000000"/>
          <w:sz w:val="20"/>
          <w:szCs w:val="20"/>
          <w:vertAlign w:val="baseline"/>
          <w:rtl w:val="0"/>
        </w:rPr>
        <w:t xml:space="preserve">Scientometrics</w:t>
      </w:r>
      <w:r w:rsidDel="00000000" w:rsidR="00000000" w:rsidRPr="00000000">
        <w:rPr>
          <w:rFonts w:ascii="Arial" w:cs="Arial" w:eastAsia="Arial" w:hAnsi="Arial"/>
          <w:color w:val="000000"/>
          <w:sz w:val="20"/>
          <w:szCs w:val="20"/>
          <w:vertAlign w:val="baseline"/>
          <w:rtl w:val="0"/>
        </w:rPr>
        <w:t xml:space="preserve"> </w:t>
      </w:r>
      <w:r w:rsidDel="00000000" w:rsidR="00000000" w:rsidRPr="00000000">
        <w:rPr>
          <w:rFonts w:ascii="Arial" w:cs="Arial" w:eastAsia="Arial" w:hAnsi="Arial"/>
          <w:b w:val="1"/>
          <w:bCs w:val="1"/>
          <w:color w:val="000000"/>
          <w:sz w:val="20"/>
          <w:szCs w:val="20"/>
          <w:vertAlign w:val="baseline"/>
          <w:rtl w:val="0"/>
        </w:rPr>
        <w:t xml:space="preserve">106</w:t>
      </w:r>
      <w:r w:rsidDel="00000000" w:rsidR="00000000" w:rsidRPr="00000000">
        <w:rPr>
          <w:rFonts w:ascii="Arial" w:cs="Arial" w:eastAsia="Arial" w:hAnsi="Arial"/>
          <w:color w:val="000000"/>
          <w:sz w:val="20"/>
          <w:szCs w:val="20"/>
          <w:vertAlign w:val="baseline"/>
          <w:rtl w:val="0"/>
        </w:rPr>
        <w:t xml:space="preserve">, 213–228 (2016).</w:t>
      </w:r>
      <w:r w:rsidDel="00000000" w:rsidR="00000000" w:rsidRPr="00000000">
        <w:rPr>
          <w:rFonts w:ascii="Arial" w:cs="Arial" w:eastAsia="Arial" w:hAnsi="Arial"/>
          <w:sz w:val="20"/>
          <w:szCs w:val="20"/>
          <w:rtl w:val="0"/>
        </w:rPr>
        <w:t xml:space="preserve"> 4</w:t>
      </w:r>
      <w:r w:rsidDel="00000000" w:rsidR="00000000" w:rsidRPr="00000000">
        <w:rPr>
          <w:rFonts w:ascii="Arial" w:cs="Arial" w:eastAsia="Arial" w:hAnsi="Arial"/>
          <w:color w:val="000000"/>
          <w:sz w:val="20"/>
          <w:szCs w:val="20"/>
          <w:vertAlign w:val="baseline"/>
          <w:rtl w:val="0"/>
        </w:rPr>
        <w:t xml:space="preserve">. Wilkinson, M. D.</w:t>
      </w:r>
      <w:r w:rsidDel="00000000" w:rsidR="00000000" w:rsidRPr="00000000">
        <w:rPr>
          <w:rFonts w:ascii="Arial" w:cs="Arial" w:eastAsia="Arial" w:hAnsi="Arial"/>
          <w:sz w:val="20"/>
          <w:szCs w:val="20"/>
          <w:rtl w:val="0"/>
        </w:rPr>
        <w:t xml:space="preserve"> et al.</w:t>
      </w:r>
      <w:r w:rsidDel="00000000" w:rsidR="00000000" w:rsidRPr="00000000">
        <w:rPr>
          <w:rFonts w:ascii="Arial" w:cs="Arial" w:eastAsia="Arial" w:hAnsi="Arial"/>
          <w:color w:val="000000"/>
          <w:sz w:val="20"/>
          <w:szCs w:val="20"/>
          <w:vertAlign w:val="baseline"/>
          <w:rtl w:val="0"/>
        </w:rPr>
        <w:t xml:space="preserve"> </w:t>
      </w:r>
      <w:hyperlink r:id="rId19">
        <w:r w:rsidDel="00000000" w:rsidR="00000000" w:rsidRPr="00000000">
          <w:rPr>
            <w:rFonts w:ascii="Arial" w:cs="Arial" w:eastAsia="Arial" w:hAnsi="Arial"/>
            <w:color w:val="38761d"/>
            <w:sz w:val="20"/>
            <w:szCs w:val="20"/>
            <w:u w:val="single"/>
            <w:vertAlign w:val="baseline"/>
            <w:rtl w:val="0"/>
          </w:rPr>
          <w:t xml:space="preserve">The FAIR guiding principles for scientific data management and stewardship</w:t>
        </w:r>
      </w:hyperlink>
      <w:r w:rsidDel="00000000" w:rsidR="00000000" w:rsidRPr="00000000">
        <w:rPr>
          <w:rFonts w:ascii="Arial" w:cs="Arial" w:eastAsia="Arial" w:hAnsi="Arial"/>
          <w:color w:val="000000"/>
          <w:sz w:val="20"/>
          <w:szCs w:val="20"/>
          <w:vertAlign w:val="baseline"/>
          <w:rtl w:val="0"/>
        </w:rPr>
        <w:t xml:space="preserve">. </w:t>
      </w:r>
      <w:r w:rsidDel="00000000" w:rsidR="00000000" w:rsidRPr="00000000">
        <w:rPr>
          <w:rFonts w:ascii="Arial" w:cs="Arial" w:eastAsia="Arial" w:hAnsi="Arial"/>
          <w:i w:val="1"/>
          <w:iCs w:val="1"/>
          <w:color w:val="000000"/>
          <w:sz w:val="20"/>
          <w:szCs w:val="20"/>
          <w:vertAlign w:val="baseline"/>
          <w:rtl w:val="0"/>
        </w:rPr>
        <w:t xml:space="preserve">Scientific Data</w:t>
      </w:r>
      <w:r w:rsidDel="00000000" w:rsidR="00000000" w:rsidRPr="00000000">
        <w:rPr>
          <w:rFonts w:ascii="Arial" w:cs="Arial" w:eastAsia="Arial" w:hAnsi="Arial"/>
          <w:color w:val="000000"/>
          <w:sz w:val="20"/>
          <w:szCs w:val="20"/>
          <w:vertAlign w:val="baseline"/>
          <w:rtl w:val="0"/>
        </w:rPr>
        <w:t xml:space="preserve"> </w:t>
      </w:r>
      <w:r w:rsidDel="00000000" w:rsidR="00000000" w:rsidRPr="00000000">
        <w:rPr>
          <w:rFonts w:ascii="Arial" w:cs="Arial" w:eastAsia="Arial" w:hAnsi="Arial"/>
          <w:b w:val="1"/>
          <w:bCs w:val="1"/>
          <w:color w:val="000000"/>
          <w:sz w:val="20"/>
          <w:szCs w:val="20"/>
          <w:vertAlign w:val="baseline"/>
          <w:rtl w:val="0"/>
        </w:rPr>
        <w:t xml:space="preserve">3</w:t>
      </w:r>
      <w:r w:rsidDel="00000000" w:rsidR="00000000" w:rsidRPr="00000000">
        <w:rPr>
          <w:rFonts w:ascii="Arial" w:cs="Arial" w:eastAsia="Arial" w:hAnsi="Arial"/>
          <w:color w:val="000000"/>
          <w:sz w:val="20"/>
          <w:szCs w:val="20"/>
          <w:vertAlign w:val="baseline"/>
          <w:rtl w:val="0"/>
        </w:rPr>
        <w:t xml:space="preserve">, 160018 (2016). </w:t>
      </w:r>
      <w:r w:rsidDel="00000000" w:rsidR="00000000" w:rsidRPr="00000000">
        <w:rPr>
          <w:rFonts w:ascii="Arial" w:cs="Arial" w:eastAsia="Arial" w:hAnsi="Arial"/>
          <w:sz w:val="20"/>
          <w:szCs w:val="20"/>
          <w:rtl w:val="0"/>
        </w:rPr>
        <w:t xml:space="preserve">5</w:t>
      </w:r>
      <w:r w:rsidDel="00000000" w:rsidR="00000000" w:rsidRPr="00000000">
        <w:rPr>
          <w:rFonts w:ascii="Arial" w:cs="Arial" w:eastAsia="Arial" w:hAnsi="Arial"/>
          <w:color w:val="000000"/>
          <w:sz w:val="20"/>
          <w:szCs w:val="20"/>
          <w:vertAlign w:val="baseline"/>
          <w:rtl w:val="0"/>
        </w:rPr>
        <w:t xml:space="preserve">. First Nations Information Governance Centre (FNIGC). The first nations principles of OCAP®.</w:t>
      </w:r>
      <w:r w:rsidDel="00000000" w:rsidR="00000000" w:rsidRPr="00000000">
        <w:rPr>
          <w:rFonts w:ascii="Arial" w:cs="Arial" w:eastAsia="Arial" w:hAnsi="Arial"/>
          <w:sz w:val="20"/>
          <w:szCs w:val="20"/>
          <w:rtl w:val="0"/>
        </w:rPr>
        <w:t xml:space="preserve"> 6</w:t>
      </w:r>
      <w:r w:rsidDel="00000000" w:rsidR="00000000" w:rsidRPr="00000000">
        <w:rPr>
          <w:rFonts w:ascii="Arial" w:cs="Arial" w:eastAsia="Arial" w:hAnsi="Arial"/>
          <w:color w:val="000000"/>
          <w:sz w:val="20"/>
          <w:szCs w:val="20"/>
          <w:vertAlign w:val="baseline"/>
          <w:rtl w:val="0"/>
        </w:rPr>
        <w:t xml:space="preserve">. Carroll, S. R.</w:t>
      </w:r>
      <w:r w:rsidDel="00000000" w:rsidR="00000000" w:rsidRPr="00000000">
        <w:rPr>
          <w:rFonts w:ascii="Arial" w:cs="Arial" w:eastAsia="Arial" w:hAnsi="Arial"/>
          <w:sz w:val="20"/>
          <w:szCs w:val="20"/>
          <w:rtl w:val="0"/>
        </w:rPr>
        <w:t xml:space="preserve"> et al</w:t>
      </w:r>
      <w:r w:rsidDel="00000000" w:rsidR="00000000" w:rsidRPr="00000000">
        <w:rPr>
          <w:rFonts w:ascii="Arial" w:cs="Arial" w:eastAsia="Arial" w:hAnsi="Arial"/>
          <w:i w:val="1"/>
          <w:iCs w:val="1"/>
          <w:color w:val="000000"/>
          <w:sz w:val="20"/>
          <w:szCs w:val="20"/>
          <w:vertAlign w:val="baseline"/>
          <w:rtl w:val="0"/>
        </w:rPr>
        <w:t xml:space="preserve">.</w:t>
      </w:r>
      <w:r w:rsidDel="00000000" w:rsidR="00000000" w:rsidRPr="00000000">
        <w:rPr>
          <w:rFonts w:ascii="Arial" w:cs="Arial" w:eastAsia="Arial" w:hAnsi="Arial"/>
          <w:color w:val="000000"/>
          <w:sz w:val="20"/>
          <w:szCs w:val="20"/>
          <w:vertAlign w:val="baseline"/>
          <w:rtl w:val="0"/>
        </w:rPr>
        <w:t xml:space="preserve"> </w:t>
      </w:r>
      <w:hyperlink r:id="rId20">
        <w:r w:rsidDel="00000000" w:rsidR="00000000" w:rsidRPr="00000000">
          <w:rPr>
            <w:rFonts w:ascii="Arial" w:cs="Arial" w:eastAsia="Arial" w:hAnsi="Arial"/>
            <w:color w:val="38761d"/>
            <w:sz w:val="20"/>
            <w:szCs w:val="20"/>
            <w:u w:val="single"/>
            <w:vertAlign w:val="baseline"/>
            <w:rtl w:val="0"/>
          </w:rPr>
          <w:t xml:space="preserve">The CARE principles for indigenous data governance</w:t>
        </w:r>
      </w:hyperlink>
      <w:r w:rsidDel="00000000" w:rsidR="00000000" w:rsidRPr="00000000">
        <w:rPr>
          <w:rFonts w:ascii="Arial" w:cs="Arial" w:eastAsia="Arial" w:hAnsi="Arial"/>
          <w:color w:val="000000"/>
          <w:sz w:val="20"/>
          <w:szCs w:val="20"/>
          <w:vertAlign w:val="baseline"/>
          <w:rtl w:val="0"/>
        </w:rPr>
        <w:t xml:space="preserve">. </w:t>
      </w:r>
      <w:r w:rsidDel="00000000" w:rsidR="00000000" w:rsidRPr="00000000">
        <w:rPr>
          <w:rFonts w:ascii="Arial" w:cs="Arial" w:eastAsia="Arial" w:hAnsi="Arial"/>
          <w:i w:val="1"/>
          <w:iCs w:val="1"/>
          <w:color w:val="000000"/>
          <w:sz w:val="20"/>
          <w:szCs w:val="20"/>
          <w:vertAlign w:val="baseline"/>
          <w:rtl w:val="0"/>
        </w:rPr>
        <w:t xml:space="preserve">Data Science Journal</w:t>
      </w:r>
      <w:r w:rsidDel="00000000" w:rsidR="00000000" w:rsidRPr="00000000">
        <w:rPr>
          <w:rFonts w:ascii="Arial" w:cs="Arial" w:eastAsia="Arial" w:hAnsi="Arial"/>
          <w:color w:val="000000"/>
          <w:sz w:val="20"/>
          <w:szCs w:val="20"/>
          <w:vertAlign w:val="baseline"/>
          <w:rtl w:val="0"/>
        </w:rPr>
        <w:t xml:space="preserve"> </w:t>
      </w:r>
      <w:r w:rsidDel="00000000" w:rsidR="00000000" w:rsidRPr="00000000">
        <w:rPr>
          <w:rFonts w:ascii="Arial" w:cs="Arial" w:eastAsia="Arial" w:hAnsi="Arial"/>
          <w:b w:val="1"/>
          <w:bCs w:val="1"/>
          <w:color w:val="000000"/>
          <w:sz w:val="20"/>
          <w:szCs w:val="20"/>
          <w:vertAlign w:val="baseline"/>
          <w:rtl w:val="0"/>
        </w:rPr>
        <w:t xml:space="preserve">19</w:t>
      </w:r>
      <w:r w:rsidDel="00000000" w:rsidR="00000000" w:rsidRPr="00000000">
        <w:rPr>
          <w:rFonts w:ascii="Arial" w:cs="Arial" w:eastAsia="Arial" w:hAnsi="Arial"/>
          <w:color w:val="000000"/>
          <w:sz w:val="20"/>
          <w:szCs w:val="20"/>
          <w:vertAlign w:val="baseline"/>
          <w:rtl w:val="0"/>
        </w:rPr>
        <w:t xml:space="preserve">, 43 (2020).</w:t>
      </w:r>
      <w:r w:rsidDel="00000000" w:rsidR="00000000" w:rsidRPr="00000000">
        <w:rPr>
          <w:rFonts w:ascii="Arial" w:cs="Arial" w:eastAsia="Arial" w:hAnsi="Arial"/>
          <w:sz w:val="20"/>
          <w:szCs w:val="20"/>
          <w:rtl w:val="0"/>
        </w:rPr>
        <w:t xml:space="preserve"> 7</w:t>
      </w:r>
      <w:r w:rsidDel="00000000" w:rsidR="00000000" w:rsidRPr="00000000">
        <w:rPr>
          <w:rFonts w:ascii="Arial" w:cs="Arial" w:eastAsia="Arial" w:hAnsi="Arial"/>
          <w:color w:val="000000"/>
          <w:sz w:val="20"/>
          <w:szCs w:val="20"/>
          <w:vertAlign w:val="baseline"/>
          <w:rtl w:val="0"/>
        </w:rPr>
        <w:t xml:space="preserve">. CIHR, NSERC, SSHRC. Tri-council policy statement: Ethical conduct for research involving humans (TCPS 2), chapter 9. (2022).</w:t>
      </w:r>
    </w:p>
    <w:sectPr>
      <w:pgSz w:h="16838" w:w="11906" w:orient="portrait"/>
      <w:pgMar w:bottom="1080" w:top="1080" w:left="108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5334/dsj-2020-043" TargetMode="External"/><Relationship Id="rId11" Type="http://schemas.openxmlformats.org/officeDocument/2006/relationships/hyperlink" Target="https://doi.org/10.1371/journal.pbio.1002264" TargetMode="External"/><Relationship Id="rId10" Type="http://schemas.openxmlformats.org/officeDocument/2006/relationships/hyperlink" Target="http://arxiv.org/abs/2205.01833" TargetMode="External"/><Relationship Id="rId13" Type="http://schemas.openxmlformats.org/officeDocument/2006/relationships/hyperlink" Target="https://doi.org/10.1007/s11192-015-1765-5" TargetMode="External"/><Relationship Id="rId12" Type="http://schemas.openxmlformats.org/officeDocument/2006/relationships/hyperlink" Target="https://doi.org/10.1007/s11192-015-1765-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santos2ua.github.io/metaResearchDataChallenge/" TargetMode="External"/><Relationship Id="rId15" Type="http://schemas.openxmlformats.org/officeDocument/2006/relationships/hyperlink" Target="https://doi.org/10.1007/s11192-015-1765-5" TargetMode="External"/><Relationship Id="rId14" Type="http://schemas.openxmlformats.org/officeDocument/2006/relationships/hyperlink" Target="https://doi.org/10.1007/s11192-015-1765-5" TargetMode="External"/><Relationship Id="rId17" Type="http://schemas.openxmlformats.org/officeDocument/2006/relationships/hyperlink" Target="https://doi.org/10.1007/s11192-015-1765-5" TargetMode="External"/><Relationship Id="rId16" Type="http://schemas.openxmlformats.org/officeDocument/2006/relationships/hyperlink" Target="https://doi.org/10.1007/s11192-015-1765-5" TargetMode="External"/><Relationship Id="rId5" Type="http://schemas.openxmlformats.org/officeDocument/2006/relationships/styles" Target="styles.xml"/><Relationship Id="rId19" Type="http://schemas.openxmlformats.org/officeDocument/2006/relationships/hyperlink" Target="https://doi.org/10.1038/sdata.2016.18" TargetMode="External"/><Relationship Id="rId6" Type="http://schemas.openxmlformats.org/officeDocument/2006/relationships/hyperlink" Target="https://esantos2ua.github.io/metaResearchDataChallenge/" TargetMode="External"/><Relationship Id="rId18" Type="http://schemas.openxmlformats.org/officeDocument/2006/relationships/hyperlink" Target="https://doi.org/10.1007/s11192-015-1765-5"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../references/references.bib</vt:lpwstr>
  </property>
  <property fmtid="{D5CDD505-2E9C-101B-9397-08002B2CF9AE}" pid="4" name="csl">
    <vt:lpwstr>../references/nature.csl</vt:lpwstr>
  </property>
  <property fmtid="{D5CDD505-2E9C-101B-9397-08002B2CF9AE}" pid="5" name="engines">
    <vt:lpwstr>engines</vt:lpwstr>
  </property>
  <property fmtid="{D5CDD505-2E9C-101B-9397-08002B2CF9AE}" pid="6" name="header-includes">
    <vt:lpwstr>header-includes</vt:lpwstr>
  </property>
  <property fmtid="{D5CDD505-2E9C-101B-9397-08002B2CF9AE}" pid="7" name="include-after">
    <vt:lpwstr>include-after</vt:lpwstr>
  </property>
  <property fmtid="{D5CDD505-2E9C-101B-9397-08002B2CF9AE}" pid="8" name="include-before">
    <vt:lpwstr>include-before</vt:lpwstr>
  </property>
  <property fmtid="{D5CDD505-2E9C-101B-9397-08002B2CF9AE}" pid="9" name="labels">
    <vt:lpwstr>labels</vt:lpwstr>
  </property>
  <property fmtid="{D5CDD505-2E9C-101B-9397-08002B2CF9AE}" pid="10" name="toc-title">
    <vt:lpwstr>Table of contents</vt:lpwstr>
  </property>
</Properties>
</file>