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  <w:jc w:val="center"/>
      </w:pPr>
      <w:r>
        <w:rPr>
          <w:b/>
          <w:color w:val="ED553B"/>
          <w:sz w:val="20"/>
        </w:rPr>
        <w:t>PROJECT DEMO RUN OF SHOW</w:t>
      </w:r>
    </w:p>
    <w:p>
      <w:pPr>
        <w:spacing w:after="80"/>
        <w:jc w:val="center"/>
      </w:pPr>
      <w:r>
        <w:rPr>
          <w:b/>
          <w:color w:val="173F5F"/>
          <w:sz w:val="50"/>
        </w:rPr>
        <w:t>ESASR 项目演示视频录制脚本</w:t>
      </w:r>
    </w:p>
    <w:p>
      <w:pPr>
        <w:spacing w:after="280"/>
        <w:jc w:val="center"/>
      </w:pPr>
      <w:r>
        <w:rPr>
          <w:b/>
          <w:color w:val="20639B"/>
          <w:sz w:val="25"/>
        </w:rPr>
        <w:t>证据状态驱动的自适应学术检索框架  |  建议成片 7 分钟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16"/>
        <w:gridCol w:w="2416"/>
        <w:gridCol w:w="2416"/>
        <w:gridCol w:w="2416"/>
      </w:tblGrid>
      <w:tr>
        <w:tc>
          <w:tcPr>
            <w:tcW w:type="dxa" w:w="2300"/>
            <w:shd w:fill="EAF2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173F5F"/>
                <w:sz w:val="21"/>
              </w:rPr>
              <w:t>0:00</w:t>
              <w:br/>
              <w:t>问题与主线</w:t>
            </w:r>
          </w:p>
        </w:tc>
        <w:tc>
          <w:tcPr>
            <w:tcW w:type="dxa" w:w="2300"/>
            <w:shd w:fill="F4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173F5F"/>
                <w:sz w:val="21"/>
              </w:rPr>
              <w:t>1:25</w:t>
              <w:br/>
              <w:t>四项创新</w:t>
            </w:r>
          </w:p>
        </w:tc>
        <w:tc>
          <w:tcPr>
            <w:tcW w:type="dxa" w:w="2300"/>
            <w:shd w:fill="EAF2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173F5F"/>
                <w:sz w:val="21"/>
              </w:rPr>
              <w:t>3:00</w:t>
              <w:br/>
              <w:t>系统实机</w:t>
            </w:r>
          </w:p>
        </w:tc>
        <w:tc>
          <w:tcPr>
            <w:tcW w:type="dxa" w:w="2300"/>
            <w:shd w:fill="F4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173F5F"/>
                <w:sz w:val="21"/>
              </w:rPr>
              <w:t>5:10</w:t>
              <w:br/>
              <w:t>实验与收束</w:t>
            </w:r>
          </w:p>
        </w:tc>
      </w:tr>
    </w:tbl>
    <w:p>
      <w:pPr>
        <w:spacing w:after="120" w:line="300" w:lineRule="auto"/>
      </w:pPr>
      <w:r>
        <w:rPr>
          <w:b w:val="0"/>
          <w:color w:val="152333"/>
          <w:sz w:val="22"/>
        </w:rPr>
        <w:t>核心原则：PPT 负责建立认知，实机录屏负责证明系统可运行，实验页负责证明创新不是功能堆叠。录制时不要从安装过程开始，也不要长时间展示代码。</w:t>
      </w:r>
    </w:p>
    <w:p>
      <w:pPr>
        <w:pStyle w:val="Heading2"/>
        <w:keepNext/>
      </w:pPr>
      <w:r>
        <w:rPr>
          <w:b/>
          <w:color w:val="20639B"/>
          <w:sz w:val="26"/>
        </w:rPr>
        <w:t>正式演示查询</w:t>
      </w:r>
    </w:p>
    <w:p>
      <w:pPr>
        <w:spacing w:after="120" w:line="300" w:lineRule="auto"/>
      </w:pPr>
      <w:r>
        <w:rPr>
          <w:b/>
          <w:color w:val="173F5F"/>
          <w:sz w:val="22"/>
        </w:rPr>
        <w:t>正式查询：</w:t>
      </w:r>
      <w:r>
        <w:rPr>
          <w:b w:val="0"/>
          <w:color w:val="152333"/>
          <w:sz w:val="22"/>
        </w:rPr>
        <w:t>寻找 2020 年以来使用 Transformer 提升弱纹理或大视角变化场景下图像匹配性能的论文，要求发表于 CVPR、ICCV 或 ECCV 且可开放获取，优先包含 ScanNet 或 MegaDepth 实验，排除纯光流方法和综述文章。</w:t>
      </w:r>
    </w:p>
    <w:p>
      <w:pPr>
        <w:spacing w:after="120" w:line="300" w:lineRule="auto"/>
      </w:pPr>
      <w:r>
        <w:rPr>
          <w:b/>
          <w:color w:val="173F5F"/>
          <w:sz w:val="22"/>
        </w:rPr>
        <w:t>备用查询：</w:t>
      </w:r>
      <w:r>
        <w:rPr>
          <w:b w:val="0"/>
          <w:color w:val="152333"/>
          <w:sz w:val="22"/>
        </w:rPr>
        <w:t>寻找 2020 年以来使用 Transformer 进行图像匹配、发表于 CVPR、ICCV 或 ECCV 且开放获取的论文，排除纯光流方法。</w:t>
      </w:r>
    </w:p>
    <w:p>
      <w:pPr>
        <w:spacing w:after="120" w:line="300" w:lineRule="auto"/>
      </w:pPr>
      <w:r>
        <w:rPr>
          <w:b/>
          <w:color w:val="173F5F"/>
          <w:sz w:val="22"/>
        </w:rPr>
        <w:t>切换规则：</w:t>
      </w:r>
      <w:r>
        <w:rPr>
          <w:b w:val="0"/>
          <w:color w:val="152333"/>
          <w:sz w:val="22"/>
        </w:rPr>
        <w:t>预演时若正式查询返回少于 3 篇、检索明显超时，或外部数据源连续限流，则改用备用查询；正式视频中只保留最终采用的一条查询。</w:t>
      </w:r>
    </w:p>
    <w:p>
      <w:pPr>
        <w:pStyle w:val="Heading1"/>
        <w:keepNext/>
      </w:pPr>
      <w:r>
        <w:rPr>
          <w:b/>
          <w:color w:val="173F5F"/>
          <w:sz w:val="32"/>
        </w:rPr>
        <w:t>1. 成片结构与录制顺序</w:t>
      </w:r>
    </w:p>
    <w:p>
      <w:pPr>
        <w:pStyle w:val="ListBullet"/>
        <w:spacing w:after="80" w:line="288" w:lineRule="auto"/>
        <w:ind w:left="605" w:hanging="259"/>
      </w:pPr>
      <w:r>
        <w:rPr>
          <w:b w:val="0"/>
          <w:color w:val="152333"/>
          <w:sz w:val="22"/>
        </w:rPr>
        <w:t>PPT 开场：问题定义 → ESASR 总体主线 → 四项创新。</w:t>
      </w:r>
    </w:p>
    <w:p>
      <w:pPr>
        <w:pStyle w:val="ListBullet"/>
        <w:spacing w:after="80" w:line="288" w:lineRule="auto"/>
        <w:ind w:left="605" w:hanging="259"/>
      </w:pPr>
      <w:r>
        <w:rPr>
          <w:b w:val="0"/>
          <w:color w:val="152333"/>
          <w:sz w:val="22"/>
        </w:rPr>
        <w:t>切换浏览器：用一条复杂查询完整展示计划、检索、证据状态、结果与论文详情。</w:t>
      </w:r>
    </w:p>
    <w:p>
      <w:pPr>
        <w:pStyle w:val="ListBullet"/>
        <w:spacing w:after="80" w:line="288" w:lineRule="auto"/>
        <w:ind w:left="605" w:hanging="259"/>
      </w:pPr>
      <w:r>
        <w:rPr>
          <w:b w:val="0"/>
          <w:color w:val="152333"/>
          <w:sz w:val="22"/>
        </w:rPr>
        <w:t>回到 PPT：说明实验协议、消融结果、工程完整性和证据边界。</w:t>
      </w:r>
    </w:p>
    <w:p>
      <w:pPr>
        <w:pStyle w:val="ListBullet"/>
        <w:spacing w:after="80" w:line="288" w:lineRule="auto"/>
        <w:ind w:left="605" w:hanging="259"/>
      </w:pPr>
      <w:r>
        <w:rPr>
          <w:b w:val="0"/>
          <w:color w:val="152333"/>
          <w:sz w:val="22"/>
        </w:rPr>
        <w:t>结尾：用三句话总结竞争力，并提出高效稳定学术 API 与真实查询集需求。</w:t>
      </w:r>
    </w:p>
    <w:p>
      <w:pPr>
        <w:pStyle w:val="Heading1"/>
        <w:keepNext/>
      </w:pPr>
      <w:r>
        <w:rPr>
          <w:b/>
          <w:color w:val="173F5F"/>
          <w:sz w:val="32"/>
        </w:rPr>
        <w:t>2. 逐秒录制脚本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16"/>
        <w:gridCol w:w="2416"/>
        <w:gridCol w:w="2416"/>
        <w:gridCol w:w="2416"/>
      </w:tblGrid>
      <w:tr>
        <w:tc>
          <w:tcPr>
            <w:tcW w:type="dxa" w:w="1150"/>
            <w:shd w:fill="173F5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FFFFFF"/>
                <w:sz w:val="20"/>
              </w:rPr>
              <w:t>时间</w:t>
            </w:r>
          </w:p>
        </w:tc>
        <w:tc>
          <w:tcPr>
            <w:tcW w:type="dxa" w:w="1700"/>
            <w:shd w:fill="173F5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FFFFFF"/>
                <w:sz w:val="20"/>
              </w:rPr>
              <w:t>画面</w:t>
            </w:r>
          </w:p>
        </w:tc>
        <w:tc>
          <w:tcPr>
            <w:tcW w:type="dxa" w:w="3100"/>
            <w:shd w:fill="173F5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FFFFFF"/>
                <w:sz w:val="20"/>
              </w:rPr>
              <w:t>录制操作</w:t>
            </w:r>
          </w:p>
        </w:tc>
        <w:tc>
          <w:tcPr>
            <w:tcW w:type="dxa" w:w="3350"/>
            <w:shd w:fill="173F5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FFFFFF"/>
                <w:sz w:val="20"/>
              </w:rPr>
              <w:t>建议旁白</w:t>
            </w:r>
          </w:p>
        </w:tc>
      </w:tr>
      <w:tr>
        <w:tc>
          <w:tcPr>
            <w:tcW w:type="dxa" w:w="115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173F5F"/>
                <w:sz w:val="19"/>
              </w:rPr>
              <w:t>0:00–0:20</w:t>
            </w:r>
          </w:p>
        </w:tc>
        <w:tc>
          <w:tcPr>
            <w:tcW w:type="dxa" w:w="17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b w:val="0"/>
                <w:color w:val="152333"/>
                <w:sz w:val="19"/>
              </w:rPr>
              <w:t>PPT 第1页</w:t>
              <w:br/>
              <w:t>项目封面</w:t>
            </w:r>
          </w:p>
        </w:tc>
        <w:tc>
          <w:tcPr>
            <w:tcW w:type="dxa" w:w="31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b w:val="0"/>
                <w:color w:val="152333"/>
                <w:sz w:val="18"/>
              </w:rPr>
              <w:t>画面停留 2 秒后开始讲话；不要移动鼠标。</w:t>
            </w:r>
          </w:p>
        </w:tc>
        <w:tc>
          <w:tcPr>
            <w:tcW w:type="dxa" w:w="335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b w:val="0"/>
                <w:color w:val="152333"/>
                <w:sz w:val="18"/>
              </w:rPr>
              <w:t>各位评委老师好，我们是 Justifying 团队。今天展示的项目是 ESASR，一套面向复杂科研问题、以证据状态驱动检索决策的自适应学术检索框架。</w:t>
            </w:r>
          </w:p>
        </w:tc>
      </w:tr>
      <w:tr>
        <w:tc>
          <w:tcPr>
            <w:tcW w:type="dxa" w:w="1150"/>
            <w:shd w:fill="F4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173F5F"/>
                <w:sz w:val="19"/>
              </w:rPr>
              <w:t>0:20–0:55</w:t>
            </w:r>
          </w:p>
        </w:tc>
        <w:tc>
          <w:tcPr>
            <w:tcW w:type="dxa" w:w="1700"/>
            <w:shd w:fill="F4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b w:val="0"/>
                <w:color w:val="152333"/>
                <w:sz w:val="19"/>
              </w:rPr>
              <w:t>PPT 第2页</w:t>
              <w:br/>
              <w:t>问题定义</w:t>
            </w:r>
          </w:p>
        </w:tc>
        <w:tc>
          <w:tcPr>
            <w:tcW w:type="dxa" w:w="3100"/>
            <w:shd w:fill="F4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b w:val="0"/>
                <w:color w:val="152333"/>
                <w:sz w:val="18"/>
              </w:rPr>
              <w:t>按顺序指向查询中的时间、方法、场景、Venue、数据集偏好、开放获取和排除项。</w:t>
            </w:r>
          </w:p>
        </w:tc>
        <w:tc>
          <w:tcPr>
            <w:tcW w:type="dxa" w:w="3350"/>
            <w:shd w:fill="F4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b w:val="0"/>
                <w:color w:val="152333"/>
                <w:sz w:val="18"/>
              </w:rPr>
              <w:t>复杂科研检索并不是输入一个关键词。这条查询同时包含主题、方法、场景、时间、会议、开放获取、数据集偏好和排除条件。传统检索需要反复试词，通用大模型又容易遗漏约束并缺乏来源核验。我们因此把任务定义为预算约束下的证据集合构建。</w:t>
            </w:r>
          </w:p>
        </w:tc>
      </w:tr>
      <w:tr>
        <w:tc>
          <w:tcPr>
            <w:tcW w:type="dxa" w:w="115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173F5F"/>
                <w:sz w:val="19"/>
              </w:rPr>
              <w:t>0:55–1:25</w:t>
            </w:r>
          </w:p>
        </w:tc>
        <w:tc>
          <w:tcPr>
            <w:tcW w:type="dxa" w:w="17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b w:val="0"/>
                <w:color w:val="152333"/>
                <w:sz w:val="19"/>
              </w:rPr>
              <w:t>PPT 第3页</w:t>
              <w:br/>
              <w:t>总体框架</w:t>
            </w:r>
          </w:p>
        </w:tc>
        <w:tc>
          <w:tcPr>
            <w:tcW w:type="dxa" w:w="31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b w:val="0"/>
                <w:color w:val="152333"/>
                <w:sz w:val="18"/>
              </w:rPr>
              <w:t>从左到右讲完整链路，最后落到证据状态控制器。</w:t>
            </w:r>
          </w:p>
        </w:tc>
        <w:tc>
          <w:tcPr>
            <w:tcW w:type="dxa" w:w="335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b w:val="0"/>
                <w:color w:val="152333"/>
                <w:sz w:val="18"/>
              </w:rPr>
              <w:t>ESASR 先编译约束，再执行多源召回；系统根据覆盖率、证据缺口、候选排名和剩余预算判断是否补检。候选完成融合和局部精排后，再自适应决定返回一篇还是两篇。</w:t>
            </w:r>
          </w:p>
        </w:tc>
      </w:tr>
      <w:tr>
        <w:tc>
          <w:tcPr>
            <w:tcW w:type="dxa" w:w="1150"/>
            <w:shd w:fill="F4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173F5F"/>
                <w:sz w:val="19"/>
              </w:rPr>
              <w:t>1:25–2:10</w:t>
            </w:r>
          </w:p>
        </w:tc>
        <w:tc>
          <w:tcPr>
            <w:tcW w:type="dxa" w:w="1700"/>
            <w:shd w:fill="F4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b w:val="0"/>
                <w:color w:val="152333"/>
                <w:sz w:val="19"/>
              </w:rPr>
              <w:t>PPT 第4页</w:t>
              <w:br/>
              <w:t>创新1–2</w:t>
            </w:r>
          </w:p>
        </w:tc>
        <w:tc>
          <w:tcPr>
            <w:tcW w:type="dxa" w:w="3100"/>
            <w:shd w:fill="F4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b w:val="0"/>
                <w:color w:val="152333"/>
                <w:sz w:val="18"/>
              </w:rPr>
              <w:t>先左后右，每个创新只讲‘解决什么问题、如何做’。</w:t>
            </w:r>
          </w:p>
        </w:tc>
        <w:tc>
          <w:tcPr>
            <w:tcW w:type="dxa" w:w="3350"/>
            <w:shd w:fill="F4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b w:val="0"/>
                <w:color w:val="152333"/>
                <w:sz w:val="18"/>
              </w:rPr>
              <w:t>创新一是约束感知查询编译器。它把自然语言转为统一槽位，并区分硬约束与软证据。创新二是证据缺口驱动检索路由。首轮多源召回后，系统只针对未覆盖约束发起预算受控的定向补检，而不是无差别重复搜索。</w:t>
            </w:r>
          </w:p>
        </w:tc>
      </w:tr>
      <w:tr>
        <w:tc>
          <w:tcPr>
            <w:tcW w:type="dxa" w:w="115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173F5F"/>
                <w:sz w:val="19"/>
              </w:rPr>
              <w:t>2:10–2:55</w:t>
            </w:r>
          </w:p>
        </w:tc>
        <w:tc>
          <w:tcPr>
            <w:tcW w:type="dxa" w:w="17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b w:val="0"/>
                <w:color w:val="152333"/>
                <w:sz w:val="19"/>
              </w:rPr>
              <w:t>PPT 第5页</w:t>
              <w:br/>
              <w:t>创新3–4</w:t>
            </w:r>
          </w:p>
        </w:tc>
        <w:tc>
          <w:tcPr>
            <w:tcW w:type="dxa" w:w="31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b w:val="0"/>
                <w:color w:val="152333"/>
                <w:sz w:val="18"/>
              </w:rPr>
              <w:t>突出 Top-20 与返回 1/2 篇，不展开公式。</w:t>
            </w:r>
          </w:p>
        </w:tc>
        <w:tc>
          <w:tcPr>
            <w:tcW w:type="dxa" w:w="335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b w:val="0"/>
                <w:color w:val="152333"/>
                <w:sz w:val="18"/>
              </w:rPr>
              <w:t>创新三由多源证据融合和局部语义精排组成。融合阶段保留每个分量，Cross Encoder 只处理最可能改变首位结果的 Top-20。创新四是 CARS，它根据第二候选的绝对分数、相对分数和局部落差决定是否扩展第二篇。</w:t>
            </w:r>
          </w:p>
        </w:tc>
      </w:tr>
      <w:tr>
        <w:tc>
          <w:tcPr>
            <w:tcW w:type="dxa" w:w="1150"/>
            <w:shd w:fill="F4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173F5F"/>
                <w:sz w:val="19"/>
              </w:rPr>
              <w:t>2:55–3:10</w:t>
            </w:r>
          </w:p>
        </w:tc>
        <w:tc>
          <w:tcPr>
            <w:tcW w:type="dxa" w:w="1700"/>
            <w:shd w:fill="F4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b w:val="0"/>
                <w:color w:val="152333"/>
                <w:sz w:val="19"/>
              </w:rPr>
              <w:t>PPT 第6页</w:t>
              <w:br/>
              <w:t>演示查询</w:t>
            </w:r>
          </w:p>
        </w:tc>
        <w:tc>
          <w:tcPr>
            <w:tcW w:type="dxa" w:w="3100"/>
            <w:shd w:fill="F4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b w:val="0"/>
                <w:color w:val="152333"/>
                <w:sz w:val="18"/>
              </w:rPr>
              <w:t>读出查询并提醒评委接下来重点看三处；随后切换浏览器。</w:t>
            </w:r>
          </w:p>
        </w:tc>
        <w:tc>
          <w:tcPr>
            <w:tcW w:type="dxa" w:w="3350"/>
            <w:shd w:fill="F4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b w:val="0"/>
                <w:color w:val="152333"/>
                <w:sz w:val="18"/>
              </w:rPr>
              <w:t>下面用这条复杂查询走一遍完整链路。请重点观察查询计划与约束、覆盖状态与检索轨迹，以及每篇论文的真实来源和缺失字段。</w:t>
            </w:r>
          </w:p>
        </w:tc>
      </w:tr>
      <w:tr>
        <w:tc>
          <w:tcPr>
            <w:tcW w:type="dxa" w:w="115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173F5F"/>
                <w:sz w:val="19"/>
              </w:rPr>
              <w:t>3:10–3:30</w:t>
            </w:r>
          </w:p>
        </w:tc>
        <w:tc>
          <w:tcPr>
            <w:tcW w:type="dxa" w:w="17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b w:val="0"/>
                <w:color w:val="152333"/>
                <w:sz w:val="19"/>
              </w:rPr>
              <w:t>浏览器：首页</w:t>
            </w:r>
          </w:p>
        </w:tc>
        <w:tc>
          <w:tcPr>
            <w:tcW w:type="dxa" w:w="31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b w:val="0"/>
                <w:color w:val="152333"/>
                <w:sz w:val="18"/>
              </w:rPr>
              <w:t>打开 http://127.0.0.1:8080；粘贴正式查询：寻找 2020 年以来使用 Transformer 提升弱纹理或大视角变化场景下图像匹配性能的论文，要求发表于 CVPR、ICCV 或 ECCV 且可开放获取，优先包含 ScanNet 或 MegaDepth 实验，排除纯光流方法和综述文章。 确认页面品牌为 ESASR；点击检索。</w:t>
            </w:r>
          </w:p>
        </w:tc>
        <w:tc>
          <w:tcPr>
            <w:tcW w:type="dxa" w:w="335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b w:val="0"/>
                <w:color w:val="152333"/>
                <w:sz w:val="18"/>
              </w:rPr>
              <w:t>系统支持直接输入自然语言问题。这里不手工拆关键词，所有约束由查询编译器处理。</w:t>
            </w:r>
          </w:p>
        </w:tc>
      </w:tr>
      <w:tr>
        <w:tc>
          <w:tcPr>
            <w:tcW w:type="dxa" w:w="1150"/>
            <w:shd w:fill="F4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173F5F"/>
                <w:sz w:val="19"/>
              </w:rPr>
              <w:t>3:30–4:05</w:t>
            </w:r>
          </w:p>
        </w:tc>
        <w:tc>
          <w:tcPr>
            <w:tcW w:type="dxa" w:w="1700"/>
            <w:shd w:fill="F4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b w:val="0"/>
                <w:color w:val="152333"/>
                <w:sz w:val="19"/>
              </w:rPr>
              <w:t>浏览器：结果页</w:t>
              <w:br/>
              <w:t>查询计划</w:t>
            </w:r>
          </w:p>
        </w:tc>
        <w:tc>
          <w:tcPr>
            <w:tcW w:type="dxa" w:w="3100"/>
            <w:shd w:fill="F4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b w:val="0"/>
                <w:color w:val="152333"/>
                <w:sz w:val="18"/>
              </w:rPr>
              <w:t>等待真实检索完成；放大或滚动到查询计划，依次指出主题、方法、年份、Venue、开放获取与排除项。</w:t>
            </w:r>
          </w:p>
        </w:tc>
        <w:tc>
          <w:tcPr>
            <w:tcW w:type="dxa" w:w="3350"/>
            <w:shd w:fill="F4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b w:val="0"/>
                <w:color w:val="152333"/>
                <w:sz w:val="18"/>
              </w:rPr>
              <w:t>系统首先给出结构化查询计划。年份和排除项作为硬约束，主题、方法和数据集作为软证据参与覆盖诊断。计划、子查询和预算都保留在轨迹中。</w:t>
            </w:r>
          </w:p>
        </w:tc>
      </w:tr>
      <w:tr>
        <w:tc>
          <w:tcPr>
            <w:tcW w:type="dxa" w:w="115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173F5F"/>
                <w:sz w:val="19"/>
              </w:rPr>
              <w:t>4:05–4:35</w:t>
            </w:r>
          </w:p>
        </w:tc>
        <w:tc>
          <w:tcPr>
            <w:tcW w:type="dxa" w:w="17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b w:val="0"/>
                <w:color w:val="152333"/>
                <w:sz w:val="19"/>
              </w:rPr>
              <w:t>浏览器：结果页</w:t>
              <w:br/>
              <w:t>覆盖与轨迹</w:t>
            </w:r>
          </w:p>
        </w:tc>
        <w:tc>
          <w:tcPr>
            <w:tcW w:type="dxa" w:w="31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b w:val="0"/>
                <w:color w:val="152333"/>
                <w:sz w:val="18"/>
              </w:rPr>
              <w:t>展开覆盖状态、运行轨迹和成本指标；指出 OpenAlex / Semantic Scholar 来源与 HTTP 尝试。</w:t>
            </w:r>
          </w:p>
        </w:tc>
        <w:tc>
          <w:tcPr>
            <w:tcW w:type="dxa" w:w="335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b w:val="0"/>
                <w:color w:val="152333"/>
                <w:sz w:val="18"/>
              </w:rPr>
              <w:t>首轮召回后，系统计算当前覆盖并识别缺口。只有缺口仍存在且预算允许时才定向补检。每次数据源请求、模型调用、耗时和降级原因都可见。</w:t>
            </w:r>
          </w:p>
        </w:tc>
      </w:tr>
      <w:tr>
        <w:tc>
          <w:tcPr>
            <w:tcW w:type="dxa" w:w="1150"/>
            <w:shd w:fill="F4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173F5F"/>
                <w:sz w:val="19"/>
              </w:rPr>
              <w:t>4:35–4:55</w:t>
            </w:r>
          </w:p>
        </w:tc>
        <w:tc>
          <w:tcPr>
            <w:tcW w:type="dxa" w:w="1700"/>
            <w:shd w:fill="F4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b w:val="0"/>
                <w:color w:val="152333"/>
                <w:sz w:val="19"/>
              </w:rPr>
              <w:t>浏览器：结果列表</w:t>
            </w:r>
          </w:p>
        </w:tc>
        <w:tc>
          <w:tcPr>
            <w:tcW w:type="dxa" w:w="3100"/>
            <w:shd w:fill="F4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b w:val="0"/>
                <w:color w:val="152333"/>
                <w:sz w:val="18"/>
              </w:rPr>
              <w:t>指向前两篇论文的分数、来源、命中约束和返回数量。</w:t>
            </w:r>
          </w:p>
        </w:tc>
        <w:tc>
          <w:tcPr>
            <w:tcW w:type="dxa" w:w="3350"/>
            <w:shd w:fill="F4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b w:val="0"/>
                <w:color w:val="152333"/>
                <w:sz w:val="18"/>
              </w:rPr>
              <w:t>结果不是生成式论文清单，而是真实论文记录。候选保留召回来源、命中约束、融合分量和精排分数；CARS 根据当前置信度结构决定返回规模。</w:t>
            </w:r>
          </w:p>
        </w:tc>
      </w:tr>
      <w:tr>
        <w:tc>
          <w:tcPr>
            <w:tcW w:type="dxa" w:w="115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173F5F"/>
                <w:sz w:val="19"/>
              </w:rPr>
              <w:t>4:55–5:10</w:t>
            </w:r>
          </w:p>
        </w:tc>
        <w:tc>
          <w:tcPr>
            <w:tcW w:type="dxa" w:w="17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b w:val="0"/>
                <w:color w:val="152333"/>
                <w:sz w:val="19"/>
              </w:rPr>
              <w:t>浏览器：论文详情</w:t>
            </w:r>
          </w:p>
        </w:tc>
        <w:tc>
          <w:tcPr>
            <w:tcW w:type="dxa" w:w="31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b w:val="0"/>
                <w:color w:val="152333"/>
                <w:sz w:val="18"/>
              </w:rPr>
              <w:t>打开第一篇论文，展示 DOI、摘要、开放获取入口和相关论文；返回结果页，证明状态恢复。</w:t>
            </w:r>
          </w:p>
        </w:tc>
        <w:tc>
          <w:tcPr>
            <w:tcW w:type="dxa" w:w="335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b w:val="0"/>
                <w:color w:val="152333"/>
                <w:sz w:val="18"/>
              </w:rPr>
              <w:t>论文详情继续保留元数据、摘要、开放获取入口和关系信息。返回列表后，筛选、排序与滚动位置能够恢复，避免重复请求。</w:t>
            </w:r>
          </w:p>
        </w:tc>
      </w:tr>
      <w:tr>
        <w:tc>
          <w:tcPr>
            <w:tcW w:type="dxa" w:w="1150"/>
            <w:shd w:fill="F4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173F5F"/>
                <w:sz w:val="19"/>
              </w:rPr>
              <w:t>5:10–5:35</w:t>
            </w:r>
          </w:p>
        </w:tc>
        <w:tc>
          <w:tcPr>
            <w:tcW w:type="dxa" w:w="1700"/>
            <w:shd w:fill="F4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b w:val="0"/>
                <w:color w:val="152333"/>
                <w:sz w:val="19"/>
              </w:rPr>
              <w:t>PPT 第7页</w:t>
              <w:br/>
              <w:t>实验协议</w:t>
            </w:r>
          </w:p>
        </w:tc>
        <w:tc>
          <w:tcPr>
            <w:tcW w:type="dxa" w:w="3100"/>
            <w:shd w:fill="F4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b w:val="0"/>
                <w:color w:val="152333"/>
                <w:sz w:val="18"/>
              </w:rPr>
              <w:t>切回 PPT，先讲排序实验，再讲 CARS 开发/测试拆分。</w:t>
            </w:r>
          </w:p>
        </w:tc>
        <w:tc>
          <w:tcPr>
            <w:tcW w:type="dxa" w:w="3350"/>
            <w:shd w:fill="F4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b w:val="0"/>
                <w:color w:val="152333"/>
                <w:sz w:val="18"/>
              </w:rPr>
              <w:t>我们把排序模块收益和输出策略分开验证。排序实验固定 200 条样本、相同语料和 Top-100 候选池；CARS 在 100 条开发集上确定规则，再在 100 条独立测试集上只评估一次。</w:t>
            </w:r>
          </w:p>
        </w:tc>
      </w:tr>
      <w:tr>
        <w:tc>
          <w:tcPr>
            <w:tcW w:type="dxa" w:w="115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173F5F"/>
                <w:sz w:val="19"/>
              </w:rPr>
              <w:t>5:35–6:10</w:t>
            </w:r>
          </w:p>
        </w:tc>
        <w:tc>
          <w:tcPr>
            <w:tcW w:type="dxa" w:w="17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b w:val="0"/>
                <w:color w:val="152333"/>
                <w:sz w:val="19"/>
              </w:rPr>
              <w:t>PPT 第8页</w:t>
              <w:br/>
              <w:t>实验结果</w:t>
            </w:r>
          </w:p>
        </w:tc>
        <w:tc>
          <w:tcPr>
            <w:tcW w:type="dxa" w:w="31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b w:val="0"/>
                <w:color w:val="152333"/>
                <w:sz w:val="18"/>
              </w:rPr>
              <w:t>先指左图排序消融，再指右图输出策略；最后明确统计边界。</w:t>
            </w:r>
          </w:p>
        </w:tc>
        <w:tc>
          <w:tcPr>
            <w:tcW w:type="dxa" w:w="335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b w:val="0"/>
                <w:color w:val="152333"/>
                <w:sz w:val="18"/>
              </w:rPr>
              <w:t>等权词法结合局部精排的 F1@1 为 0.2649，比等权词法高 0.0183。CARS 在独立测试上取得 0.2571 Macro F1，平均只返回 1.07 篇。现有配对区间包含零，因此我们只报告初步正向趋势，不作显著性承诺。</w:t>
            </w:r>
          </w:p>
        </w:tc>
      </w:tr>
      <w:tr>
        <w:tc>
          <w:tcPr>
            <w:tcW w:type="dxa" w:w="1150"/>
            <w:shd w:fill="F4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173F5F"/>
                <w:sz w:val="19"/>
              </w:rPr>
              <w:t>6:10–6:35</w:t>
            </w:r>
          </w:p>
        </w:tc>
        <w:tc>
          <w:tcPr>
            <w:tcW w:type="dxa" w:w="1700"/>
            <w:shd w:fill="F4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b w:val="0"/>
                <w:color w:val="152333"/>
                <w:sz w:val="19"/>
              </w:rPr>
              <w:t>PPT 第9页</w:t>
              <w:br/>
              <w:t>工程完整性</w:t>
            </w:r>
          </w:p>
        </w:tc>
        <w:tc>
          <w:tcPr>
            <w:tcW w:type="dxa" w:w="3100"/>
            <w:shd w:fill="F4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b w:val="0"/>
                <w:color w:val="152333"/>
                <w:sz w:val="18"/>
              </w:rPr>
              <w:t>依次指向架构图、测试数和时延。</w:t>
            </w:r>
          </w:p>
        </w:tc>
        <w:tc>
          <w:tcPr>
            <w:tcW w:type="dxa" w:w="3350"/>
            <w:shd w:fill="F4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b w:val="0"/>
                <w:color w:val="152333"/>
                <w:sz w:val="18"/>
              </w:rPr>
              <w:t>系统由 Vue 3、FastAPI、PostgreSQL、Redis、Neo4j 和 Docker Compose 组成。后端 48 项测试、CLI 8 项测试全部通过，离线 200 条查询平均端到端时延为 741.7 毫秒。外部服务失败时，系统明确显示降级原因。</w:t>
            </w:r>
          </w:p>
        </w:tc>
      </w:tr>
      <w:tr>
        <w:tc>
          <w:tcPr>
            <w:tcW w:type="dxa" w:w="115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173F5F"/>
                <w:sz w:val="19"/>
              </w:rPr>
              <w:t>6:35–7:00</w:t>
            </w:r>
          </w:p>
        </w:tc>
        <w:tc>
          <w:tcPr>
            <w:tcW w:type="dxa" w:w="17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b w:val="0"/>
                <w:color w:val="152333"/>
                <w:sz w:val="19"/>
              </w:rPr>
              <w:t>PPT 第10页</w:t>
              <w:br/>
              <w:t>总结</w:t>
            </w:r>
          </w:p>
        </w:tc>
        <w:tc>
          <w:tcPr>
            <w:tcW w:type="dxa" w:w="31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b w:val="0"/>
                <w:color w:val="152333"/>
                <w:sz w:val="18"/>
              </w:rPr>
              <w:t>语速放慢；三点各停顿半秒，最后提出支持需求并致谢。</w:t>
            </w:r>
          </w:p>
        </w:tc>
        <w:tc>
          <w:tcPr>
            <w:tcW w:type="dxa" w:w="335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b w:val="0"/>
                <w:color w:val="152333"/>
                <w:sz w:val="18"/>
              </w:rPr>
              <w:t>最后总结三点：第一，问题定义是复杂查询下的证据集合构建；第二，四项创新围绕同一证据状态形成闭环；第三，系统可运行、实验可复现、证据边界透明。下一步最需要高效稳定的 OpenAlex 或 Semantic Scholar API，以及更大规模跨学科真实查询集。谢谢各位评委老师。</w:t>
            </w:r>
          </w:p>
        </w:tc>
      </w:tr>
    </w:tbl>
    <w:p>
      <w:pPr>
        <w:pStyle w:val="Heading1"/>
        <w:keepNext/>
      </w:pPr>
      <w:r>
        <w:rPr>
          <w:b/>
          <w:color w:val="173F5F"/>
          <w:sz w:val="32"/>
        </w:rPr>
        <w:t>3. 实机演示的固定点击顺序</w:t>
      </w:r>
    </w:p>
    <w:p>
      <w:pPr>
        <w:pStyle w:val="ListBullet"/>
        <w:spacing w:after="80" w:line="288" w:lineRule="auto"/>
        <w:ind w:left="605" w:hanging="259"/>
      </w:pPr>
      <w:r>
        <w:rPr>
          <w:b w:val="0"/>
          <w:color w:val="152333"/>
          <w:sz w:val="22"/>
        </w:rPr>
        <w:t>启动前执行 scholarseeker status，确认 Web、API、PostgreSQL、Redis 和 Neo4j 正常；不要在成片中展示密钥。</w:t>
      </w:r>
    </w:p>
    <w:p>
      <w:pPr>
        <w:pStyle w:val="ListBullet"/>
        <w:spacing w:after="80" w:line="288" w:lineRule="auto"/>
        <w:ind w:left="605" w:hanging="259"/>
      </w:pPr>
      <w:r>
        <w:rPr>
          <w:b w:val="0"/>
          <w:color w:val="152333"/>
          <w:sz w:val="22"/>
        </w:rPr>
        <w:t>浏览器只保留系统首页、备用健康检查页和 PPT；关闭邮箱、即时通信和无关标签页。</w:t>
      </w:r>
    </w:p>
    <w:p>
      <w:pPr>
        <w:pStyle w:val="ListBullet"/>
        <w:spacing w:after="80" w:line="288" w:lineRule="auto"/>
        <w:ind w:left="605" w:hanging="259"/>
      </w:pPr>
      <w:r>
        <w:rPr>
          <w:b w:val="0"/>
          <w:color w:val="152333"/>
          <w:sz w:val="22"/>
        </w:rPr>
        <w:t>首页粘贴固定复杂查询，点击检索；不要边打字边修改，以免出现输入错误。</w:t>
      </w:r>
    </w:p>
    <w:p>
      <w:pPr>
        <w:pStyle w:val="ListBullet"/>
        <w:spacing w:after="80" w:line="288" w:lineRule="auto"/>
        <w:ind w:left="605" w:hanging="259"/>
      </w:pPr>
      <w:r>
        <w:rPr>
          <w:b w:val="0"/>
          <w:color w:val="152333"/>
          <w:sz w:val="22"/>
        </w:rPr>
        <w:t>结果页先看查询计划，再看覆盖状态与轨迹，然后看结果列表；不要一上来就点论文。</w:t>
      </w:r>
    </w:p>
    <w:p>
      <w:pPr>
        <w:pStyle w:val="ListBullet"/>
        <w:spacing w:after="80" w:line="288" w:lineRule="auto"/>
        <w:ind w:left="605" w:hanging="259"/>
      </w:pPr>
      <w:r>
        <w:rPr>
          <w:b w:val="0"/>
          <w:color w:val="152333"/>
          <w:sz w:val="22"/>
        </w:rPr>
        <w:t>打开首篇论文详情，展示 DOI、摘要、开放获取入口和相关论文；随后返回结果页验证状态恢复。</w:t>
      </w:r>
    </w:p>
    <w:p>
      <w:pPr>
        <w:pStyle w:val="ListBullet"/>
        <w:spacing w:after="80" w:line="288" w:lineRule="auto"/>
        <w:ind w:left="605" w:hanging="259"/>
      </w:pPr>
      <w:r>
        <w:rPr>
          <w:b w:val="0"/>
          <w:color w:val="152333"/>
          <w:sz w:val="22"/>
        </w:rPr>
        <w:t>若真实 API 限流，不要使用未标注的演示数据替代；可重录，或明确展示 degraded/失败来源。</w:t>
      </w:r>
    </w:p>
    <w:p>
      <w:pPr>
        <w:pStyle w:val="Heading1"/>
        <w:keepNext/>
      </w:pPr>
      <w:r>
        <w:rPr>
          <w:b/>
          <w:color w:val="173F5F"/>
          <w:sz w:val="32"/>
        </w:rPr>
        <w:t>4. 录制前检查清单</w:t>
      </w:r>
    </w:p>
    <w:p>
      <w:pPr>
        <w:pStyle w:val="ListBullet"/>
        <w:spacing w:after="80" w:line="288" w:lineRule="auto"/>
        <w:ind w:left="605" w:hanging="259"/>
      </w:pPr>
      <w:r>
        <w:rPr>
          <w:b w:val="0"/>
          <w:color w:val="152333"/>
          <w:sz w:val="22"/>
        </w:rPr>
        <w:t>□ 画面：1920×1080、16:9、30 fps；浏览器缩放 110%–125%，系统正文能看清。</w:t>
      </w:r>
    </w:p>
    <w:p>
      <w:pPr>
        <w:pStyle w:val="ListBullet"/>
        <w:spacing w:after="80" w:line="288" w:lineRule="auto"/>
        <w:ind w:left="605" w:hanging="259"/>
      </w:pPr>
      <w:r>
        <w:rPr>
          <w:b w:val="0"/>
          <w:color w:val="152333"/>
          <w:sz w:val="22"/>
        </w:rPr>
        <w:t>□ 音频：使用独立麦克风或有线耳机；关闭降噪过强设置；先录 20 秒试听。</w:t>
      </w:r>
    </w:p>
    <w:p>
      <w:pPr>
        <w:pStyle w:val="ListBullet"/>
        <w:spacing w:after="80" w:line="288" w:lineRule="auto"/>
        <w:ind w:left="605" w:hanging="259"/>
      </w:pPr>
      <w:r>
        <w:rPr>
          <w:b w:val="0"/>
          <w:color w:val="152333"/>
          <w:sz w:val="22"/>
        </w:rPr>
        <w:t>□ 桌面：关闭通知、自动更新、密码管理器弹窗和个人信息；隐藏 API Key 与终端历史。</w:t>
      </w:r>
    </w:p>
    <w:p>
      <w:pPr>
        <w:pStyle w:val="ListBullet"/>
        <w:spacing w:after="80" w:line="288" w:lineRule="auto"/>
        <w:ind w:left="605" w:hanging="259"/>
      </w:pPr>
      <w:r>
        <w:rPr>
          <w:b w:val="0"/>
          <w:color w:val="152333"/>
          <w:sz w:val="22"/>
        </w:rPr>
        <w:t>□ 系统：提前完成模型下载和容器构建；确保 OpenAlex 或 Semantic Scholar 至少一个来源稳定可用。</w:t>
      </w:r>
    </w:p>
    <w:p>
      <w:pPr>
        <w:pStyle w:val="ListBullet"/>
        <w:spacing w:after="80" w:line="288" w:lineRule="auto"/>
        <w:ind w:left="605" w:hanging="259"/>
      </w:pPr>
      <w:r>
        <w:rPr>
          <w:b w:val="0"/>
          <w:color w:val="152333"/>
          <w:sz w:val="22"/>
        </w:rPr>
        <w:t>□ 节奏：鼠标移动慢而明确；每次滚动只移动一屏；加载等待超过 3 秒可在剪辑中压缩，但不要伪造响应。</w:t>
      </w:r>
    </w:p>
    <w:p>
      <w:pPr>
        <w:pStyle w:val="ListBullet"/>
        <w:spacing w:after="80" w:line="288" w:lineRule="auto"/>
        <w:ind w:left="605" w:hanging="259"/>
      </w:pPr>
      <w:r>
        <w:rPr>
          <w:b w:val="0"/>
          <w:color w:val="152333"/>
          <w:sz w:val="22"/>
        </w:rPr>
        <w:t>□ 素材：PPT 使用全屏放映；实机录屏不加花哨转场；章节切换用 0.2–0.4 秒淡入即可。</w:t>
      </w:r>
    </w:p>
    <w:p>
      <w:pPr>
        <w:pStyle w:val="ListBullet"/>
        <w:spacing w:after="80" w:line="288" w:lineRule="auto"/>
        <w:ind w:left="605" w:hanging="259"/>
      </w:pPr>
      <w:r>
        <w:rPr>
          <w:b w:val="0"/>
          <w:color w:val="152333"/>
          <w:sz w:val="22"/>
        </w:rPr>
        <w:t>□ 安全：正式录制前先做一次无声走查，确认页面不会出现邮箱、Token、数据库密码或本地绝对路径。</w:t>
      </w:r>
    </w:p>
    <w:p>
      <w:pPr>
        <w:pStyle w:val="Heading1"/>
        <w:keepNext/>
      </w:pPr>
      <w:r>
        <w:rPr>
          <w:b/>
          <w:color w:val="173F5F"/>
          <w:sz w:val="32"/>
        </w:rPr>
        <w:t>5. 建议剪辑与字幕</w:t>
      </w:r>
    </w:p>
    <w:p>
      <w:pPr>
        <w:spacing w:after="120" w:line="300" w:lineRule="auto"/>
      </w:pPr>
      <w:r>
        <w:rPr>
          <w:b w:val="0"/>
          <w:color w:val="152333"/>
          <w:sz w:val="22"/>
        </w:rPr>
        <w:t>开头 2 秒保留项目封面；PPT 与浏览器之间直接切换，不使用旋转、飞入等娱乐化转场。字幕只保留关键名词和数字：CQC、EGRR、MEFR+LCER、CARS、F1@1=0.2649、测试 F1=0.2571、48/48、741.7 ms。</w:t>
      </w:r>
    </w:p>
    <w:p>
      <w:pPr>
        <w:spacing w:after="120" w:line="300" w:lineRule="auto"/>
      </w:pPr>
      <w:r>
        <w:rPr>
          <w:b w:val="0"/>
          <w:color w:val="152333"/>
          <w:sz w:val="22"/>
        </w:rPr>
        <w:t>若赛事最终限定为 5 分钟：删除第 7 页实验协议的口头展开，把实机演示压缩到 90 秒，并在结果页只展示查询计划、轨迹和论文详情三个证据点。若允许 8–10 分钟：可增加一次 API 限流或 Cross Encoder 不可用的降级演示。</w:t>
      </w:r>
    </w:p>
    <w:p>
      <w:pPr>
        <w:pStyle w:val="Heading1"/>
        <w:keepNext/>
      </w:pPr>
      <w:r>
        <w:rPr>
          <w:b/>
          <w:color w:val="173F5F"/>
          <w:sz w:val="32"/>
        </w:rPr>
        <w:t>6. 最终提交前验收</w:t>
      </w:r>
    </w:p>
    <w:p>
      <w:pPr>
        <w:pStyle w:val="ListBullet"/>
        <w:spacing w:after="80" w:line="288" w:lineRule="auto"/>
        <w:ind w:left="605" w:hanging="259"/>
      </w:pPr>
      <w:r>
        <w:rPr>
          <w:b w:val="0"/>
          <w:color w:val="152333"/>
          <w:sz w:val="22"/>
        </w:rPr>
        <w:t>□ 项目名称、团队名称和 PPT/系统界面一致。</w:t>
      </w:r>
    </w:p>
    <w:p>
      <w:pPr>
        <w:pStyle w:val="ListBullet"/>
        <w:spacing w:after="80" w:line="288" w:lineRule="auto"/>
        <w:ind w:left="605" w:hanging="259"/>
      </w:pPr>
      <w:r>
        <w:rPr>
          <w:b w:val="0"/>
          <w:color w:val="152333"/>
          <w:sz w:val="22"/>
        </w:rPr>
        <w:t>□ 四项创新均以“解决的问题 + 方法 + 可观察证据”表达，没有版本号或试错史。</w:t>
      </w:r>
    </w:p>
    <w:p>
      <w:pPr>
        <w:pStyle w:val="ListBullet"/>
        <w:spacing w:after="80" w:line="288" w:lineRule="auto"/>
        <w:ind w:left="605" w:hanging="259"/>
      </w:pPr>
      <w:r>
        <w:rPr>
          <w:b w:val="0"/>
          <w:color w:val="152333"/>
          <w:sz w:val="22"/>
        </w:rPr>
        <w:t>□ 演示使用真实论文来源，缺失字段和降级状态没有被隐藏。</w:t>
      </w:r>
    </w:p>
    <w:p>
      <w:pPr>
        <w:pStyle w:val="ListBullet"/>
        <w:spacing w:after="80" w:line="288" w:lineRule="auto"/>
        <w:ind w:left="605" w:hanging="259"/>
      </w:pPr>
      <w:r>
        <w:rPr>
          <w:b w:val="0"/>
          <w:color w:val="152333"/>
          <w:sz w:val="22"/>
        </w:rPr>
        <w:t>□ 实验数字与项目报告一致，明确说明置信区间边界。</w:t>
      </w:r>
    </w:p>
    <w:p>
      <w:pPr>
        <w:pStyle w:val="ListBullet"/>
        <w:spacing w:after="80" w:line="288" w:lineRule="auto"/>
        <w:ind w:left="605" w:hanging="259"/>
      </w:pPr>
      <w:r>
        <w:rPr>
          <w:b w:val="0"/>
          <w:color w:val="152333"/>
          <w:sz w:val="22"/>
        </w:rPr>
        <w:t>□ 成片时长控制在 6:50–7:10，结尾不是仓促截断。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037" w:right="1123" w:bottom="1037" w:left="1123" w:header="490" w:footer="51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b w:val="0"/>
        <w:color w:val="667085"/>
        <w:sz w:val="16"/>
      </w:rPr>
      <w:t>第八届中国研究生人工智能创新大赛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color w:val="667085"/>
        <w:sz w:val="17"/>
      </w:rPr>
      <w:t>ESASR 项目演示视频录制脚本  |  Justifying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/>
      <w:b/>
      <w:bCs/>
      <w:color w:val="173F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/>
      <w:b/>
      <w:bCs/>
      <w:color w:val="20639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/>
      <w:b/>
      <w:bCs/>
      <w:color w:val="173F5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