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Report: Ingestion</w:t>
      </w:r>
    </w:p>
    <w:p>
      <w:r>
        <w:t>The OKAPI metric tracks extraction coverage.</w:t>
      </w:r>
    </w:p>
    <w:p>
      <w:r>
        <w:t>Tables follow.</w:t>
      </w:r>
    </w:p>
    <w:tbl>
      <w:tr>
        <w:tc>
          <w:p>
            <w:r>
              <w:t>Format</w:t>
            </w:r>
          </w:p>
        </w:tc>
        <w:tc>
          <w:p>
            <w:r>
              <w:t>PDF and DOCX</w:t>
            </w:r>
          </w:p>
        </w:tc>
      </w:tr>
    </w:tbl>
  </w:body>
</w:document>
</file>