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160" w:before="0"/>
        <w:jc w:val="center"/>
      </w:pPr>
      <w:r>
        <w:rPr>
          <w:rFonts w:ascii="Arial" w:cs="Arial" w:eastAsia="Arial" w:hAnsi="Arial"/>
          <w:b/>
          <w:bCs/>
          <w:color w:val="7C3AED"/>
          <w:sz w:val="64"/>
          <w:szCs w:val="64"/>
        </w:rPr>
        <w:t xml:space="preserve">PARTY HOUSE</w:t>
      </w:r>
    </w:p>
    <w:p>
      <w:pPr>
        <w:spacing w:after="80" w:before="0"/>
        <w:jc w:val="center"/>
      </w:pPr>
      <w:r>
        <w:rPr>
          <w:rFonts w:ascii="Arial" w:cs="Arial" w:eastAsia="Arial" w:hAnsi="Arial"/>
          <w:color w:val="6B7280"/>
          <w:sz w:val="32"/>
          <w:szCs w:val="32"/>
        </w:rPr>
        <w:t xml:space="preserve">Sistema de Boletía para Eventos</w:t>
      </w:r>
    </w:p>
    <w:p>
      <w:pPr>
        <w:pBdr>
          <w:bottom w:val="single" w:color="7C3AED" w:sz="4" w:space="1"/>
        </w:pBdr>
        <w:spacing w:after="120" w:before="120"/>
      </w:pPr>
      <w:r>
        <w:t xml:space="preserve"/>
      </w:r>
    </w:p>
    <w:p>
      <w:pPr>
        <w:spacing w:after="80" w:before="160"/>
        <w:jc w:val="center"/>
      </w:pPr>
      <w:r>
        <w:rPr>
          <w:rFonts w:ascii="Arial" w:cs="Arial" w:eastAsia="Arial" w:hAnsi="Arial"/>
          <w:b/>
          <w:bCs/>
          <w:color w:val="5B21B6"/>
          <w:sz w:val="36"/>
          <w:szCs w:val="36"/>
        </w:rPr>
        <w:t xml:space="preserve">VALUACIÓN DE NEGOCIO</w:t>
      </w:r>
    </w:p>
    <w:p>
      <w:pPr>
        <w:spacing w:after="320" w:before="0"/>
        <w:jc w:val="center"/>
      </w:pPr>
      <w:r>
        <w:rPr>
          <w:rFonts w:ascii="Arial" w:cs="Arial" w:eastAsia="Arial" w:hAnsi="Arial"/>
          <w:color w:val="6B7280"/>
          <w:sz w:val="22"/>
          <w:szCs w:val="22"/>
        </w:rPr>
        <w:t xml:space="preserve">Reporte técnico-comercial confidencial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3160"/>
        <w:gridCol w:w="3150"/>
      </w:tblGrid>
      <w:tr>
        <w:tc>
          <w:tcPr>
            <w:tcBorders>
              <w:top w:val="single" w:color="7C3AED" w:sz="1"/>
              <w:left w:val="single" w:color="7C3AED" w:sz="1"/>
              <w:bottom w:val="single" w:color="7C3AED" w:sz="1"/>
              <w:right w:val="single" w:color="7C3AED" w:sz="1"/>
            </w:tcBorders>
            <w:shd w:fill="EDE9FE" w:val="clear"/>
            <w:tcMar>
              <w:top w:type="dxa" w:w="200"/>
              <w:left w:type="dxa" w:w="200"/>
              <w:bottom w:type="dxa" w:w="200"/>
              <w:right w:type="dxa" w:w="200"/>
            </w:tcMar>
          </w:tcPr>
          <w:p>
            <w:pPr>
              <w:jc w:val="center"/>
            </w:pPr>
            <w:r>
              <w:rPr>
                <w:rFonts w:ascii="Arial" w:cs="Arial" w:eastAsia="Arial" w:hAnsi="Arial"/>
                <w:color w:val="7C3AED"/>
                <w:sz w:val="18"/>
                <w:szCs w:val="18"/>
              </w:rPr>
              <w:t xml:space="preserve">Valor de Reproducción</w:t>
            </w:r>
          </w:p>
          <w:p>
            <w:pPr>
              <w:jc w:val="center"/>
            </w:pPr>
            <w:r>
              <w:rPr>
                <w:rFonts w:ascii="Arial" w:cs="Arial" w:eastAsia="Arial" w:hAnsi="Arial"/>
                <w:b/>
                <w:bCs/>
                <w:color w:val="5B21B6"/>
                <w:sz w:val="28"/>
                <w:szCs w:val="28"/>
              </w:rPr>
              <w:t xml:space="preserve">$11,200 USD</w:t>
            </w:r>
          </w:p>
          <w:p>
            <w:pPr>
              <w:jc w:val="center"/>
            </w:pPr>
            <w:r>
              <w:rPr>
                <w:rFonts w:ascii="Arial" w:cs="Arial" w:eastAsia="Arial" w:hAnsi="Arial"/>
                <w:color w:val="6B7280"/>
                <w:sz w:val="16"/>
                <w:szCs w:val="16"/>
              </w:rPr>
              <w:t xml:space="preserve">∼280 horas de desarrollo</w:t>
            </w:r>
          </w:p>
        </w:tc>
        <w:tc>
          <w:tcPr>
            <w:tcBorders>
              <w:top w:val="single" w:color="7C3AED" w:sz="1"/>
              <w:left w:val="single" w:color="7C3AED" w:sz="1"/>
              <w:bottom w:val="single" w:color="7C3AED" w:sz="1"/>
              <w:right w:val="single" w:color="7C3AED" w:sz="1"/>
            </w:tcBorders>
            <w:shd w:fill="EDE9FE" w:val="clear"/>
            <w:tcMar>
              <w:top w:type="dxa" w:w="200"/>
              <w:left w:type="dxa" w:w="200"/>
              <w:bottom w:type="dxa" w:w="200"/>
              <w:right w:type="dxa" w:w="200"/>
            </w:tcMar>
          </w:tcPr>
          <w:p>
            <w:pPr>
              <w:jc w:val="center"/>
            </w:pPr>
            <w:r>
              <w:rPr>
                <w:rFonts w:ascii="Arial" w:cs="Arial" w:eastAsia="Arial" w:hAnsi="Arial"/>
                <w:color w:val="7C3AED"/>
                <w:sz w:val="18"/>
                <w:szCs w:val="18"/>
              </w:rPr>
              <w:t xml:space="preserve">Valor de Mercado Est.</w:t>
            </w:r>
          </w:p>
          <w:p>
            <w:pPr>
              <w:jc w:val="center"/>
            </w:pPr>
            <w:r>
              <w:rPr>
                <w:rFonts w:ascii="Arial" w:cs="Arial" w:eastAsia="Arial" w:hAnsi="Arial"/>
                <w:b/>
                <w:bCs/>
                <w:color w:val="5B21B6"/>
                <w:sz w:val="22"/>
                <w:szCs w:val="22"/>
              </w:rPr>
              <w:t xml:space="preserve">$18,000–$28,000 USD</w:t>
            </w:r>
          </w:p>
          <w:p>
            <w:pPr>
              <w:jc w:val="center"/>
            </w:pPr>
            <w:r>
              <w:rPr>
                <w:rFonts w:ascii="Arial" w:cs="Arial" w:eastAsia="Arial" w:hAnsi="Arial"/>
                <w:color w:val="6B7280"/>
                <w:sz w:val="16"/>
                <w:szCs w:val="16"/>
              </w:rPr>
              <w:t xml:space="preserve">Software personalizado</w:t>
            </w:r>
          </w:p>
        </w:tc>
        <w:tc>
          <w:tcPr>
            <w:tcBorders>
              <w:top w:val="single" w:color="7C3AED" w:sz="1"/>
              <w:left w:val="single" w:color="7C3AED" w:sz="1"/>
              <w:bottom w:val="single" w:color="7C3AED" w:sz="1"/>
              <w:right w:val="single" w:color="7C3AED" w:sz="1"/>
            </w:tcBorders>
            <w:shd w:fill="EDE9FE" w:val="clear"/>
            <w:tcMar>
              <w:top w:type="dxa" w:w="200"/>
              <w:left w:type="dxa" w:w="200"/>
              <w:bottom w:type="dxa" w:w="200"/>
              <w:right w:type="dxa" w:w="200"/>
            </w:tcMar>
          </w:tcPr>
          <w:p>
            <w:pPr>
              <w:jc w:val="center"/>
            </w:pPr>
            <w:r>
              <w:rPr>
                <w:rFonts w:ascii="Arial" w:cs="Arial" w:eastAsia="Arial" w:hAnsi="Arial"/>
                <w:color w:val="7C3AED"/>
                <w:sz w:val="18"/>
                <w:szCs w:val="18"/>
              </w:rPr>
              <w:t xml:space="preserve">Potencial MRR (SaaS)</w:t>
            </w:r>
          </w:p>
          <w:p>
            <w:pPr>
              <w:jc w:val="center"/>
            </w:pPr>
            <w:r>
              <w:rPr>
                <w:rFonts w:ascii="Arial" w:cs="Arial" w:eastAsia="Arial" w:hAnsi="Arial"/>
                <w:b/>
                <w:bCs/>
                <w:color w:val="5B21B6"/>
                <w:sz w:val="24"/>
                <w:szCs w:val="24"/>
              </w:rPr>
              <w:t xml:space="preserve">$2,500–$8,000 MXN</w:t>
            </w:r>
          </w:p>
          <w:p>
            <w:pPr>
              <w:jc w:val="center"/>
            </w:pPr>
            <w:r>
              <w:rPr>
                <w:rFonts w:ascii="Arial" w:cs="Arial" w:eastAsia="Arial" w:hAnsi="Arial"/>
                <w:color w:val="6B7280"/>
                <w:sz w:val="16"/>
                <w:szCs w:val="16"/>
              </w:rPr>
              <w:t xml:space="preserve">por organizador/mes</w:t>
            </w:r>
          </w:p>
        </w:tc>
      </w:tr>
    </w:tbl>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jc w:val="center"/>
      </w:pPr>
      <w:r>
        <w:rPr>
          <w:rFonts w:ascii="Arial" w:cs="Arial" w:eastAsia="Arial" w:hAnsi="Arial"/>
          <w:color w:val="6B7280"/>
          <w:sz w:val="18"/>
          <w:szCs w:val="18"/>
        </w:rPr>
        <w:t xml:space="preserve">Fecha: 30 de abril de 2026   •   Preparado por: Claude (Anthropic)   •   Confidencial</w:t>
      </w:r>
    </w:p>
    <w:p>
      <w:r>
        <w:br w:type="page"/>
      </w:r>
    </w:p>
    <w:p>
      <w:pPr>
        <w:pStyle w:val="Heading1"/>
        <w:spacing w:after="120" w:before="360"/>
      </w:pPr>
      <w:r>
        <w:rPr>
          <w:rFonts w:ascii="Arial" w:cs="Arial" w:eastAsia="Arial" w:hAnsi="Arial"/>
          <w:b/>
          <w:bCs/>
          <w:color w:val="5B21B6"/>
          <w:sz w:val="32"/>
          <w:szCs w:val="32"/>
        </w:rPr>
        <w:t xml:space="preserve">1. Resumen Ejecutivo</w:t>
      </w:r>
    </w:p>
    <w:p>
      <w:pPr>
        <w:pBdr>
          <w:bottom w:val="single" w:color="7C3AED" w:sz="4" w:space="1"/>
        </w:pBdr>
        <w:spacing w:after="120" w:before="120"/>
      </w:pPr>
      <w:r>
        <w:t xml:space="preserve"/>
      </w:r>
    </w:p>
    <w:p>
      <w:pPr>
        <w:spacing w:after="100" w:before="60"/>
        <w:jc w:val="both"/>
      </w:pPr>
      <w:r>
        <w:rPr>
          <w:rFonts w:ascii="Arial" w:cs="Arial" w:eastAsia="Arial" w:hAnsi="Arial"/>
          <w:color w:val="374151"/>
          <w:sz w:val="22"/>
          <w:szCs w:val="22"/>
        </w:rPr>
        <w:t xml:space="preserve">Party House es un sistema de bolería para eventos privados (fiestas, reuniones VIP) diseñado y desarrollado a medida en 2025–2026. Integra una landing personalizada por invitado, pagos en línea con PayPal, flujo de transferencia bancaria con confirmación manual, tickets con código QR firmado digitalmente, un validador PWA para el staff en puerta, un bot de Telegram con inteligencia artificial (GPT-4o-mini) para generar códigos de acceso y un panel de administración web completo.</w:t>
      </w:r>
    </w:p>
    <w:p>
      <w:pPr>
        <w:spacing w:after="100" w:before="60"/>
        <w:jc w:val="both"/>
      </w:pPr>
      <w:r>
        <w:rPr>
          <w:rFonts w:ascii="Arial" w:cs="Arial" w:eastAsia="Arial" w:hAnsi="Arial"/>
          <w:color w:val="374151"/>
          <w:sz w:val="22"/>
          <w:szCs w:val="22"/>
        </w:rPr>
        <w:t xml:space="preserve">El sistema está completamente operativo y desplegado en producción mediante Docker sobre Easypanel, con Supabase como base de datos y backend-as-a-service. Representa un activo digital maduro, documentado y listo para operar o ser comercializado.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Concepto</w:t>
            </w:r>
          </w:p>
        </w:tc>
        <w:tc>
          <w:tcPr>
            <w:tcW w:type="dxa" w:w="636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Detalle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Nombre del producto</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Party House — Sistema de Boletía</w:t>
            </w:r>
          </w:p>
        </w:tc>
      </w:tr>
      <w:tr>
        <w:trPr>
          <w:tblHeader w:val="false"/>
        </w:trP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Versión</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0.3.0 (abril 2026)</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Arquitectura</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Node.js + Express, Supabase, N8N, Docker / Easypanel</w:t>
            </w:r>
          </w:p>
        </w:tc>
      </w:tr>
      <w:tr>
        <w:trPr>
          <w:tblHeader w:val="false"/>
        </w:trP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Estado</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Operativo en producción</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Métodos de pago</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PayPal (capture server-side) + Transferencia bancaria</w:t>
            </w:r>
          </w:p>
        </w:tc>
      </w:tr>
      <w:tr>
        <w:trPr>
          <w:tblHeader w:val="false"/>
        </w:trP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Valor de reproducción</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$11,200 USD / ~$224,000 MXN</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Valor de mercado est.</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$18,000 – $28,000 USD</w:t>
            </w:r>
          </w:p>
        </w:tc>
      </w:tr>
      <w:tr>
        <w:trPr>
          <w:tblHeader w:val="false"/>
        </w:trP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Potencial SaaS (MRR)</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$2,500 – $8,000 MXN por organizador</w:t>
            </w:r>
          </w:p>
        </w:tc>
      </w:tr>
    </w:tbl>
    <w:p>
      <w:r>
        <w:br w:type="page"/>
      </w:r>
    </w:p>
    <w:p>
      <w:pPr>
        <w:pStyle w:val="Heading1"/>
        <w:spacing w:after="120" w:before="360"/>
      </w:pPr>
      <w:r>
        <w:rPr>
          <w:rFonts w:ascii="Arial" w:cs="Arial" w:eastAsia="Arial" w:hAnsi="Arial"/>
          <w:b/>
          <w:bCs/>
          <w:color w:val="5B21B6"/>
          <w:sz w:val="32"/>
          <w:szCs w:val="32"/>
        </w:rPr>
        <w:t xml:space="preserve">2. Descripción del Sistema</w:t>
      </w:r>
    </w:p>
    <w:p>
      <w:pPr>
        <w:pBdr>
          <w:bottom w:val="single" w:color="7C3AED" w:sz="4" w:space="1"/>
        </w:pBdr>
        <w:spacing w:after="120" w:before="120"/>
      </w:pPr>
      <w:r>
        <w:t xml:space="preserve"/>
      </w:r>
    </w:p>
    <w:p>
      <w:pPr>
        <w:pStyle w:val="Heading2"/>
        <w:spacing w:after="80" w:before="240"/>
      </w:pPr>
      <w:r>
        <w:rPr>
          <w:rFonts w:ascii="Arial" w:cs="Arial" w:eastAsia="Arial" w:hAnsi="Arial"/>
          <w:b/>
          <w:bCs/>
          <w:color w:val="7C3AED"/>
          <w:sz w:val="26"/>
          <w:szCs w:val="26"/>
        </w:rPr>
        <w:t xml:space="preserve">2.1 Módulos funcionales</w:t>
      </w:r>
    </w:p>
    <w:p>
      <w:pPr>
        <w:spacing w:after="100" w:before="60"/>
        <w:jc w:val="both"/>
      </w:pPr>
      <w:r>
        <w:rPr>
          <w:rFonts w:ascii="Arial" w:cs="Arial" w:eastAsia="Arial" w:hAnsi="Arial"/>
          <w:color w:val="374151"/>
          <w:sz w:val="22"/>
          <w:szCs w:val="22"/>
        </w:rPr>
        <w:t xml:space="preserve">El sistema está compuesto por los siguientes módulos, cada uno con responsabilidades claramente delimitadas: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Módulo</w:t>
            </w:r>
          </w:p>
        </w:tc>
        <w:tc>
          <w:tcPr>
            <w:tcW w:type="dxa" w:w="47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Descripción</w:t>
            </w:r>
          </w:p>
        </w:tc>
        <w:tc>
          <w:tcPr>
            <w:tcW w:type="dxa" w:w="1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Tecnología</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 personalizada</w:t>
            </w:r>
          </w:p>
        </w:tc>
        <w:tc>
          <w:tcPr>
            <w:tcW w:type="dxa" w:w="4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Bienvenida con nombre del invitado, monto y evento. Login por código de acceso único.</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HTML + Supabase RPC</w:t>
            </w:r>
          </w:p>
        </w:tc>
      </w:tr>
      <w:tr>
        <w:trPr>
          <w:tblHeader w:val="false"/>
        </w:trP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Pago PayPal</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Creación y captura de orden server-side. El client_secret nunca se expone al frontend.</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Node.js + PayPal API</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Pago por transferencia</w:t>
            </w:r>
          </w:p>
        </w:tc>
        <w:tc>
          <w:tcPr>
            <w:tcW w:type="dxa" w:w="4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El invitado sube su comprobante (imagen/PDF, máx. 5 MB). El admin recibe notificación por Telegram y confirma desde el panel.</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Multer + Supabase Storage</w:t>
            </w:r>
          </w:p>
        </w:tc>
      </w:tr>
      <w:tr>
        <w:trPr>
          <w:tblHeader w:val="false"/>
        </w:trP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Ticket QR firmado</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JWT con firma RS256, expira 48h después del evento. Descargable como PNG o screenshot.</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jsonwebtoken + qrcode</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Email con QR adjunto</w:t>
            </w:r>
          </w:p>
        </w:tc>
        <w:tc>
          <w:tcPr>
            <w:tcW w:type="dxa" w:w="4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Al confirmar transferencia se envía email automático con el QR en PNG vía SMTP propio.</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Nodemailer + SMTP</w:t>
            </w:r>
          </w:p>
        </w:tc>
      </w:tr>
      <w:tr>
        <w:trPr>
          <w:tblHeader w:val="false"/>
        </w:trP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Bot Telegram + IA</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El admin habla con el bot en lenguaje natural. GPT-4o-mini parsea el pedido y genera el código de acceso en Supabase.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N8N + OpenAI</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Panel admin web</w:t>
            </w:r>
          </w:p>
        </w:tc>
        <w:tc>
          <w:tcPr>
            <w:tcW w:type="dxa" w:w="4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Lista transferencias pendientes con foto del comprobante. Confirmar o rechazar con un clic. Login bcrypt.</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Express + bcryptjs</w:t>
            </w:r>
          </w:p>
        </w:tc>
      </w:tr>
      <w:tr>
        <w:trPr>
          <w:tblHeader w:val="false"/>
        </w:trP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Validador PWA (staff)</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Abre en cualquier smartphone sin instalación. Login con PIN, escanea QR, valida JWT y marca ticket como canjeado.</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PWA + jwt.verify</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Base de datos</w:t>
            </w:r>
          </w:p>
        </w:tc>
        <w:tc>
          <w:tcPr>
            <w:tcW w:type="dxa" w:w="4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PostgreSQL con RLS, RPCs SECURITY DEFINER, Storage privado para comprobantes.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Supabase</w:t>
            </w:r>
          </w:p>
        </w:tc>
      </w:tr>
      <w:tr>
        <w:trPr>
          <w:tblHeader w:val="false"/>
        </w:trP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Infraestructura</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Dockerizado, desplegable en Easypanel, HTTPS automático vía Let's Encrypt.</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Docker + Easypanel</w:t>
            </w:r>
          </w:p>
        </w:tc>
      </w:tr>
    </w:tbl>
    <w:p>
      <w:pPr>
        <w:spacing w:after="80" w:before="0"/>
      </w:pPr>
      <w:r>
        <w:t xml:space="preserve"/>
      </w:r>
    </w:p>
    <w:p>
      <w:pPr>
        <w:pStyle w:val="Heading2"/>
        <w:spacing w:after="80" w:before="240"/>
      </w:pPr>
      <w:r>
        <w:rPr>
          <w:rFonts w:ascii="Arial" w:cs="Arial" w:eastAsia="Arial" w:hAnsi="Arial"/>
          <w:b/>
          <w:bCs/>
          <w:color w:val="7C3AED"/>
          <w:sz w:val="26"/>
          <w:szCs w:val="26"/>
        </w:rPr>
        <w:t xml:space="preserve">2.2 Flujo del negocio</w:t>
      </w:r>
    </w:p>
    <w:p>
      <w:pPr>
        <w:spacing w:after="100" w:before="60"/>
        <w:jc w:val="both"/>
      </w:pPr>
      <w:r>
        <w:rPr>
          <w:rFonts w:ascii="Arial" w:cs="Arial" w:eastAsia="Arial" w:hAnsi="Arial"/>
          <w:color w:val="374151"/>
          <w:sz w:val="22"/>
          <w:szCs w:val="22"/>
        </w:rPr>
        <w:t xml:space="preserve">El ciclo completo de un invitado se resume en diez pasos: (1) El admin genera el código por Telegram con lenguaje natural. (2) El bot de IA crea el código con formato NOMBRE-APEL-####. (3) El invitado accede a la URL personalizada. (4) La landing muestra bienvenida + detalles del evento. (5–6) El invitado paga por PayPal o transferencia. (7) El sistema emite el ticket QR firmado y envía el email. (8) El invitado puede descargar el QR como PNG. (9) En la puerta, el staff escanea con el validador PWA. (10) El sistema verifica la firma JWT y marca el ticket como canjeado.</w:t>
      </w:r>
    </w:p>
    <w:p>
      <w:r>
        <w:br w:type="page"/>
      </w:r>
    </w:p>
    <w:p>
      <w:pPr>
        <w:pStyle w:val="Heading1"/>
        <w:spacing w:after="120" w:before="360"/>
      </w:pPr>
      <w:r>
        <w:rPr>
          <w:rFonts w:ascii="Arial" w:cs="Arial" w:eastAsia="Arial" w:hAnsi="Arial"/>
          <w:b/>
          <w:bCs/>
          <w:color w:val="5B21B6"/>
          <w:sz w:val="32"/>
          <w:szCs w:val="32"/>
        </w:rPr>
        <w:t xml:space="preserve">3. Inventario Técnico</w:t>
      </w:r>
    </w:p>
    <w:p>
      <w:pPr>
        <w:pBdr>
          <w:bottom w:val="single" w:color="7C3AED" w:sz="4" w:space="1"/>
        </w:pBdr>
        <w:spacing w:after="120" w:before="120"/>
      </w:pPr>
      <w:r>
        <w:t xml:space="preserve"/>
      </w:r>
    </w:p>
    <w:p>
      <w:pPr>
        <w:pStyle w:val="Heading2"/>
        <w:spacing w:after="80" w:before="240"/>
      </w:pPr>
      <w:r>
        <w:rPr>
          <w:rFonts w:ascii="Arial" w:cs="Arial" w:eastAsia="Arial" w:hAnsi="Arial"/>
          <w:b/>
          <w:bCs/>
          <w:color w:val="7C3AED"/>
          <w:sz w:val="26"/>
          <w:szCs w:val="26"/>
        </w:rPr>
        <w:t xml:space="preserve">3.1 Líneas de código por componente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rPr>
          <w:tblHeader/>
        </w:trPr>
        <w:tc>
          <w:tcPr>
            <w:tcW w:type="dxa" w:w="36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Archivo / Componente</w:t>
            </w:r>
          </w:p>
        </w:tc>
        <w:tc>
          <w:tcPr>
            <w:tcW w:type="dxa" w:w="24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Descripción</w:t>
            </w:r>
          </w:p>
        </w:tc>
        <w:tc>
          <w:tcPr>
            <w:tcW w:type="dxa" w:w="168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Líneas</w:t>
            </w:r>
          </w:p>
        </w:tc>
        <w:tc>
          <w:tcPr>
            <w:tcW w:type="dxa" w:w="168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Peso relativo</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server/server.js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Backend completo (API, pagos, JWT, email)</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903</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Alto</w:t>
            </w:r>
          </w:p>
        </w:tc>
      </w:tr>
      <w:tr>
        <w:trPr>
          <w:tblHeader w:val="false"/>
        </w:trP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supabase/schema.sql</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Tablas, RLS, RPCs, Storage</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746</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Alto</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landing/css/style.css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Diseño dark + neon completo</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353</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Medio</w:t>
            </w:r>
          </w:p>
        </w:tc>
      </w:tr>
      <w:tr>
        <w:trPr>
          <w:tblHeader w:val="false"/>
        </w:trP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landing/evento.html</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Bienvenida personalizada + pago</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324</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Medio</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supabase/seed.sql</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Datos demo y configuración inicial</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225</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Bajo</w:t>
            </w:r>
          </w:p>
        </w:tc>
      </w:tr>
      <w:tr>
        <w:trPr>
          <w:tblHeader w:val="false"/>
        </w:trP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landing/admin.html</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Panel de administración web</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236</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Medio</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landing/js/app.js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Lógica frontend + cliente Supabase</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183</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Medio</w:t>
            </w:r>
          </w:p>
        </w:tc>
      </w:tr>
      <w:tr>
        <w:trPr>
          <w:tblHeader w:val="false"/>
        </w:trP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landing/ticket.html</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Vista del QR + descarga PNG</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172</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Medio</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landing/validador.html</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PWA scanner de QR para staff</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144</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Medio</w:t>
            </w:r>
          </w:p>
        </w:tc>
      </w:tr>
      <w:tr>
        <w:trPr>
          <w:tblHeader w:val="false"/>
        </w:trP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landing/index.html</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Login por código de invitación</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130</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Bajo</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n8n/admin-bot-workflow.json</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Bot Telegram con IA (14 nodos)</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14 nodos</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Alto</w:t>
            </w:r>
          </w:p>
        </w:tc>
      </w:tr>
      <w:tr>
        <w:trPr>
          <w:tblHeader w:val="false"/>
        </w:trP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docs/ + README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Documentación de deploy y UI</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~480</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w:t>
            </w:r>
          </w:p>
        </w:tc>
      </w:tr>
      <w:tr>
        <w:trPr>
          <w:tblHeader w:val="false"/>
        </w:trPr>
        <w:tc>
          <w:tcPr>
            <w:tcW w:type="dxa" w:w="3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TOTAL</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
            </w:r>
          </w:p>
        </w:tc>
        <w:tc>
          <w:tcPr>
            <w:tcW w:type="dxa" w:w="168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right"/>
            </w:pPr>
            <w:r>
              <w:rPr>
                <w:rFonts w:ascii="Arial" w:cs="Arial" w:eastAsia="Arial" w:hAnsi="Arial"/>
                <w:b/>
                <w:bCs/>
                <w:color w:val="374151"/>
                <w:sz w:val="20"/>
                <w:szCs w:val="20"/>
              </w:rPr>
              <w:t xml:space="preserve">~3,896</w:t>
            </w:r>
          </w:p>
        </w:tc>
        <w:tc>
          <w:tcPr>
            <w:tcW w:type="dxa" w:w="168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
            </w:r>
          </w:p>
        </w:tc>
      </w:tr>
    </w:tbl>
    <w:p>
      <w:pPr>
        <w:spacing w:after="80" w:before="0"/>
      </w:pPr>
      <w:r>
        <w:t xml:space="preserve"/>
      </w:r>
    </w:p>
    <w:p>
      <w:pPr>
        <w:pStyle w:val="Heading2"/>
        <w:spacing w:after="80" w:before="240"/>
      </w:pPr>
      <w:r>
        <w:rPr>
          <w:rFonts w:ascii="Arial" w:cs="Arial" w:eastAsia="Arial" w:hAnsi="Arial"/>
          <w:b/>
          <w:bCs/>
          <w:color w:val="7C3AED"/>
          <w:sz w:val="26"/>
          <w:szCs w:val="26"/>
        </w:rPr>
        <w:t xml:space="preserve">3.2 Stack tecnológico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w:t>
            </w:r>
          </w:p>
        </w:tc>
        <w:tc>
          <w:tcPr>
            <w:tcW w:type="dxa" w:w="2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Tecnología</w:t>
            </w:r>
          </w:p>
        </w:tc>
        <w:tc>
          <w:tcPr>
            <w:tcW w:type="dxa" w:w="43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Propósito</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Backend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Node.js 18 + Express 4</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API REST, manejo de pagos, generación de QR, email</w:t>
            </w:r>
          </w:p>
        </w:tc>
      </w:tr>
      <w:tr>
        <w:trPr>
          <w:tblHeader w:val="false"/>
        </w:trP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Base de datos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Supabase (PostgreSQL)</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Datos, RLS, RPCs SECURITY DEFINER, Storage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Autenticación</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JWT (jsonwebtoken) + bcryptjs</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Firma de QR, login admin/staff</w:t>
            </w:r>
          </w:p>
        </w:tc>
      </w:tr>
      <w:tr>
        <w:trPr>
          <w:tblHeader w:val="false"/>
        </w:trP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Pagos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PayPal REST API v2</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Creación y captura server-side de órdenes</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Email</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Nodemailer + SMTP propio</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Envío del QR adjunto al confirmar pago</w:t>
            </w:r>
          </w:p>
        </w:tc>
      </w:tr>
      <w:tr>
        <w:trPr>
          <w:tblHeader w:val="false"/>
        </w:trP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Automatización</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N8N + OpenAI GPT-4o-mini</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Bot Telegram para generación de códigos con IA</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Frontend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HTML5 + CSS3 + Vanilla JS</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Landing, admin panel, PWA validador</w:t>
            </w:r>
          </w:p>
        </w:tc>
      </w:tr>
      <w:tr>
        <w:trPr>
          <w:tblHeader w:val="false"/>
        </w:trP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DevOps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Docker + Easypanel</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Containerización, deploy, HTTPS automático</w:t>
            </w:r>
          </w:p>
        </w:tc>
      </w:tr>
    </w:tbl>
    <w:p>
      <w:r>
        <w:br w:type="page"/>
      </w:r>
    </w:p>
    <w:p>
      <w:pPr>
        <w:pStyle w:val="Heading1"/>
        <w:spacing w:after="120" w:before="360"/>
      </w:pPr>
      <w:r>
        <w:rPr>
          <w:rFonts w:ascii="Arial" w:cs="Arial" w:eastAsia="Arial" w:hAnsi="Arial"/>
          <w:b/>
          <w:bCs/>
          <w:color w:val="5B21B6"/>
          <w:sz w:val="32"/>
          <w:szCs w:val="32"/>
        </w:rPr>
        <w:t xml:space="preserve">4. Metodología de Valuación</w:t>
      </w:r>
    </w:p>
    <w:p>
      <w:pPr>
        <w:pBdr>
          <w:bottom w:val="single" w:color="7C3AED" w:sz="4" w:space="1"/>
        </w:pBdr>
        <w:spacing w:after="120" w:before="120"/>
      </w:pPr>
      <w:r>
        <w:t xml:space="preserve"/>
      </w:r>
    </w:p>
    <w:p>
      <w:pPr>
        <w:spacing w:after="100" w:before="60"/>
        <w:jc w:val="both"/>
      </w:pPr>
      <w:r>
        <w:rPr>
          <w:rFonts w:ascii="Arial" w:cs="Arial" w:eastAsia="Arial" w:hAnsi="Arial"/>
          <w:color w:val="374151"/>
          <w:sz w:val="22"/>
          <w:szCs w:val="22"/>
        </w:rPr>
        <w:t xml:space="preserve">Para determinar el valor del software se aplican tres métodos complementarios, estándar en la industria para la valuación de activos digitales y software a medida. El valor final se establece con base en la convergencia de los tres enfoques.</w:t>
      </w:r>
    </w:p>
    <w:p>
      <w:pPr>
        <w:spacing w:after="80" w:before="0"/>
      </w:pPr>
      <w:r>
        <w:t xml:space="preserve"/>
      </w:r>
    </w:p>
    <w:p>
      <w:pPr>
        <w:pStyle w:val="Heading2"/>
        <w:spacing w:after="80" w:before="240"/>
      </w:pPr>
      <w:r>
        <w:rPr>
          <w:rFonts w:ascii="Arial" w:cs="Arial" w:eastAsia="Arial" w:hAnsi="Arial"/>
          <w:b/>
          <w:bCs/>
          <w:color w:val="7C3AED"/>
          <w:sz w:val="26"/>
          <w:szCs w:val="26"/>
        </w:rPr>
        <w:t xml:space="preserve">Método 1 — Costo de Reproducción</w:t>
      </w:r>
    </w:p>
    <w:p>
      <w:pPr>
        <w:spacing w:after="100" w:before="60"/>
        <w:jc w:val="both"/>
      </w:pPr>
      <w:r>
        <w:rPr>
          <w:rFonts w:ascii="Arial" w:cs="Arial" w:eastAsia="Arial" w:hAnsi="Arial"/>
          <w:color w:val="374151"/>
          <w:sz w:val="22"/>
          <w:szCs w:val="22"/>
        </w:rPr>
        <w:t xml:space="preserve">Este método estima cuánto costaría contratar a un equipo de desarrollo hoy para construir el mismo sistema desde cero, con las mismas funcionalidades y calidad de código.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1480"/>
        <w:gridCol w:w="1400"/>
        <w:gridCol w:w="1600"/>
      </w:tblGrid>
      <w:tr>
        <w:trPr>
          <w:tblHeader/>
        </w:trPr>
        <w:tc>
          <w:tcPr>
            <w:tcW w:type="dxa" w:w="340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Módulo de trabajo</w:t>
            </w:r>
          </w:p>
        </w:tc>
        <w:tc>
          <w:tcPr>
            <w:tcW w:type="dxa" w:w="148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Horas mín.</w:t>
            </w:r>
          </w:p>
        </w:tc>
        <w:tc>
          <w:tcPr>
            <w:tcW w:type="dxa" w:w="148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Horas máx.</w:t>
            </w:r>
          </w:p>
        </w:tc>
        <w:tc>
          <w:tcPr>
            <w:tcW w:type="dxa" w:w="140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Promedio</w:t>
            </w:r>
          </w:p>
        </w:tc>
        <w:tc>
          <w:tcPr>
            <w:tcW w:type="dxa" w:w="160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USD (@ $40/h)</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Backend Node.js (API, PayPal, JWT, email, QR)</w:t>
            </w:r>
          </w:p>
        </w:tc>
        <w:tc>
          <w:tcPr>
            <w:tcW w:type="dxa" w:w="1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80</w:t>
            </w:r>
          </w:p>
        </w:tc>
        <w:tc>
          <w:tcPr>
            <w:tcW w:type="dxa" w:w="1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120</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100</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$4,000</w:t>
            </w:r>
          </w:p>
        </w:tc>
      </w:tr>
      <w:tr>
        <w:trPr>
          <w:tblHeader w:val="false"/>
        </w:trPr>
        <w:tc>
          <w:tcPr>
            <w:tcW w:type="dxa" w:w="3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Frontend (landing, admin, ticket, validador)</w:t>
            </w:r>
          </w:p>
        </w:tc>
        <w:tc>
          <w:tcPr>
            <w:tcW w:type="dxa" w:w="14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40</w:t>
            </w:r>
          </w:p>
        </w:tc>
        <w:tc>
          <w:tcPr>
            <w:tcW w:type="dxa" w:w="14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60</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50</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$2,000</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Base de datos (schema, RLS, RPCs, Storage)</w:t>
            </w:r>
          </w:p>
        </w:tc>
        <w:tc>
          <w:tcPr>
            <w:tcW w:type="dxa" w:w="1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30</w:t>
            </w:r>
          </w:p>
        </w:tc>
        <w:tc>
          <w:tcPr>
            <w:tcW w:type="dxa" w:w="1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50</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40</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$1,600</w:t>
            </w:r>
          </w:p>
        </w:tc>
      </w:tr>
      <w:tr>
        <w:trPr>
          <w:tblHeader w:val="false"/>
        </w:trPr>
        <w:tc>
          <w:tcPr>
            <w:tcW w:type="dxa" w:w="3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Bot Telegram + integración IA (N8N)</w:t>
            </w:r>
          </w:p>
        </w:tc>
        <w:tc>
          <w:tcPr>
            <w:tcW w:type="dxa" w:w="14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20</w:t>
            </w:r>
          </w:p>
        </w:tc>
        <w:tc>
          <w:tcPr>
            <w:tcW w:type="dxa" w:w="14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35</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28</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$1,120</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DevOps (Dockerfile, Easypanel, variables)</w:t>
            </w:r>
          </w:p>
        </w:tc>
        <w:tc>
          <w:tcPr>
            <w:tcW w:type="dxa" w:w="1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15</w:t>
            </w:r>
          </w:p>
        </w:tc>
        <w:tc>
          <w:tcPr>
            <w:tcW w:type="dxa" w:w="1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25</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20</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$800</w:t>
            </w:r>
          </w:p>
        </w:tc>
      </w:tr>
      <w:tr>
        <w:trPr>
          <w:tblHeader w:val="false"/>
        </w:trPr>
        <w:tc>
          <w:tcPr>
            <w:tcW w:type="dxa" w:w="3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Pruebas, depuración y QA</w:t>
            </w:r>
          </w:p>
        </w:tc>
        <w:tc>
          <w:tcPr>
            <w:tcW w:type="dxa" w:w="14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25</w:t>
            </w:r>
          </w:p>
        </w:tc>
        <w:tc>
          <w:tcPr>
            <w:tcW w:type="dxa" w:w="14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40</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32</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$1,280</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Documentación (deploy.md, README, ui-guide)</w:t>
            </w:r>
          </w:p>
        </w:tc>
        <w:tc>
          <w:tcPr>
            <w:tcW w:type="dxa" w:w="1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8</w:t>
            </w:r>
          </w:p>
        </w:tc>
        <w:tc>
          <w:tcPr>
            <w:tcW w:type="dxa" w:w="1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15</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10</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$400</w:t>
            </w:r>
          </w:p>
        </w:tc>
      </w:tr>
      <w:tr>
        <w:trPr>
          <w:tblHeader w:val="false"/>
        </w:trPr>
        <w:tc>
          <w:tcPr>
            <w:tcW w:type="dxa" w:w="34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TOTAL</w:t>
            </w:r>
          </w:p>
        </w:tc>
        <w:tc>
          <w:tcPr>
            <w:tcW w:type="dxa" w:w="148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right"/>
            </w:pPr>
            <w:r>
              <w:rPr>
                <w:rFonts w:ascii="Arial" w:cs="Arial" w:eastAsia="Arial" w:hAnsi="Arial"/>
                <w:b/>
                <w:bCs/>
                <w:color w:val="374151"/>
                <w:sz w:val="20"/>
                <w:szCs w:val="20"/>
              </w:rPr>
              <w:t xml:space="preserve">218</w:t>
            </w:r>
          </w:p>
        </w:tc>
        <w:tc>
          <w:tcPr>
            <w:tcW w:type="dxa" w:w="148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right"/>
            </w:pPr>
            <w:r>
              <w:rPr>
                <w:rFonts w:ascii="Arial" w:cs="Arial" w:eastAsia="Arial" w:hAnsi="Arial"/>
                <w:b/>
                <w:bCs/>
                <w:color w:val="374151"/>
                <w:sz w:val="20"/>
                <w:szCs w:val="20"/>
              </w:rPr>
              <w:t xml:space="preserve">345</w:t>
            </w:r>
          </w:p>
        </w:tc>
        <w:tc>
          <w:tcPr>
            <w:tcW w:type="dxa" w:w="14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right"/>
            </w:pPr>
            <w:r>
              <w:rPr>
                <w:rFonts w:ascii="Arial" w:cs="Arial" w:eastAsia="Arial" w:hAnsi="Arial"/>
                <w:b/>
                <w:bCs/>
                <w:color w:val="374151"/>
                <w:sz w:val="20"/>
                <w:szCs w:val="20"/>
              </w:rPr>
              <w:t xml:space="preserve">280</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right"/>
            </w:pPr>
            <w:r>
              <w:rPr>
                <w:rFonts w:ascii="Arial" w:cs="Arial" w:eastAsia="Arial" w:hAnsi="Arial"/>
                <w:b/>
                <w:bCs/>
                <w:color w:val="374151"/>
                <w:sz w:val="20"/>
                <w:szCs w:val="20"/>
              </w:rPr>
              <w:t xml:space="preserve">$11,200</w:t>
            </w:r>
          </w:p>
        </w:tc>
      </w:tr>
    </w:tbl>
    <w:p>
      <w:pPr>
        <w:spacing w:after="80" w:before="0"/>
      </w:pPr>
      <w:r>
        <w:t xml:space="preserve"/>
      </w:r>
    </w:p>
    <w:p>
      <w:pPr>
        <w:spacing w:after="100" w:before="60"/>
        <w:jc w:val="both"/>
      </w:pPr>
      <w:r>
        <w:rPr>
          <w:rFonts w:ascii="Arial" w:cs="Arial" w:eastAsia="Arial" w:hAnsi="Arial"/>
          <w:color w:val="374151"/>
          <w:sz w:val="22"/>
          <w:szCs w:val="22"/>
        </w:rPr>
        <w:t xml:space="preserve">Tasa aplicada: USD $40/hora (tarifa de mercado para desarrollador full-stack senior en México, 2026). Equivalente a aproximadamente MXN $224,000 al tipo de cambio de $20 por dólar.</w:t>
      </w:r>
    </w:p>
    <w:p>
      <w:pPr>
        <w:spacing w:after="100" w:before="60"/>
        <w:jc w:val="both"/>
      </w:pPr>
      <w:r>
        <w:rPr>
          <w:rFonts w:ascii="Arial" w:cs="Arial" w:eastAsia="Arial" w:hAnsi="Arial"/>
          <w:color w:val="374151"/>
          <w:sz w:val="22"/>
          <w:szCs w:val="22"/>
        </w:rPr>
        <w:t xml:space="preserve">Nota: Este es el valor mínimo del activo, ya que no incluye el valor del conocimiento del dominio (lógica de negocio de eventos), ni el tiempo de iteración y prueba en producción real.</w:t>
      </w:r>
    </w:p>
    <w:p>
      <w:pPr>
        <w:spacing w:after="80" w:before="0"/>
      </w:pPr>
      <w:r>
        <w:t xml:space="preserve"/>
      </w:r>
    </w:p>
    <w:p>
      <w:pPr>
        <w:pStyle w:val="Heading2"/>
        <w:spacing w:after="80" w:before="240"/>
      </w:pPr>
      <w:r>
        <w:rPr>
          <w:rFonts w:ascii="Arial" w:cs="Arial" w:eastAsia="Arial" w:hAnsi="Arial"/>
          <w:b/>
          <w:bCs/>
          <w:color w:val="7C3AED"/>
          <w:sz w:val="26"/>
          <w:szCs w:val="26"/>
        </w:rPr>
        <w:t xml:space="preserve">Método 2 — Valor de Mercado (Comparables)</w:t>
      </w:r>
    </w:p>
    <w:p>
      <w:pPr>
        <w:spacing w:after="100" w:before="60"/>
        <w:jc w:val="both"/>
      </w:pPr>
      <w:r>
        <w:rPr>
          <w:rFonts w:ascii="Arial" w:cs="Arial" w:eastAsia="Arial" w:hAnsi="Arial"/>
          <w:color w:val="374151"/>
          <w:sz w:val="22"/>
          <w:szCs w:val="22"/>
        </w:rPr>
        <w:t xml:space="preserve">Se comparan proyectos y soluciones similares disponibles en el mercado de software a medida y SaaS de bolería: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Comparable</w:t>
            </w:r>
          </w:p>
        </w:tc>
        <w:tc>
          <w:tcPr>
            <w:tcW w:type="dxa" w:w="24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Precio de mercado</w:t>
            </w:r>
          </w:p>
        </w:tc>
        <w:tc>
          <w:tcPr>
            <w:tcW w:type="dxa" w:w="43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Diferencia con Party House</w:t>
            </w:r>
          </w:p>
        </w:tc>
      </w:tr>
      <w:tr>
        <w:trPr>
          <w:tblHeader w:val="false"/>
        </w:trP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Desarrollo a medida equivalente (agencia LATAM)</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$15,000–$40,000 USD</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Party House ya está hecho y funcionando en producción</w:t>
            </w:r>
          </w:p>
        </w:tc>
      </w:tr>
      <w:tr>
        <w:trPr>
          <w:tblHeader w:val="false"/>
        </w:trP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Ticket Tailor (SaaS)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$0.25 USD/ticket + fees</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SaaS genérico; Party House es personalizado por evento e invitado</w:t>
            </w:r>
          </w:p>
        </w:tc>
      </w:tr>
      <w:tr>
        <w:trPr>
          <w:tblHeader w:val="false"/>
        </w:trP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Eventbrite (premium)</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3.5%–6.5% por ticket</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Party House no cobra comisión por ticket una vez pagado el sistema</w:t>
            </w:r>
          </w:p>
        </w:tc>
      </w:tr>
      <w:tr>
        <w:trPr>
          <w:tblHeader w:val="false"/>
        </w:trP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White-label ticketing app (Fiverr/Upwork)</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$3,000–$8,000 USD</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Sin personalización de invitado, sin bot IA, sin flujo de transferencia</w:t>
            </w:r>
          </w:p>
        </w:tc>
      </w:tr>
      <w:tr>
        <w:trPr>
          <w:tblHeader w:val="false"/>
        </w:trP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Software de bolería para clubs (local MX)</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$8,000–$20,000 MXN/mes</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Solución mensual vs. activo propio perpetuo</w:t>
            </w:r>
          </w:p>
        </w:tc>
      </w:tr>
    </w:tbl>
    <w:p>
      <w:pPr>
        <w:spacing w:after="80" w:before="0"/>
      </w:pPr>
      <w:r>
        <w:t xml:space="preserve"/>
      </w:r>
    </w:p>
    <w:p>
      <w:pPr>
        <w:spacing w:after="100" w:before="60"/>
        <w:jc w:val="both"/>
      </w:pPr>
      <w:r>
        <w:rPr>
          <w:rFonts w:ascii="Arial" w:cs="Arial" w:eastAsia="Arial" w:hAnsi="Arial"/>
          <w:color w:val="374151"/>
          <w:sz w:val="22"/>
          <w:szCs w:val="22"/>
        </w:rPr>
        <w:t xml:space="preserve">Considerando la personalidad del producto (sistema a medida con IA, completamente operativo, sin comisiones por transacción), el valor de mercado estimado como activo para venta o licenciamiento oscila entre USD $18,000 y $28,000.</w:t>
      </w:r>
    </w:p>
    <w:p>
      <w:pPr>
        <w:spacing w:after="80" w:before="0"/>
      </w:pPr>
      <w:r>
        <w:t xml:space="preserve"/>
      </w:r>
    </w:p>
    <w:p>
      <w:pPr>
        <w:pStyle w:val="Heading2"/>
        <w:spacing w:after="80" w:before="240"/>
      </w:pPr>
      <w:r>
        <w:rPr>
          <w:rFonts w:ascii="Arial" w:cs="Arial" w:eastAsia="Arial" w:hAnsi="Arial"/>
          <w:b/>
          <w:bCs/>
          <w:color w:val="7C3AED"/>
          <w:sz w:val="26"/>
          <w:szCs w:val="26"/>
        </w:rPr>
        <w:t xml:space="preserve">Método 3 — Potencial de Ingresos (Modelo SaaS)</w:t>
      </w:r>
    </w:p>
    <w:p>
      <w:pPr>
        <w:spacing w:after="100" w:before="60"/>
        <w:jc w:val="both"/>
      </w:pPr>
      <w:r>
        <w:rPr>
          <w:rFonts w:ascii="Arial" w:cs="Arial" w:eastAsia="Arial" w:hAnsi="Arial"/>
          <w:color w:val="374151"/>
          <w:sz w:val="22"/>
          <w:szCs w:val="22"/>
        </w:rPr>
        <w:t xml:space="preserve">Si el sistema se convierte en un producto multi-tenant comercializado como SaaS para organizadores de eventos privados en México y LATAM, el modelo de ingresos potencial 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00"/>
        <w:gridCol w:w="210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Escenario</w:t>
            </w:r>
          </w:p>
        </w:tc>
        <w:tc>
          <w:tcPr>
            <w:tcW w:type="dxa" w:w="21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Clientes activos</w:t>
            </w:r>
          </w:p>
        </w:tc>
        <w:tc>
          <w:tcPr>
            <w:tcW w:type="dxa" w:w="21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Precio MXN/mes</w:t>
            </w:r>
          </w:p>
        </w:tc>
        <w:tc>
          <w:tcPr>
            <w:tcW w:type="dxa" w:w="21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MRR estimado</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Conservador (año 1)</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5–10 organizadores</w:t>
            </w:r>
          </w:p>
        </w:tc>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$2,500–$3,500</w:t>
            </w:r>
          </w:p>
        </w:tc>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$12,500–$35,000</w:t>
            </w:r>
          </w:p>
        </w:tc>
      </w:tr>
      <w:tr>
        <w:trPr>
          <w:tblHeader w:val="false"/>
        </w:trP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Moderado (año 2)</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20–40 organizadores</w:t>
            </w:r>
          </w:p>
        </w:tc>
        <w:tc>
          <w:tcPr>
            <w:tcW w:type="dxa" w:w="21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$3,000–$5,000</w:t>
            </w:r>
          </w:p>
        </w:tc>
        <w:tc>
          <w:tcPr>
            <w:tcW w:type="dxa" w:w="21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$60,000–$200,000</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Optimista (año 3)</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80+ organizadores</w:t>
            </w:r>
          </w:p>
        </w:tc>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$4,000–$8,000</w:t>
            </w:r>
          </w:p>
        </w:tc>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right"/>
            </w:pPr>
            <w:r>
              <w:rPr>
                <w:rFonts w:ascii="Arial" w:cs="Arial" w:eastAsia="Arial" w:hAnsi="Arial"/>
                <w:b w:val="false"/>
                <w:bCs w:val="false"/>
                <w:color w:val="374151"/>
                <w:sz w:val="20"/>
                <w:szCs w:val="20"/>
              </w:rPr>
              <w:t xml:space="preserve">$320,000+</w:t>
            </w:r>
          </w:p>
        </w:tc>
      </w:tr>
    </w:tbl>
    <w:p>
      <w:pPr>
        <w:spacing w:after="80" w:before="0"/>
      </w:pPr>
      <w:r>
        <w:t xml:space="preserve"/>
      </w:r>
    </w:p>
    <w:p>
      <w:pPr>
        <w:spacing w:after="100" w:before="60"/>
        <w:jc w:val="both"/>
      </w:pPr>
      <w:r>
        <w:rPr>
          <w:rFonts w:ascii="Arial" w:cs="Arial" w:eastAsia="Arial" w:hAnsi="Arial"/>
          <w:color w:val="374151"/>
          <w:sz w:val="22"/>
          <w:szCs w:val="22"/>
        </w:rPr>
        <w:t xml:space="preserve">Aplicando un múltiplo de valuación de 12x ARR (típico para SaaS early-stage en LATAM), el escenario conservador de año 2 genera un valor de empresa de $720,000 a $2,400,000 MXN, sin contar el valor del activo base.</w:t>
      </w:r>
    </w:p>
    <w:p>
      <w:r>
        <w:br w:type="page"/>
      </w:r>
    </w:p>
    <w:p>
      <w:pPr>
        <w:pStyle w:val="Heading1"/>
        <w:spacing w:after="120" w:before="360"/>
      </w:pPr>
      <w:r>
        <w:rPr>
          <w:rFonts w:ascii="Arial" w:cs="Arial" w:eastAsia="Arial" w:hAnsi="Arial"/>
          <w:b/>
          <w:bCs/>
          <w:color w:val="5B21B6"/>
          <w:sz w:val="32"/>
          <w:szCs w:val="32"/>
        </w:rPr>
        <w:t xml:space="preserve">5. Fortalezas y Diferenciadores</w:t>
      </w:r>
    </w:p>
    <w:p>
      <w:pPr>
        <w:pBdr>
          <w:bottom w:val="single" w:color="7C3AED" w:sz="4" w:space="1"/>
        </w:pBdr>
        <w:spacing w:after="120" w:before="120"/>
      </w:pPr>
      <w:r>
        <w:t xml:space="preserve"/>
      </w:r>
    </w:p>
    <w:p>
      <w:pPr>
        <w:pStyle w:val="Heading2"/>
        <w:spacing w:after="80" w:before="240"/>
      </w:pPr>
      <w:r>
        <w:rPr>
          <w:rFonts w:ascii="Arial" w:cs="Arial" w:eastAsia="Arial" w:hAnsi="Arial"/>
          <w:b/>
          <w:bCs/>
          <w:color w:val="7C3AED"/>
          <w:sz w:val="26"/>
          <w:szCs w:val="26"/>
        </w:rPr>
        <w:t xml:space="preserve">5.1 Ventajas competitivas</w:t>
      </w:r>
    </w:p>
    <w:p>
      <w:pPr>
        <w:pStyle w:val="ListParagraph"/>
        <w:numPr>
          <w:ilvl w:val="0"/>
          <w:numId w:val="2"/>
        </w:numPr>
        <w:spacing w:after="40" w:before="40"/>
      </w:pPr>
      <w:r>
        <w:rPr>
          <w:rFonts w:ascii="Arial" w:cs="Arial" w:eastAsia="Arial" w:hAnsi="Arial"/>
          <w:color w:val="374151"/>
          <w:sz w:val="22"/>
          <w:szCs w:val="22"/>
        </w:rPr>
        <w:t xml:space="preserve">Personalización por invitado: cada URL, bienvenida y experiencia es única por código de acceso, algo que los SaaS genéricos no ofrecen.</w:t>
      </w:r>
    </w:p>
    <w:p>
      <w:pPr>
        <w:pStyle w:val="ListParagraph"/>
        <w:numPr>
          <w:ilvl w:val="0"/>
          <w:numId w:val="2"/>
        </w:numPr>
        <w:spacing w:after="40" w:before="40"/>
      </w:pPr>
      <w:r>
        <w:rPr>
          <w:rFonts w:ascii="Arial" w:cs="Arial" w:eastAsia="Arial" w:hAnsi="Arial"/>
          <w:color w:val="374151"/>
          <w:sz w:val="22"/>
          <w:szCs w:val="22"/>
        </w:rPr>
        <w:t xml:space="preserve">IA integrada: el bot de Telegram con GPT-4o-mini reduce el tiempo de creación de un código de minutos a segundos, sin formularios.</w:t>
      </w:r>
    </w:p>
    <w:p>
      <w:pPr>
        <w:pStyle w:val="ListParagraph"/>
        <w:numPr>
          <w:ilvl w:val="0"/>
          <w:numId w:val="2"/>
        </w:numPr>
        <w:spacing w:after="40" w:before="40"/>
      </w:pPr>
      <w:r>
        <w:rPr>
          <w:rFonts w:ascii="Arial" w:cs="Arial" w:eastAsia="Arial" w:hAnsi="Arial"/>
          <w:color w:val="374151"/>
          <w:sz w:val="22"/>
          <w:szCs w:val="22"/>
        </w:rPr>
        <w:t xml:space="preserve">Seguridad robusta: JWT firmado con expiración vinculada al evento, RLS en base de datos, client_secret nunca expuesto al frontend.</w:t>
      </w:r>
    </w:p>
    <w:p>
      <w:pPr>
        <w:pStyle w:val="ListParagraph"/>
        <w:numPr>
          <w:ilvl w:val="0"/>
          <w:numId w:val="2"/>
        </w:numPr>
        <w:spacing w:after="40" w:before="40"/>
      </w:pPr>
      <w:r>
        <w:rPr>
          <w:rFonts w:ascii="Arial" w:cs="Arial" w:eastAsia="Arial" w:hAnsi="Arial"/>
          <w:color w:val="374151"/>
          <w:sz w:val="22"/>
          <w:szCs w:val="22"/>
        </w:rPr>
        <w:t xml:space="preserve">Flujo híbrido de pagos: soporta tanto PayPal internacional como transferencia bancaria local (preferida en México), cubriendo el 100% del mercado objetivo.</w:t>
      </w:r>
    </w:p>
    <w:p>
      <w:pPr>
        <w:pStyle w:val="ListParagraph"/>
        <w:numPr>
          <w:ilvl w:val="0"/>
          <w:numId w:val="2"/>
        </w:numPr>
        <w:spacing w:after="40" w:before="40"/>
      </w:pPr>
      <w:r>
        <w:rPr>
          <w:rFonts w:ascii="Arial" w:cs="Arial" w:eastAsia="Arial" w:hAnsi="Arial"/>
          <w:color w:val="374151"/>
          <w:sz w:val="22"/>
          <w:szCs w:val="22"/>
        </w:rPr>
        <w:t xml:space="preserve">Cero comisiones por ticket: a diferencia de Eventbrite o Ticket Tailor, el operador no paga porcentaje por cada boleto vendido.</w:t>
      </w:r>
    </w:p>
    <w:p>
      <w:pPr>
        <w:pStyle w:val="ListParagraph"/>
        <w:numPr>
          <w:ilvl w:val="0"/>
          <w:numId w:val="2"/>
        </w:numPr>
        <w:spacing w:after="40" w:before="40"/>
      </w:pPr>
      <w:r>
        <w:rPr>
          <w:rFonts w:ascii="Arial" w:cs="Arial" w:eastAsia="Arial" w:hAnsi="Arial"/>
          <w:color w:val="374151"/>
          <w:sz w:val="22"/>
          <w:szCs w:val="22"/>
        </w:rPr>
        <w:t xml:space="preserve">PWA sin instalación: el validador para el staff funciona en cualquier smartphone desde el navegador, sin App Store.</w:t>
      </w:r>
    </w:p>
    <w:p>
      <w:pPr>
        <w:pStyle w:val="ListParagraph"/>
        <w:numPr>
          <w:ilvl w:val="0"/>
          <w:numId w:val="2"/>
        </w:numPr>
        <w:spacing w:after="40" w:before="40"/>
      </w:pPr>
      <w:r>
        <w:rPr>
          <w:rFonts w:ascii="Arial" w:cs="Arial" w:eastAsia="Arial" w:hAnsi="Arial"/>
          <w:color w:val="374151"/>
          <w:sz w:val="22"/>
          <w:szCs w:val="22"/>
        </w:rPr>
        <w:t xml:space="preserve">Notificaciones en tiempo real: el admin recibe la foto del comprobante de pago directamente en Telegram segundos después de que el invitado la sube.</w:t>
      </w:r>
    </w:p>
    <w:p>
      <w:pPr>
        <w:pStyle w:val="ListParagraph"/>
        <w:numPr>
          <w:ilvl w:val="0"/>
          <w:numId w:val="2"/>
        </w:numPr>
        <w:spacing w:after="40" w:before="40"/>
      </w:pPr>
      <w:r>
        <w:rPr>
          <w:rFonts w:ascii="Arial" w:cs="Arial" w:eastAsia="Arial" w:hAnsi="Arial"/>
          <w:color w:val="374151"/>
          <w:sz w:val="22"/>
          <w:szCs w:val="22"/>
        </w:rPr>
        <w:t xml:space="preserve">Infraestructura autosuficiente: SMTP propio, Supabase Storage privado, todo bajo control del operador sin dependencia de terceros de comunicación.</w:t>
      </w:r>
    </w:p>
    <w:p>
      <w:pPr>
        <w:spacing w:after="80" w:before="0"/>
      </w:pPr>
      <w:r>
        <w:t xml:space="preserve"/>
      </w:r>
    </w:p>
    <w:p>
      <w:pPr>
        <w:pStyle w:val="Heading2"/>
        <w:spacing w:after="80" w:before="240"/>
      </w:pPr>
      <w:r>
        <w:rPr>
          <w:rFonts w:ascii="Arial" w:cs="Arial" w:eastAsia="Arial" w:hAnsi="Arial"/>
          <w:b/>
          <w:bCs/>
          <w:color w:val="7C3AED"/>
          <w:sz w:val="26"/>
          <w:szCs w:val="26"/>
        </w:rPr>
        <w:t xml:space="preserve">5.2 Estado de madurez del producto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80"/>
        <w:gridCol w:w="3680"/>
      </w:tblGrid>
      <w:tr>
        <w:trPr>
          <w:tblHeader/>
        </w:trPr>
        <w:tc>
          <w:tcPr>
            <w:tcW w:type="dxa" w:w="400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Característica</w:t>
            </w:r>
          </w:p>
        </w:tc>
        <w:tc>
          <w:tcPr>
            <w:tcW w:type="dxa" w:w="168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c>
          <w:tcPr>
            <w:tcW w:type="dxa" w:w="368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Comentario</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Operativo en producción</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65F46"/>
                <w:sz w:val="20"/>
                <w:szCs w:val="20"/>
              </w:rPr>
              <w:t xml:space="preserve">✓ Sí</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Corriendo en Easypanel con dominio real</w:t>
            </w:r>
          </w:p>
        </w:tc>
      </w:tr>
      <w:tr>
        <w:trPr>
          <w:tblHeader w:val="false"/>
        </w:trP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Flujo PayPal probado</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065F46"/>
                <w:sz w:val="20"/>
                <w:szCs w:val="20"/>
              </w:rPr>
              <w:t xml:space="preserve">✓ Sí</w:t>
            </w:r>
          </w:p>
        </w:tc>
        <w:tc>
          <w:tcPr>
            <w:tcW w:type="dxa" w:w="3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Sandbox + live configurables</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Flujo transferencia probado</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65F46"/>
                <w:sz w:val="20"/>
                <w:szCs w:val="20"/>
              </w:rPr>
              <w:t xml:space="preserve">✓ Sí</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Con foto, Telegram y confirmación manual</w:t>
            </w:r>
          </w:p>
        </w:tc>
      </w:tr>
      <w:tr>
        <w:trPr>
          <w:tblHeader w:val="false"/>
        </w:trP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QR descargable</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065F46"/>
                <w:sz w:val="20"/>
                <w:szCs w:val="20"/>
              </w:rPr>
              <w:t xml:space="preserve">✓ Sí</w:t>
            </w:r>
          </w:p>
        </w:tc>
        <w:tc>
          <w:tcPr>
            <w:tcW w:type="dxa" w:w="3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PNG firmado + screenshot del canvas</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Email con QR adjunto</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65F46"/>
                <w:sz w:val="20"/>
                <w:szCs w:val="20"/>
              </w:rPr>
              <w:t xml:space="preserve">✓ Sí</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SMTP propio, con nombre del evento</w:t>
            </w:r>
          </w:p>
        </w:tc>
      </w:tr>
      <w:tr>
        <w:trPr>
          <w:tblHeader w:val="false"/>
        </w:trP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Validación en puerta (PWA)</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065F46"/>
                <w:sz w:val="20"/>
                <w:szCs w:val="20"/>
              </w:rPr>
              <w:t xml:space="preserve">✓ Sí</w:t>
            </w:r>
          </w:p>
        </w:tc>
        <w:tc>
          <w:tcPr>
            <w:tcW w:type="dxa" w:w="3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Login PIN + cámara + JWT verify</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Bot IA en Telegram</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65F46"/>
                <w:sz w:val="20"/>
                <w:szCs w:val="20"/>
              </w:rPr>
              <w:t xml:space="preserve">✓ Sí</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GPT-4o-mini + N8N activo en VPS</w:t>
            </w:r>
          </w:p>
        </w:tc>
      </w:tr>
      <w:tr>
        <w:trPr>
          <w:tblHeader w:val="false"/>
        </w:trP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Documentación de deploy</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065F46"/>
                <w:sz w:val="20"/>
                <w:szCs w:val="20"/>
              </w:rPr>
              <w:t xml:space="preserve">✓ Sí</w:t>
            </w:r>
          </w:p>
        </w:tc>
        <w:tc>
          <w:tcPr>
            <w:tcW w:type="dxa" w:w="3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deploy.md completo paso a paso</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Multi-evento</w:t>
            </w:r>
          </w:p>
        </w:tc>
        <w:tc>
          <w:tcPr>
            <w:tcW w:type="dxa" w:w="1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B45309"/>
                <w:sz w:val="20"/>
                <w:szCs w:val="20"/>
              </w:rPr>
              <w:t xml:space="preserve">⚠ Parcial</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 BD lo soporta; la UI se puede ampliar</w:t>
            </w:r>
          </w:p>
        </w:tc>
      </w:tr>
      <w:tr>
        <w:trPr>
          <w:tblHeader w:val="false"/>
        </w:trP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Multi-tenant (SaaS)</w:t>
            </w:r>
          </w:p>
        </w:tc>
        <w:tc>
          <w:tcPr>
            <w:tcW w:type="dxa" w:w="1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B45309"/>
                <w:sz w:val="20"/>
                <w:szCs w:val="20"/>
              </w:rPr>
              <w:t xml:space="preserve">⚠ No implementado</w:t>
            </w:r>
          </w:p>
        </w:tc>
        <w:tc>
          <w:tcPr>
            <w:tcW w:type="dxa" w:w="3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Requiere capa de aislamiento por organizador</w:t>
            </w:r>
          </w:p>
        </w:tc>
      </w:tr>
    </w:tbl>
    <w:p>
      <w:r>
        <w:br w:type="page"/>
      </w:r>
    </w:p>
    <w:p>
      <w:pPr>
        <w:pStyle w:val="Heading1"/>
        <w:spacing w:after="120" w:before="360"/>
      </w:pPr>
      <w:r>
        <w:rPr>
          <w:rFonts w:ascii="Arial" w:cs="Arial" w:eastAsia="Arial" w:hAnsi="Arial"/>
          <w:b/>
          <w:bCs/>
          <w:color w:val="5B21B6"/>
          <w:sz w:val="32"/>
          <w:szCs w:val="32"/>
        </w:rPr>
        <w:t xml:space="preserve">6. Oportunidades de Crecimiento</w:t>
      </w:r>
    </w:p>
    <w:p>
      <w:pPr>
        <w:pBdr>
          <w:bottom w:val="single" w:color="7C3AED" w:sz="4" w:space="1"/>
        </w:pBdr>
        <w:spacing w:after="120" w:before="120"/>
      </w:pPr>
      <w:r>
        <w:t xml:space="preserve"/>
      </w:r>
    </w:p>
    <w:p>
      <w:pPr>
        <w:spacing w:after="100" w:before="60"/>
        <w:jc w:val="both"/>
      </w:pPr>
      <w:r>
        <w:rPr>
          <w:rFonts w:ascii="Arial" w:cs="Arial" w:eastAsia="Arial" w:hAnsi="Arial"/>
          <w:color w:val="374151"/>
          <w:sz w:val="22"/>
          <w:szCs w:val="22"/>
        </w:rPr>
        <w:t xml:space="preserve">El sistema actual es una base sólida que puede escalar en varias direcciones de alto impacto con un esfuerzo de desarrollo adicional moderado: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Mejora</w:t>
            </w:r>
          </w:p>
        </w:tc>
        <w:tc>
          <w:tcPr>
            <w:tcW w:type="dxa" w:w="14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Esfuerzo est.</w:t>
            </w:r>
          </w:p>
        </w:tc>
        <w:tc>
          <w:tcPr>
            <w:tcW w:type="dxa" w:w="49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Impacto en valor</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Multi-tenant (varios organizadores)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3–6 semanas</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Habilita modelo SaaS; multiplicaría el valor por 5–10x</w:t>
            </w:r>
          </w:p>
        </w:tc>
      </w:tr>
      <w:tr>
        <w:trPr>
          <w:tblHeader w:val="false"/>
        </w:trP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App móvil nativa (React Native)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8–12 semanas</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Ampliaría el público y mejoraría la experiencia del invitado</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Dashboard de analíticas (asistencia, ingresos)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2–4 semanas</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Valor agregado para organizadores, diferenciador premium</w:t>
            </w:r>
          </w:p>
        </w:tc>
      </w:tr>
      <w:tr>
        <w:trPr>
          <w:tblHeader w:val="false"/>
        </w:trP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Integración con Stripe (MX + LATAM)</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1–2 semanas</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Ampliar cobertura de pagos online más allá de PayPal</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Mesas / zonificación del venue</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2–3 semanas</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Funcionalidad premium para eventos con asientos asignados</w:t>
            </w:r>
          </w:p>
        </w:tc>
      </w:tr>
      <w:tr>
        <w:trPr>
          <w:tblHeader w:val="false"/>
        </w:trP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White-labeling (marca del organizador)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1–2 semanas</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Permite licenciar el sistema a otros operadores de fiestas</w:t>
            </w:r>
          </w:p>
        </w:tc>
      </w:tr>
    </w:tbl>
    <w:p>
      <w:r>
        <w:br w:type="page"/>
      </w:r>
    </w:p>
    <w:p>
      <w:pPr>
        <w:pStyle w:val="Heading1"/>
        <w:spacing w:after="120" w:before="360"/>
      </w:pPr>
      <w:r>
        <w:rPr>
          <w:rFonts w:ascii="Arial" w:cs="Arial" w:eastAsia="Arial" w:hAnsi="Arial"/>
          <w:b/>
          <w:bCs/>
          <w:color w:val="5B21B6"/>
          <w:sz w:val="32"/>
          <w:szCs w:val="32"/>
        </w:rPr>
        <w:t xml:space="preserve">7. Riesgos y Consideraciones</w:t>
      </w:r>
    </w:p>
    <w:p>
      <w:pPr>
        <w:pBdr>
          <w:bottom w:val="single" w:color="7C3AED"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Riesgo</w:t>
            </w:r>
          </w:p>
        </w:tc>
        <w:tc>
          <w:tcPr>
            <w:tcW w:type="dxa" w:w="120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Nivel</w:t>
            </w:r>
          </w:p>
        </w:tc>
        <w:tc>
          <w:tcPr>
            <w:tcW w:type="dxa" w:w="576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Mitigación recomendada</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Credenciales hardcodeadas en N8N</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Medio</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Mover el admin_id y event_uuid a variables de entorno del contenedor N8N</w:t>
            </w:r>
          </w:p>
        </w:tc>
      </w:tr>
      <w:tr>
        <w:trPr>
          <w:tblHeader w:val="false"/>
        </w:trP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Dependencia de Supabase cloud</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Bajo</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Habilitar backups diarios del plan Pro; la arquitectura permite migrar a Postgres propio</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JWT_SECRET rotación por evento</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Bajo</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Ya documentado; rotar antes de cada evento para invalidar QRs anteriores</w:t>
            </w:r>
          </w:p>
        </w:tc>
      </w:tr>
      <w:tr>
        <w:trPr>
          <w:tblHeader w:val="false"/>
        </w:trP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Costo OpenAI si crece el volumen</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Bajo</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GPT-4o-mini es el modelo más económico; a escalas altas se puede limitar el uso</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Sin pruebas automatizadas (unit/e2e)</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Medio</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Agregar pruebas con Jest/Playwright antes de ampliar el sistema</w:t>
            </w:r>
          </w:p>
        </w:tc>
      </w:tr>
      <w:tr>
        <w:trPr>
          <w:tblHeader w:val="false"/>
        </w:trP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STAFF_PIN de fallback por defecto (1234)</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Bajo</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Cambiar antes de cada evento; mejor crear staff en BD con PIN individual</w:t>
            </w:r>
          </w:p>
        </w:tc>
      </w:tr>
    </w:tbl>
    <w:p>
      <w:r>
        <w:br w:type="page"/>
      </w:r>
    </w:p>
    <w:p>
      <w:pPr>
        <w:pStyle w:val="Heading1"/>
        <w:spacing w:after="120" w:before="360"/>
      </w:pPr>
      <w:r>
        <w:rPr>
          <w:rFonts w:ascii="Arial" w:cs="Arial" w:eastAsia="Arial" w:hAnsi="Arial"/>
          <w:b/>
          <w:bCs/>
          <w:color w:val="5B21B6"/>
          <w:sz w:val="32"/>
          <w:szCs w:val="32"/>
        </w:rPr>
        <w:t xml:space="preserve">8. Conclusión y Valor Estimado</w:t>
      </w:r>
    </w:p>
    <w:p>
      <w:pPr>
        <w:pBdr>
          <w:bottom w:val="single" w:color="7C3AED" w:sz="4" w:space="1"/>
        </w:pBdr>
        <w:spacing w:after="120" w:before="120"/>
      </w:pPr>
      <w:r>
        <w:t xml:space="preserve"/>
      </w:r>
    </w:p>
    <w:p>
      <w:pPr>
        <w:spacing w:after="100" w:before="60"/>
        <w:jc w:val="both"/>
      </w:pPr>
      <w:r>
        <w:rPr>
          <w:rFonts w:ascii="Arial" w:cs="Arial" w:eastAsia="Arial" w:hAnsi="Arial"/>
          <w:color w:val="374151"/>
          <w:sz w:val="22"/>
          <w:szCs w:val="22"/>
        </w:rPr>
        <w:t xml:space="preserve">Party House es un activo digital de valor comprobado. No es un prototipo ni un MVP: es un sistema completamente operativo, desplegado en producción, con documentación profesional y un flujo de negocio end-to-end funcional. La combinación de pagos online, IA, QR firmado y panel de administración lo posiciona muy por encima de soluciones genéricas del mercado.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Método</w:t>
            </w:r>
          </w:p>
        </w:tc>
        <w:tc>
          <w:tcPr>
            <w:tcW w:type="dxa" w:w="288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mínimo</w:t>
            </w:r>
          </w:p>
        </w:tc>
        <w:tc>
          <w:tcPr>
            <w:tcW w:type="dxa" w:w="2880"/>
            <w:tcBorders>
              <w:top w:val="single" w:color="D1D5DB" w:sz="1"/>
              <w:left w:val="single" w:color="D1D5DB" w:sz="1"/>
              <w:bottom w:val="single" w:color="D1D5DB" w:sz="1"/>
              <w:right w:val="single" w:color="D1D5DB" w:sz="1"/>
            </w:tcBorders>
            <w:shd w:fill="5B21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máximo</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1. Costo de reproducción</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USD $11,200</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USD $13,800</w:t>
            </w:r>
          </w:p>
        </w:tc>
      </w:tr>
      <w:tr>
        <w:trPr>
          <w:tblHeader w:val="false"/>
        </w:trP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2. Valor de mercado (comparables)</w:t>
            </w:r>
          </w:p>
        </w:tc>
        <w:tc>
          <w:tcPr>
            <w:tcW w:type="dxa" w:w="28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USD $18,000</w:t>
            </w:r>
          </w:p>
        </w:tc>
        <w:tc>
          <w:tcPr>
            <w:tcW w:type="dxa" w:w="28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USD $28,000</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3. Potencial SaaS (valor empresa @ 12x ARR, año 2)</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MXN $720,000</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MXN $2,400,000</w:t>
            </w:r>
          </w:p>
        </w:tc>
      </w:tr>
      <w:tr>
        <w:trPr>
          <w:tblHeader w:val="false"/>
        </w:trPr>
        <w:tc>
          <w:tcPr>
            <w:tcW w:type="dxa" w:w="3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RANGO DE VALUACIÓN RECOMENDADO (como activo listo para operar)</w:t>
            </w:r>
          </w:p>
        </w:tc>
        <w:tc>
          <w:tcPr>
            <w:tcW w:type="dxa" w:w="288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374151"/>
                <w:sz w:val="20"/>
                <w:szCs w:val="20"/>
              </w:rPr>
              <w:t xml:space="preserve">USD $18,000</w:t>
            </w:r>
          </w:p>
        </w:tc>
        <w:tc>
          <w:tcPr>
            <w:tcW w:type="dxa" w:w="288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374151"/>
                <w:sz w:val="20"/>
                <w:szCs w:val="20"/>
              </w:rPr>
              <w:t xml:space="preserve">USD $28,000</w:t>
            </w:r>
          </w:p>
        </w:tc>
      </w:tr>
    </w:tbl>
    <w:p>
      <w:pPr>
        <w:spacing w:after="80" w:before="0"/>
      </w:pPr>
      <w:r>
        <w:t xml:space="preserve"/>
      </w:r>
    </w:p>
    <w:p>
      <w:pPr>
        <w:spacing w:after="100" w:before="60"/>
        <w:jc w:val="both"/>
      </w:pPr>
      <w:r>
        <w:rPr>
          <w:rFonts w:ascii="Arial" w:cs="Arial" w:eastAsia="Arial" w:hAnsi="Arial"/>
          <w:color w:val="374151"/>
          <w:sz w:val="22"/>
          <w:szCs w:val="22"/>
        </w:rPr>
        <w:t xml:space="preserve">El rango recomendado para una transacción de compraventa, licenciamiento o evaluación de inversión del sistema en su estado actual es de USD $18,000 a $28,000 (MXN $360,000 a $560,000 al tipo de cambio vigente). Este valor asume el traspaso del código fuente completo, la documentación, las credenciales de despliegue y el conocimiento del dominio operativo.</w:t>
      </w:r>
    </w:p>
    <w:p>
      <w:pPr>
        <w:spacing w:after="100" w:before="60"/>
        <w:jc w:val="both"/>
      </w:pPr>
      <w:r>
        <w:rPr>
          <w:rFonts w:ascii="Arial" w:cs="Arial" w:eastAsia="Arial" w:hAnsi="Arial"/>
          <w:color w:val="374151"/>
          <w:sz w:val="22"/>
          <w:szCs w:val="22"/>
        </w:rPr>
        <w:t xml:space="preserve">Si se agrega la capa multi-tenant para convertirlo en SaaS con 20+ clientes activos, el valor de la empresa proyectado a 24 meses supera el millón de pesos mexicanos.</w:t>
      </w:r>
    </w:p>
    <w:p>
      <w:pPr>
        <w:spacing w:after="80" w:before="0"/>
      </w:pPr>
      <w:r>
        <w:t xml:space="preserve"/>
      </w:r>
    </w:p>
    <w:p>
      <w:pPr>
        <w:spacing w:after="80" w:before="0"/>
      </w:pPr>
      <w:r>
        <w:t xml:space="preserve"/>
      </w:r>
    </w:p>
    <w:p>
      <w:pPr>
        <w:pBdr>
          <w:bottom w:val="single" w:color="7C3AED" w:sz="4" w:space="1"/>
        </w:pBdr>
        <w:spacing w:after="120" w:before="120"/>
      </w:pPr>
      <w:r>
        <w:t xml:space="preserve"/>
      </w:r>
    </w:p>
    <w:p>
      <w:pPr>
        <w:spacing w:after="80" w:before="0"/>
      </w:pPr>
      <w:r>
        <w:t xml:space="preserve"/>
      </w:r>
    </w:p>
    <w:p>
      <w:pPr>
        <w:jc w:val="center"/>
      </w:pPr>
      <w:r>
        <w:rPr>
          <w:rFonts w:ascii="Arial" w:cs="Arial" w:eastAsia="Arial" w:hAnsi="Arial"/>
          <w:i/>
          <w:iCs/>
          <w:color w:val="6B7280"/>
          <w:sz w:val="18"/>
          <w:szCs w:val="18"/>
        </w:rPr>
        <w:t xml:space="preserve">Reporte preparado por Claude (Anthropic) • 30 de abril de 2026</w:t>
      </w:r>
    </w:p>
    <w:p>
      <w:pPr>
        <w:jc w:val="center"/>
      </w:pPr>
      <w:r>
        <w:rPr>
          <w:rFonts w:ascii="Arial" w:cs="Arial" w:eastAsia="Arial" w:hAnsi="Arial"/>
          <w:i/>
          <w:iCs/>
          <w:color w:val="6B7280"/>
          <w:sz w:val="18"/>
          <w:szCs w:val="18"/>
        </w:rPr>
        <w:t xml:space="preserve">Basado en análisis del código fuente, documentación y arquitectura del sistema party-house-system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right" w:pos="9026"/>
      </w:tabs>
      <w:spacing w:before="80"/>
    </w:pPr>
    <w:r>
      <w:rPr>
        <w:rFonts w:ascii="Arial" w:cs="Arial" w:eastAsia="Arial" w:hAnsi="Arial"/>
        <w:color w:val="6B7280"/>
        <w:sz w:val="16"/>
        <w:szCs w:val="16"/>
      </w:rPr>
      <w:t xml:space="preserve">Valuación de Negocio — Confidencial</w:t>
    </w:r>
    <w:r>
      <w:rPr>
        <w:rFonts w:ascii="Arial" w:cs="Arial" w:eastAsia="Arial" w:hAnsi="Arial"/>
        <w:color w:val="6B7280"/>
        <w:sz w:val="16"/>
        <w:szCs w:val="16"/>
      </w:rPr>
      <w:t xml:space="preserve">	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tabs>
        <w:tab w:val="right" w:pos="9026"/>
      </w:tabs>
    </w:pPr>
    <w:r>
      <w:rPr>
        <w:rFonts w:ascii="Arial" w:cs="Arial" w:eastAsia="Arial" w:hAnsi="Arial"/>
        <w:b/>
        <w:bCs/>
        <w:color w:val="7C3AED"/>
        <w:sz w:val="18"/>
        <w:szCs w:val="18"/>
      </w:rPr>
      <w:t xml:space="preserve">Party House — Sistema de Boletía</w:t>
    </w:r>
    <w:r>
      <w:rPr>
        <w:rFonts w:ascii="Arial" w:cs="Arial" w:eastAsia="Arial" w:hAnsi="Arial"/>
        <w:color w:val="6B7280"/>
        <w:sz w:val="18"/>
        <w:szCs w:val="18"/>
      </w:rPr>
      <w:t xml:space="preserve">	30 de abril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B21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2026-04-30T07:31:39.704Z</dcterms:created>
  <dcterms:modified xsi:type="dcterms:W3CDTF">2026-04-30T07:31:39.708Z</dcterms:modified>
</cp:coreProperties>
</file>

<file path=docProps/custom.xml><?xml version="1.0" encoding="utf-8"?>
<Properties xmlns="http://schemas.openxmlformats.org/officeDocument/2006/custom-properties" xmlns:vt="http://schemas.openxmlformats.org/officeDocument/2006/docPropsVTypes"/>
</file>