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D1AA" w14:textId="77777777" w:rsidR="00F751DC" w:rsidRPr="00F751DC" w:rsidRDefault="00F751DC" w:rsidP="00F751DC">
      <w:pPr>
        <w:rPr>
          <w:b/>
          <w:bCs/>
        </w:rPr>
      </w:pPr>
      <w:r w:rsidRPr="00F751DC">
        <w:rPr>
          <w:b/>
          <w:bCs/>
        </w:rPr>
        <w:t>English translation / summary</w:t>
      </w:r>
    </w:p>
    <w:p w14:paraId="426D2B78" w14:textId="77777777" w:rsidR="00F751DC" w:rsidRPr="00F751DC" w:rsidRDefault="00F751DC" w:rsidP="00F751DC">
      <w:pPr>
        <w:numPr>
          <w:ilvl w:val="0"/>
          <w:numId w:val="1"/>
        </w:numPr>
      </w:pP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am</w:t>
      </w:r>
      <w:proofErr w:type="spellEnd"/>
      <w:r w:rsidRPr="00F751DC">
        <w:t xml:space="preserve"> is the first chapter (</w:t>
      </w:r>
      <w:proofErr w:type="spellStart"/>
      <w:r w:rsidRPr="00F751DC">
        <w:t>praśna</w:t>
      </w:r>
      <w:proofErr w:type="spellEnd"/>
      <w:r w:rsidRPr="00F751DC">
        <w:t xml:space="preserve">) of the </w:t>
      </w:r>
      <w:proofErr w:type="spellStart"/>
      <w:r w:rsidRPr="00F751DC">
        <w:t>Taittirīya</w:t>
      </w:r>
      <w:proofErr w:type="spellEnd"/>
      <w:r w:rsidRPr="00F751DC">
        <w:t xml:space="preserve"> </w:t>
      </w:r>
      <w:proofErr w:type="spellStart"/>
      <w:r w:rsidRPr="00F751DC">
        <w:t>Āra</w:t>
      </w:r>
      <w:r w:rsidRPr="00F751DC">
        <w:rPr>
          <w:rFonts w:ascii="Calibri" w:hAnsi="Calibri" w:cs="Calibri"/>
        </w:rPr>
        <w:t>ṇ</w:t>
      </w:r>
      <w:r w:rsidRPr="00F751DC">
        <w:t>yaka</w:t>
      </w:r>
      <w:proofErr w:type="spellEnd"/>
      <w:r w:rsidRPr="00F751DC">
        <w:t>, a Vedic section intended to be chanted in a forest</w:t>
      </w:r>
      <w:r w:rsidRPr="00F751DC">
        <w:noBreakHyphen/>
        <w:t>like, secluded setting; in modern life this is interpreted as a quiet, isolated corner of one’s home used for focused recitation (</w:t>
      </w:r>
      <w:proofErr w:type="spellStart"/>
      <w:r w:rsidRPr="00F751DC">
        <w:t>adhyayanam</w:t>
      </w:r>
      <w:proofErr w:type="spellEnd"/>
      <w:r w:rsidRPr="00F751DC">
        <w:t>).</w:t>
      </w:r>
      <w:r w:rsidRPr="00F751DC">
        <w:rPr>
          <w:rFonts w:ascii="Arial" w:hAnsi="Arial" w:cs="Arial"/>
        </w:rPr>
        <w:t>​</w:t>
      </w:r>
    </w:p>
    <w:p w14:paraId="712963B9" w14:textId="77777777" w:rsidR="00F751DC" w:rsidRPr="00F751DC" w:rsidRDefault="00F751DC" w:rsidP="00F751DC">
      <w:pPr>
        <w:numPr>
          <w:ilvl w:val="0"/>
          <w:numId w:val="1"/>
        </w:numPr>
      </w:pPr>
      <w:r w:rsidRPr="00F751DC">
        <w:t>The name “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am</w:t>
      </w:r>
      <w:proofErr w:type="spellEnd"/>
      <w:r w:rsidRPr="00F751DC">
        <w:t xml:space="preserve">” is explained in two ways: (1) a </w:t>
      </w:r>
      <w:proofErr w:type="spellStart"/>
      <w:r w:rsidRPr="00F751DC">
        <w:t>pañcati</w:t>
      </w:r>
      <w:proofErr w:type="spellEnd"/>
      <w:r w:rsidRPr="00F751DC">
        <w:t xml:space="preserve"> states that the seers (</w:t>
      </w:r>
      <w:proofErr w:type="spellStart"/>
      <w:r w:rsidRPr="00F751DC">
        <w:rPr>
          <w:rFonts w:ascii="Calibri" w:hAnsi="Calibri" w:cs="Calibri"/>
        </w:rPr>
        <w:t>ṛ</w:t>
      </w:r>
      <w:r w:rsidRPr="00F751DC">
        <w:rPr>
          <w:rFonts w:ascii="Aptos" w:hAnsi="Aptos" w:cs="Aptos"/>
        </w:rPr>
        <w:t>ṣ</w:t>
      </w:r>
      <w:r w:rsidRPr="00F751DC">
        <w:t>is</w:t>
      </w:r>
      <w:proofErr w:type="spellEnd"/>
      <w:r w:rsidRPr="00F751DC">
        <w:t xml:space="preserve">) associated with these mantras are called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</w:t>
      </w:r>
      <w:proofErr w:type="spellEnd"/>
      <w:r w:rsidRPr="00F751DC">
        <w:t xml:space="preserve">, hence the collection is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am</w:t>
      </w:r>
      <w:proofErr w:type="spellEnd"/>
      <w:r w:rsidRPr="00F751DC">
        <w:t xml:space="preserve">; (2) it deals with the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</w:t>
      </w:r>
      <w:r w:rsidRPr="00F751DC">
        <w:noBreakHyphen/>
        <w:t>ketuka</w:t>
      </w:r>
      <w:proofErr w:type="spellEnd"/>
      <w:r w:rsidRPr="00F751DC">
        <w:t xml:space="preserve"> </w:t>
      </w:r>
      <w:proofErr w:type="spellStart"/>
      <w:r w:rsidRPr="00F751DC">
        <w:t>yajña</w:t>
      </w:r>
      <w:proofErr w:type="spellEnd"/>
      <w:r w:rsidRPr="00F751DC">
        <w:t>, thus acquiring the same name.</w:t>
      </w:r>
      <w:r w:rsidRPr="00F751DC">
        <w:rPr>
          <w:rFonts w:ascii="Arial" w:hAnsi="Arial" w:cs="Arial"/>
        </w:rPr>
        <w:t>​</w:t>
      </w:r>
    </w:p>
    <w:p w14:paraId="5BE394D6" w14:textId="77777777" w:rsidR="00F751DC" w:rsidRPr="00F751DC" w:rsidRDefault="00F751DC" w:rsidP="00F751DC">
      <w:pPr>
        <w:numPr>
          <w:ilvl w:val="0"/>
          <w:numId w:val="1"/>
        </w:numPr>
      </w:pP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am</w:t>
      </w:r>
      <w:proofErr w:type="spellEnd"/>
      <w:r w:rsidRPr="00F751DC">
        <w:t xml:space="preserve"> comprises 132 </w:t>
      </w:r>
      <w:proofErr w:type="spellStart"/>
      <w:r w:rsidRPr="00F751DC">
        <w:t>pañcatis</w:t>
      </w:r>
      <w:proofErr w:type="spellEnd"/>
      <w:r w:rsidRPr="00F751DC">
        <w:t>, each roughly 50 words; these units are pedagogical, used in traditional teaching (</w:t>
      </w:r>
      <w:proofErr w:type="spellStart"/>
      <w:r w:rsidRPr="00F751DC">
        <w:t>chandai</w:t>
      </w:r>
      <w:proofErr w:type="spellEnd"/>
      <w:r w:rsidRPr="00F751DC">
        <w:t xml:space="preserve"> and then personal practice called </w:t>
      </w:r>
      <w:proofErr w:type="spellStart"/>
      <w:r w:rsidRPr="00F751DC">
        <w:t>tiruvai</w:t>
      </w:r>
      <w:proofErr w:type="spellEnd"/>
      <w:r w:rsidRPr="00F751DC">
        <w:t>), and may not align with complete sentences but help memorization.</w:t>
      </w:r>
      <w:r w:rsidRPr="00F751DC">
        <w:rPr>
          <w:rFonts w:ascii="Arial" w:hAnsi="Arial" w:cs="Arial"/>
        </w:rPr>
        <w:t>​</w:t>
      </w:r>
    </w:p>
    <w:p w14:paraId="44D1AD7C" w14:textId="77777777" w:rsidR="00F751DC" w:rsidRPr="00F751DC" w:rsidRDefault="00F751DC" w:rsidP="00F751DC">
      <w:pPr>
        <w:numPr>
          <w:ilvl w:val="0"/>
          <w:numId w:val="1"/>
        </w:numPr>
      </w:pPr>
      <w:r w:rsidRPr="00F751DC">
        <w:t xml:space="preserve">The 132 </w:t>
      </w:r>
      <w:proofErr w:type="spellStart"/>
      <w:r w:rsidRPr="00F751DC">
        <w:t>pañcatis</w:t>
      </w:r>
      <w:proofErr w:type="spellEnd"/>
      <w:r w:rsidRPr="00F751DC">
        <w:t xml:space="preserve"> are grouped into 32 </w:t>
      </w:r>
      <w:proofErr w:type="spellStart"/>
      <w:r w:rsidRPr="00F751DC">
        <w:t>anuvākas</w:t>
      </w:r>
      <w:proofErr w:type="spellEnd"/>
      <w:r w:rsidRPr="00F751DC">
        <w:t xml:space="preserve">; after each </w:t>
      </w:r>
      <w:proofErr w:type="spellStart"/>
      <w:r w:rsidRPr="00F751DC">
        <w:t>anuvāka</w:t>
      </w:r>
      <w:proofErr w:type="spellEnd"/>
      <w:r w:rsidRPr="00F751DC">
        <w:t xml:space="preserve"> practitioners typically recite a short praise to </w:t>
      </w:r>
      <w:proofErr w:type="spellStart"/>
      <w:r w:rsidRPr="00F751DC">
        <w:t>Śrī</w:t>
      </w:r>
      <w:proofErr w:type="spellEnd"/>
      <w:r w:rsidRPr="00F751DC">
        <w:t xml:space="preserve"> </w:t>
      </w:r>
      <w:proofErr w:type="spellStart"/>
      <w:r w:rsidRPr="00F751DC">
        <w:t>Sūrya</w:t>
      </w:r>
      <w:proofErr w:type="spellEnd"/>
      <w:r w:rsidRPr="00F751DC">
        <w:t xml:space="preserve"> </w:t>
      </w:r>
      <w:proofErr w:type="spellStart"/>
      <w:r w:rsidRPr="00F751DC">
        <w:t>Nārāya</w:t>
      </w:r>
      <w:r w:rsidRPr="00F751DC">
        <w:rPr>
          <w:rFonts w:ascii="Calibri" w:hAnsi="Calibri" w:cs="Calibri"/>
        </w:rPr>
        <w:t>ṇ</w:t>
      </w:r>
      <w:r w:rsidRPr="00F751DC">
        <w:t>a</w:t>
      </w:r>
      <w:proofErr w:type="spellEnd"/>
      <w:r w:rsidRPr="00F751DC">
        <w:t xml:space="preserve"> along with “Om Namo </w:t>
      </w:r>
      <w:proofErr w:type="spellStart"/>
      <w:r w:rsidRPr="00F751DC">
        <w:t>Nārāya</w:t>
      </w:r>
      <w:r w:rsidRPr="00F751DC">
        <w:rPr>
          <w:rFonts w:ascii="Calibri" w:hAnsi="Calibri" w:cs="Calibri"/>
        </w:rPr>
        <w:t>ṇ</w:t>
      </w:r>
      <w:r w:rsidRPr="00F751DC">
        <w:t>āya</w:t>
      </w:r>
      <w:proofErr w:type="spellEnd"/>
      <w:r w:rsidRPr="00F751DC">
        <w:t xml:space="preserve">” and offer </w:t>
      </w:r>
      <w:proofErr w:type="spellStart"/>
      <w:r w:rsidRPr="00F751DC">
        <w:t>namaskāras</w:t>
      </w:r>
      <w:proofErr w:type="spellEnd"/>
      <w:r w:rsidRPr="00F751DC">
        <w:t xml:space="preserve">, with some traditions adding </w:t>
      </w:r>
      <w:proofErr w:type="spellStart"/>
      <w:r w:rsidRPr="00F751DC">
        <w:t>Sūrya</w:t>
      </w:r>
      <w:proofErr w:type="spellEnd"/>
      <w:r w:rsidRPr="00F751DC">
        <w:t xml:space="preserve"> Navagraha </w:t>
      </w:r>
      <w:proofErr w:type="spellStart"/>
      <w:r w:rsidRPr="00F751DC">
        <w:t>Sūktam</w:t>
      </w:r>
      <w:proofErr w:type="spellEnd"/>
      <w:r w:rsidRPr="00F751DC">
        <w:t xml:space="preserve"> or </w:t>
      </w:r>
      <w:proofErr w:type="spellStart"/>
      <w:r w:rsidRPr="00F751DC">
        <w:t>Āditya</w:t>
      </w:r>
      <w:proofErr w:type="spellEnd"/>
      <w:r w:rsidRPr="00F751DC">
        <w:t xml:space="preserve"> </w:t>
      </w:r>
      <w:proofErr w:type="spellStart"/>
      <w:r w:rsidRPr="00F751DC">
        <w:t>H</w:t>
      </w:r>
      <w:r w:rsidRPr="00F751DC">
        <w:rPr>
          <w:rFonts w:ascii="Calibri" w:hAnsi="Calibri" w:cs="Calibri"/>
        </w:rPr>
        <w:t>ṛ</w:t>
      </w:r>
      <w:r w:rsidRPr="00F751DC">
        <w:t>dayam</w:t>
      </w:r>
      <w:proofErr w:type="spellEnd"/>
      <w:r w:rsidRPr="00F751DC">
        <w:t xml:space="preserve"> at the end.</w:t>
      </w:r>
      <w:r w:rsidRPr="00F751DC">
        <w:rPr>
          <w:rFonts w:ascii="Arial" w:hAnsi="Arial" w:cs="Arial"/>
        </w:rPr>
        <w:t>​</w:t>
      </w:r>
    </w:p>
    <w:p w14:paraId="3AF93C6C" w14:textId="77777777" w:rsidR="00F751DC" w:rsidRPr="00F751DC" w:rsidRDefault="00F751DC" w:rsidP="00F751DC">
      <w:pPr>
        <w:numPr>
          <w:ilvl w:val="0"/>
          <w:numId w:val="1"/>
        </w:numPr>
      </w:pPr>
      <w:r w:rsidRPr="00F751DC">
        <w:t xml:space="preserve">The thematic structure of the 32 </w:t>
      </w:r>
      <w:proofErr w:type="spellStart"/>
      <w:r w:rsidRPr="00F751DC">
        <w:t>anuvākas</w:t>
      </w:r>
      <w:proofErr w:type="spellEnd"/>
      <w:r w:rsidRPr="00F751DC">
        <w:t xml:space="preserve"> is outlined:</w:t>
      </w:r>
    </w:p>
    <w:p w14:paraId="068FD4ED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>1–6: Sun as the embodiment of time (</w:t>
      </w:r>
      <w:proofErr w:type="spellStart"/>
      <w:r w:rsidRPr="00F751DC">
        <w:t>kāla</w:t>
      </w:r>
      <w:r w:rsidRPr="00F751DC">
        <w:noBreakHyphen/>
        <w:t>svarūpa</w:t>
      </w:r>
      <w:proofErr w:type="spellEnd"/>
      <w:r w:rsidRPr="00F751DC">
        <w:t>).</w:t>
      </w:r>
      <w:r w:rsidRPr="00F751DC">
        <w:rPr>
          <w:rFonts w:ascii="Arial" w:hAnsi="Arial" w:cs="Arial"/>
        </w:rPr>
        <w:t>​</w:t>
      </w:r>
    </w:p>
    <w:p w14:paraId="56E84BD5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7: Sun in </w:t>
      </w:r>
      <w:proofErr w:type="spellStart"/>
      <w:r w:rsidRPr="00F751DC">
        <w:t>Aṣ</w:t>
      </w:r>
      <w:r w:rsidRPr="00F751DC">
        <w:rPr>
          <w:rFonts w:ascii="Calibri" w:hAnsi="Calibri" w:cs="Calibri"/>
        </w:rPr>
        <w:t>ṭ</w:t>
      </w:r>
      <w:r w:rsidRPr="00F751DC">
        <w:t>amūrti</w:t>
      </w:r>
      <w:proofErr w:type="spellEnd"/>
      <w:r w:rsidRPr="00F751DC">
        <w:t xml:space="preserve"> form and description of </w:t>
      </w:r>
      <w:proofErr w:type="spellStart"/>
      <w:r w:rsidRPr="00F751DC">
        <w:t>Mahā</w:t>
      </w:r>
      <w:proofErr w:type="spellEnd"/>
      <w:r w:rsidRPr="00F751DC">
        <w:t xml:space="preserve"> Meru.</w:t>
      </w:r>
      <w:r w:rsidRPr="00F751DC">
        <w:rPr>
          <w:rFonts w:ascii="Arial" w:hAnsi="Arial" w:cs="Arial"/>
        </w:rPr>
        <w:t>​</w:t>
      </w:r>
    </w:p>
    <w:p w14:paraId="28B20C03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>8: Death and ways to avert it.</w:t>
      </w:r>
      <w:r w:rsidRPr="00F751DC">
        <w:rPr>
          <w:rFonts w:ascii="Arial" w:hAnsi="Arial" w:cs="Arial"/>
        </w:rPr>
        <w:t>​</w:t>
      </w:r>
    </w:p>
    <w:p w14:paraId="51839C91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9: </w:t>
      </w:r>
      <w:proofErr w:type="spellStart"/>
      <w:r w:rsidRPr="00F751DC">
        <w:t>Apam</w:t>
      </w:r>
      <w:r w:rsidRPr="00F751DC">
        <w:rPr>
          <w:rFonts w:ascii="Calibri" w:hAnsi="Calibri" w:cs="Calibri"/>
        </w:rPr>
        <w:t>ṛ</w:t>
      </w:r>
      <w:r w:rsidRPr="00F751DC">
        <w:t>tyu</w:t>
      </w:r>
      <w:proofErr w:type="spellEnd"/>
      <w:r w:rsidRPr="00F751DC">
        <w:t>, i.e., avoiding untimely death and attaining full lifespan.</w:t>
      </w:r>
      <w:r w:rsidRPr="00F751DC">
        <w:rPr>
          <w:rFonts w:ascii="Arial" w:hAnsi="Arial" w:cs="Arial"/>
        </w:rPr>
        <w:t>​</w:t>
      </w:r>
    </w:p>
    <w:p w14:paraId="411A3979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>10: Pairs of opposites (day–night, hot–cold) viewed as Śiva–</w:t>
      </w:r>
      <w:proofErr w:type="spellStart"/>
      <w:r w:rsidRPr="00F751DC">
        <w:t>Śakti</w:t>
      </w:r>
      <w:proofErr w:type="spellEnd"/>
      <w:r w:rsidRPr="00F751DC">
        <w:t xml:space="preserve"> divine couple.</w:t>
      </w:r>
      <w:r w:rsidRPr="00F751DC">
        <w:rPr>
          <w:rFonts w:ascii="Arial" w:hAnsi="Arial" w:cs="Arial"/>
        </w:rPr>
        <w:t>​</w:t>
      </w:r>
    </w:p>
    <w:p w14:paraId="261BA5C9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11: </w:t>
      </w:r>
      <w:proofErr w:type="spellStart"/>
      <w:r w:rsidRPr="00F751DC">
        <w:t>Gāyatrī</w:t>
      </w:r>
      <w:proofErr w:type="spellEnd"/>
      <w:r w:rsidRPr="00F751DC">
        <w:t xml:space="preserve"> and </w:t>
      </w:r>
      <w:proofErr w:type="spellStart"/>
      <w:r w:rsidRPr="00F751DC">
        <w:t>Śrī</w:t>
      </w:r>
      <w:r w:rsidRPr="00F751DC">
        <w:noBreakHyphen/>
        <w:t>Vidyā</w:t>
      </w:r>
      <w:proofErr w:type="spellEnd"/>
      <w:r w:rsidRPr="00F751DC">
        <w:t xml:space="preserve"> </w:t>
      </w:r>
      <w:proofErr w:type="spellStart"/>
      <w:r w:rsidRPr="00F751DC">
        <w:t>upāsanā</w:t>
      </w:r>
      <w:proofErr w:type="spellEnd"/>
      <w:r w:rsidRPr="00F751DC">
        <w:t>.</w:t>
      </w:r>
      <w:r w:rsidRPr="00F751DC">
        <w:rPr>
          <w:rFonts w:ascii="Arial" w:hAnsi="Arial" w:cs="Arial"/>
        </w:rPr>
        <w:t>​</w:t>
      </w:r>
    </w:p>
    <w:p w14:paraId="0DB3C6CC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>12–22: Various mantras, including Rudra</w:t>
      </w:r>
      <w:r w:rsidRPr="00F751DC">
        <w:noBreakHyphen/>
      </w:r>
      <w:proofErr w:type="spellStart"/>
      <w:r w:rsidRPr="00F751DC">
        <w:t>ga</w:t>
      </w:r>
      <w:r w:rsidRPr="00F751DC">
        <w:rPr>
          <w:rFonts w:ascii="Calibri" w:hAnsi="Calibri" w:cs="Calibri"/>
        </w:rPr>
        <w:t>ṇ</w:t>
      </w:r>
      <w:r w:rsidRPr="00F751DC">
        <w:t>as</w:t>
      </w:r>
      <w:proofErr w:type="spellEnd"/>
      <w:r w:rsidRPr="00F751DC">
        <w:t xml:space="preserve">, </w:t>
      </w:r>
      <w:proofErr w:type="spellStart"/>
      <w:r w:rsidRPr="00F751DC">
        <w:t>Bhūmadevī</w:t>
      </w:r>
      <w:proofErr w:type="spellEnd"/>
      <w:r w:rsidRPr="00F751DC">
        <w:t xml:space="preserve"> mantras, ending with Mantra</w:t>
      </w:r>
      <w:r w:rsidRPr="00F751DC">
        <w:noBreakHyphen/>
      </w:r>
      <w:proofErr w:type="spellStart"/>
      <w:r w:rsidRPr="00F751DC">
        <w:t>puṣpam</w:t>
      </w:r>
      <w:proofErr w:type="spellEnd"/>
      <w:r w:rsidRPr="00F751DC">
        <w:t>.</w:t>
      </w:r>
      <w:r w:rsidRPr="00F751DC">
        <w:rPr>
          <w:rFonts w:ascii="Arial" w:hAnsi="Arial" w:cs="Arial"/>
        </w:rPr>
        <w:t>​</w:t>
      </w:r>
    </w:p>
    <w:p w14:paraId="44DE2B1E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23–26: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</w:t>
      </w:r>
      <w:r w:rsidRPr="00F751DC">
        <w:noBreakHyphen/>
        <w:t>ketuka</w:t>
      </w:r>
      <w:proofErr w:type="spellEnd"/>
      <w:r w:rsidRPr="00F751DC">
        <w:t xml:space="preserve"> </w:t>
      </w:r>
      <w:proofErr w:type="spellStart"/>
      <w:r w:rsidRPr="00F751DC">
        <w:t>yajña</w:t>
      </w:r>
      <w:proofErr w:type="spellEnd"/>
      <w:r w:rsidRPr="00F751DC">
        <w:t xml:space="preserve"> and its brick</w:t>
      </w:r>
      <w:r w:rsidRPr="00F751DC">
        <w:noBreakHyphen/>
        <w:t>arrangement (</w:t>
      </w:r>
      <w:proofErr w:type="spellStart"/>
      <w:r w:rsidRPr="00F751DC">
        <w:t>chayana</w:t>
      </w:r>
      <w:proofErr w:type="spellEnd"/>
      <w:r w:rsidRPr="00F751DC">
        <w:t>).</w:t>
      </w:r>
      <w:r w:rsidRPr="00F751DC">
        <w:rPr>
          <w:rFonts w:ascii="Arial" w:hAnsi="Arial" w:cs="Arial"/>
        </w:rPr>
        <w:t>​</w:t>
      </w:r>
    </w:p>
    <w:p w14:paraId="1A2901C8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27–31: Means to </w:t>
      </w:r>
      <w:proofErr w:type="spellStart"/>
      <w:r w:rsidRPr="00F751DC">
        <w:t>mokṣa</w:t>
      </w:r>
      <w:proofErr w:type="spellEnd"/>
      <w:r w:rsidRPr="00F751DC">
        <w:t xml:space="preserve"> (</w:t>
      </w:r>
      <w:proofErr w:type="spellStart"/>
      <w:r w:rsidRPr="00F751DC">
        <w:t>mokṣa</w:t>
      </w:r>
      <w:r w:rsidRPr="00F751DC">
        <w:noBreakHyphen/>
        <w:t>sādhana</w:t>
      </w:r>
      <w:proofErr w:type="spellEnd"/>
      <w:r w:rsidRPr="00F751DC">
        <w:t xml:space="preserve">) and the </w:t>
      </w:r>
      <w:proofErr w:type="spellStart"/>
      <w:r w:rsidRPr="00F751DC">
        <w:t>Vaiśrava</w:t>
      </w:r>
      <w:r w:rsidRPr="00F751DC">
        <w:rPr>
          <w:rFonts w:ascii="Calibri" w:hAnsi="Calibri" w:cs="Calibri"/>
        </w:rPr>
        <w:t>ṇ</w:t>
      </w:r>
      <w:r w:rsidRPr="00F751DC">
        <w:t>a</w:t>
      </w:r>
      <w:proofErr w:type="spellEnd"/>
      <w:r w:rsidRPr="00F751DC">
        <w:t xml:space="preserve"> </w:t>
      </w:r>
      <w:proofErr w:type="spellStart"/>
      <w:r w:rsidRPr="00F751DC">
        <w:t>yajña</w:t>
      </w:r>
      <w:proofErr w:type="spellEnd"/>
      <w:r w:rsidRPr="00F751DC">
        <w:t>.</w:t>
      </w:r>
      <w:r w:rsidRPr="00F751DC">
        <w:rPr>
          <w:rFonts w:ascii="Arial" w:hAnsi="Arial" w:cs="Arial"/>
        </w:rPr>
        <w:t>​</w:t>
      </w:r>
    </w:p>
    <w:p w14:paraId="32360E01" w14:textId="77777777" w:rsidR="00F751DC" w:rsidRPr="00F751DC" w:rsidRDefault="00F751DC" w:rsidP="00F751DC">
      <w:pPr>
        <w:numPr>
          <w:ilvl w:val="1"/>
          <w:numId w:val="1"/>
        </w:numPr>
      </w:pPr>
      <w:r w:rsidRPr="00F751DC">
        <w:t xml:space="preserve">32: </w:t>
      </w:r>
      <w:proofErr w:type="spellStart"/>
      <w:r w:rsidRPr="00F751DC">
        <w:t>Sa</w:t>
      </w:r>
      <w:r w:rsidRPr="00F751DC">
        <w:rPr>
          <w:rFonts w:ascii="Calibri" w:hAnsi="Calibri" w:cs="Calibri"/>
        </w:rPr>
        <w:t>ṃ</w:t>
      </w:r>
      <w:r w:rsidRPr="00F751DC">
        <w:t>vatsara</w:t>
      </w:r>
      <w:r w:rsidRPr="00F751DC">
        <w:noBreakHyphen/>
        <w:t>vrata</w:t>
      </w:r>
      <w:proofErr w:type="spellEnd"/>
      <w:r w:rsidRPr="00F751DC">
        <w:t>, completing the section.</w:t>
      </w:r>
      <w:r w:rsidRPr="00F751DC">
        <w:rPr>
          <w:rFonts w:ascii="Arial" w:hAnsi="Arial" w:cs="Arial"/>
        </w:rPr>
        <w:t>​</w:t>
      </w:r>
    </w:p>
    <w:p w14:paraId="5EC4069E" w14:textId="77777777" w:rsidR="00F751DC" w:rsidRPr="00F751DC" w:rsidRDefault="00F751DC" w:rsidP="00F751DC">
      <w:pPr>
        <w:numPr>
          <w:ilvl w:val="0"/>
          <w:numId w:val="1"/>
        </w:numPr>
      </w:pPr>
      <w:r w:rsidRPr="00F751DC">
        <w:t xml:space="preserve">Each </w:t>
      </w:r>
      <w:proofErr w:type="spellStart"/>
      <w:r w:rsidRPr="00F751DC">
        <w:t>praśna</w:t>
      </w:r>
      <w:proofErr w:type="spellEnd"/>
      <w:r w:rsidRPr="00F751DC">
        <w:t xml:space="preserve"> in the </w:t>
      </w:r>
      <w:proofErr w:type="spellStart"/>
      <w:r w:rsidRPr="00F751DC">
        <w:t>Āra</w:t>
      </w:r>
      <w:r w:rsidRPr="00F751DC">
        <w:rPr>
          <w:rFonts w:ascii="Calibri" w:hAnsi="Calibri" w:cs="Calibri"/>
        </w:rPr>
        <w:t>ṇ</w:t>
      </w:r>
      <w:r w:rsidRPr="00F751DC">
        <w:t>yaka</w:t>
      </w:r>
      <w:proofErr w:type="spellEnd"/>
      <w:r w:rsidRPr="00F751DC">
        <w:t xml:space="preserve"> begins with a distinct </w:t>
      </w:r>
      <w:proofErr w:type="spellStart"/>
      <w:r w:rsidRPr="00F751DC">
        <w:t>śānti</w:t>
      </w:r>
      <w:proofErr w:type="spellEnd"/>
      <w:r w:rsidRPr="00F751DC">
        <w:t xml:space="preserve"> mantra; </w:t>
      </w:r>
      <w:proofErr w:type="spellStart"/>
      <w:r w:rsidRPr="00F751DC">
        <w:t>Taittirīya</w:t>
      </w:r>
      <w:proofErr w:type="spellEnd"/>
      <w:r w:rsidRPr="00F751DC">
        <w:t xml:space="preserve"> </w:t>
      </w:r>
      <w:proofErr w:type="spellStart"/>
      <w:r w:rsidRPr="00F751DC">
        <w:t>Upaniṣad</w:t>
      </w:r>
      <w:proofErr w:type="spellEnd"/>
      <w:r w:rsidRPr="00F751DC">
        <w:t xml:space="preserve"> (</w:t>
      </w:r>
      <w:proofErr w:type="spellStart"/>
      <w:r w:rsidRPr="00F751DC">
        <w:t>praśnas</w:t>
      </w:r>
      <w:proofErr w:type="spellEnd"/>
      <w:r w:rsidRPr="00F751DC">
        <w:t xml:space="preserve"> 7–9) starts with “Saha </w:t>
      </w:r>
      <w:proofErr w:type="spellStart"/>
      <w:r w:rsidRPr="00F751DC">
        <w:t>nāv</w:t>
      </w:r>
      <w:proofErr w:type="spellEnd"/>
      <w:r w:rsidRPr="00F751DC">
        <w:t xml:space="preserve"> </w:t>
      </w:r>
      <w:proofErr w:type="spellStart"/>
      <w:r w:rsidRPr="00F751DC">
        <w:t>avatu</w:t>
      </w:r>
      <w:proofErr w:type="spellEnd"/>
      <w:r w:rsidRPr="00F751DC">
        <w:t xml:space="preserve">,” whereas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am</w:t>
      </w:r>
      <w:proofErr w:type="spellEnd"/>
      <w:r w:rsidRPr="00F751DC">
        <w:t xml:space="preserve"> starts with the </w:t>
      </w:r>
      <w:r w:rsidRPr="00F751DC">
        <w:lastRenderedPageBreak/>
        <w:t>“</w:t>
      </w:r>
      <w:proofErr w:type="spellStart"/>
      <w:r w:rsidRPr="00F751DC">
        <w:t>Bhadra</w:t>
      </w:r>
      <w:r w:rsidRPr="00F751DC">
        <w:rPr>
          <w:rFonts w:ascii="Calibri" w:hAnsi="Calibri" w:cs="Calibri"/>
        </w:rPr>
        <w:t>ṃ</w:t>
      </w:r>
      <w:proofErr w:type="spellEnd"/>
      <w:r w:rsidRPr="00F751DC">
        <w:t xml:space="preserve"> </w:t>
      </w:r>
      <w:proofErr w:type="spellStart"/>
      <w:r w:rsidRPr="00F751DC">
        <w:t>Kar</w:t>
      </w:r>
      <w:r w:rsidRPr="00F751DC">
        <w:rPr>
          <w:rFonts w:ascii="Calibri" w:hAnsi="Calibri" w:cs="Calibri"/>
        </w:rPr>
        <w:t>ṇ</w:t>
      </w:r>
      <w:r w:rsidRPr="00F751DC">
        <w:t>ebhi</w:t>
      </w:r>
      <w:r w:rsidRPr="00F751DC">
        <w:rPr>
          <w:rFonts w:ascii="Calibri" w:hAnsi="Calibri" w:cs="Calibri"/>
        </w:rPr>
        <w:t>ḥ</w:t>
      </w:r>
      <w:proofErr w:type="spellEnd"/>
      <w:r w:rsidRPr="00F751DC">
        <w:t xml:space="preserve">” </w:t>
      </w:r>
      <w:proofErr w:type="spellStart"/>
      <w:r w:rsidRPr="00F751DC">
        <w:t>śānti</w:t>
      </w:r>
      <w:proofErr w:type="spellEnd"/>
      <w:r w:rsidRPr="00F751DC">
        <w:t xml:space="preserve"> mantra, which is also repeated again within the first </w:t>
      </w:r>
      <w:proofErr w:type="spellStart"/>
      <w:r w:rsidRPr="00F751DC">
        <w:t>pañcati</w:t>
      </w:r>
      <w:proofErr w:type="spellEnd"/>
      <w:r w:rsidRPr="00F751DC">
        <w:t xml:space="preserve"> for the specific </w:t>
      </w:r>
      <w:proofErr w:type="spellStart"/>
      <w:r w:rsidRPr="00F751DC">
        <w:t>Aru</w:t>
      </w:r>
      <w:r w:rsidRPr="00F751DC">
        <w:rPr>
          <w:rFonts w:ascii="Calibri" w:hAnsi="Calibri" w:cs="Calibri"/>
        </w:rPr>
        <w:t>ṇ</w:t>
      </w:r>
      <w:r w:rsidRPr="00F751DC">
        <w:t>a</w:t>
      </w:r>
      <w:r w:rsidRPr="00F751DC">
        <w:noBreakHyphen/>
        <w:t>ketuka</w:t>
      </w:r>
      <w:proofErr w:type="spellEnd"/>
      <w:r w:rsidRPr="00F751DC">
        <w:t xml:space="preserve"> ritual.</w:t>
      </w:r>
      <w:r w:rsidRPr="00F751DC">
        <w:rPr>
          <w:rFonts w:ascii="Arial" w:hAnsi="Arial" w:cs="Arial"/>
        </w:rPr>
        <w:t>​</w:t>
      </w:r>
    </w:p>
    <w:p w14:paraId="213EB577" w14:textId="77777777" w:rsidR="00F751DC" w:rsidRPr="00F751DC" w:rsidRDefault="00F751DC" w:rsidP="00F751DC">
      <w:pPr>
        <w:numPr>
          <w:ilvl w:val="0"/>
          <w:numId w:val="1"/>
        </w:numPr>
      </w:pPr>
      <w:r w:rsidRPr="00F751DC">
        <w:t xml:space="preserve">The </w:t>
      </w:r>
      <w:proofErr w:type="spellStart"/>
      <w:r w:rsidRPr="00F751DC">
        <w:t>śānti</w:t>
      </w:r>
      <w:proofErr w:type="spellEnd"/>
      <w:r w:rsidRPr="00F751DC">
        <w:t xml:space="preserve"> mantra is explained as a prayer for the removal of three classes of obstacles (</w:t>
      </w:r>
      <w:proofErr w:type="spellStart"/>
      <w:r w:rsidRPr="00F751DC">
        <w:t>tāpatraya</w:t>
      </w:r>
      <w:proofErr w:type="spellEnd"/>
      <w:r w:rsidRPr="00F751DC">
        <w:t xml:space="preserve">) during study and ritual: </w:t>
      </w:r>
      <w:proofErr w:type="spellStart"/>
      <w:r w:rsidRPr="00F751DC">
        <w:t>ādhyātmika</w:t>
      </w:r>
      <w:proofErr w:type="spellEnd"/>
      <w:r w:rsidRPr="00F751DC">
        <w:t xml:space="preserve"> (from oneself and close relations), </w:t>
      </w:r>
      <w:proofErr w:type="spellStart"/>
      <w:r w:rsidRPr="00F751DC">
        <w:t>ādhibhautika</w:t>
      </w:r>
      <w:proofErr w:type="spellEnd"/>
      <w:r w:rsidRPr="00F751DC">
        <w:t xml:space="preserve"> (from environment and beings), and </w:t>
      </w:r>
      <w:proofErr w:type="spellStart"/>
      <w:r w:rsidRPr="00F751DC">
        <w:t>ādhidaivika</w:t>
      </w:r>
      <w:proofErr w:type="spellEnd"/>
      <w:r w:rsidRPr="00F751DC">
        <w:t xml:space="preserve"> (from natural or divine forces like storms or earthquakes).</w:t>
      </w:r>
      <w:r w:rsidRPr="00F751DC">
        <w:rPr>
          <w:rFonts w:ascii="Arial" w:hAnsi="Arial" w:cs="Arial"/>
        </w:rPr>
        <w:t>​</w:t>
      </w:r>
    </w:p>
    <w:p w14:paraId="0C09B844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70E8"/>
    <w:multiLevelType w:val="multilevel"/>
    <w:tmpl w:val="7AE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469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DC"/>
    <w:rsid w:val="00177168"/>
    <w:rsid w:val="00811654"/>
    <w:rsid w:val="00B87A88"/>
    <w:rsid w:val="00C04692"/>
    <w:rsid w:val="00F7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3D7B"/>
  <w15:chartTrackingRefBased/>
  <w15:docId w15:val="{10FB4721-ECB1-489B-9CB1-ADC5C24C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2026-01-18T01:03:00Z</dcterms:created>
  <dcterms:modified xsi:type="dcterms:W3CDTF">2026-01-18T01:04:00Z</dcterms:modified>
</cp:coreProperties>
</file>