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ase-summary-chicken-pox-varicella"/>
    <w:p>
      <w:pPr>
        <w:pStyle w:val="Heading1"/>
      </w:pPr>
      <w:r>
        <w:t xml:space="preserve">Case Summary: Chicken Pox (Varicella)</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2"/>
    <w:bookmarkStart w:id="23"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3"/>
    <w:bookmarkStart w:id="24"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4"/>
    <w:bookmarkEnd w:id="25"/>
    <w:bookmarkStart w:id="30"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6"/>
    <w:bookmarkStart w:id="27" w:name="physical-examination"/>
    <w:p>
      <w:pPr>
        <w:pStyle w:val="Heading3"/>
      </w:pPr>
      <w:r>
        <w:t xml:space="preserve">Physical Examination</w:t>
      </w:r>
    </w:p>
    <w:p>
      <w:pPr>
        <w:pStyle w:val="Compact"/>
        <w:numPr>
          <w:ilvl w:val="0"/>
          <w:numId w:val="1002"/>
        </w:numPr>
      </w:pPr>
      <w:r>
        <w:t xml:space="preserve">Clusters of vesicular lesions in various stages of development and healing, some of which have become pustular and crusted over</w:t>
      </w:r>
    </w:p>
    <w:p>
      <w:pPr>
        <w:pStyle w:val="Compact"/>
        <w:numPr>
          <w:ilvl w:val="0"/>
          <w:numId w:val="1002"/>
        </w:numPr>
      </w:pPr>
      <w:r>
        <w:t xml:space="preserve">Generalized itching and discomfort</w:t>
      </w:r>
    </w:p>
    <w:bookmarkEnd w:id="27"/>
    <w:bookmarkStart w:id="28" w:name="laboratory-and-diagnostic-tests"/>
    <w:p>
      <w:pPr>
        <w:pStyle w:val="Heading3"/>
      </w:pPr>
      <w:r>
        <w:t xml:space="preserve">Laboratory and Diagnostic Tests</w:t>
      </w:r>
    </w:p>
    <w:p>
      <w:pPr>
        <w:pStyle w:val="Compact"/>
        <w:numPr>
          <w:ilvl w:val="0"/>
          <w:numId w:val="1003"/>
        </w:numPr>
      </w:pPr>
      <w:r>
        <w:t xml:space="preserve">Clinical diagnosis based on the characteristic appearance of the rash</w:t>
      </w:r>
    </w:p>
    <w:p>
      <w:pPr>
        <w:pStyle w:val="Compact"/>
        <w:numPr>
          <w:ilvl w:val="0"/>
          <w:numId w:val="1003"/>
        </w:numPr>
      </w:pPr>
      <w:r>
        <w:t xml:space="preserve">If necessary, direct fluorescent antibody staining of vesicular fluid or polymerase chain reaction (PCR) of lesion samples can confirm VZV infection</w:t>
      </w:r>
    </w:p>
    <w:bookmarkEnd w:id="28"/>
    <w:bookmarkStart w:id="29" w:name="treatment-and-management"/>
    <w:p>
      <w:pPr>
        <w:pStyle w:val="Heading3"/>
      </w:pPr>
      <w:r>
        <w:t xml:space="preserve">Treatment and Management</w:t>
      </w:r>
    </w:p>
    <w:p>
      <w:pPr>
        <w:pStyle w:val="Compact"/>
        <w:numPr>
          <w:ilvl w:val="0"/>
          <w:numId w:val="1004"/>
        </w:numPr>
      </w:pPr>
      <w:r>
        <w:t xml:space="preserve">Isolation to prevent the spread of the virus</w:t>
      </w:r>
    </w:p>
    <w:p>
      <w:pPr>
        <w:pStyle w:val="Compact"/>
        <w:numPr>
          <w:ilvl w:val="0"/>
          <w:numId w:val="1004"/>
        </w:numPr>
      </w:pPr>
      <w:r>
        <w:t xml:space="preserve">Antihistamines for itching</w:t>
      </w:r>
    </w:p>
    <w:p>
      <w:pPr>
        <w:pStyle w:val="Compact"/>
        <w:numPr>
          <w:ilvl w:val="0"/>
          <w:numId w:val="1004"/>
        </w:numPr>
      </w:pPr>
      <w:r>
        <w:t xml:space="preserve">Acetaminophen for fever (avoid aspirin due to the risk of Reye’s syndrome)</w:t>
      </w:r>
    </w:p>
    <w:p>
      <w:pPr>
        <w:pStyle w:val="Compact"/>
        <w:numPr>
          <w:ilvl w:val="0"/>
          <w:numId w:val="1004"/>
        </w:numPr>
      </w:pPr>
      <w:r>
        <w:t xml:space="preserve">Calamine lotion and oatmeal baths for symptom relief</w:t>
      </w:r>
    </w:p>
    <w:p>
      <w:pPr>
        <w:pStyle w:val="Compact"/>
        <w:numPr>
          <w:ilvl w:val="0"/>
          <w:numId w:val="1004"/>
        </w:numPr>
      </w:pPr>
      <w:r>
        <w:t xml:space="preserve">In severe cases or for high-risk groups, antiviral medications such as acyclovir may be administered</w:t>
      </w:r>
    </w:p>
    <w:bookmarkEnd w:id="29"/>
    <w:bookmarkEnd w:id="30"/>
    <w:bookmarkStart w:id="31"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31"/>
    <w:bookmarkStart w:id="32" w:name="learning-objectives"/>
    <w:p>
      <w:pPr>
        <w:pStyle w:val="Heading2"/>
      </w:pPr>
      <w:r>
        <w:t xml:space="preserve">Learning Objectives</w:t>
      </w:r>
    </w:p>
    <w:p>
      <w:pPr>
        <w:pStyle w:val="Compact"/>
        <w:numPr>
          <w:ilvl w:val="0"/>
          <w:numId w:val="1005"/>
        </w:numPr>
      </w:pPr>
      <w:r>
        <w:rPr>
          <w:b/>
          <w:bCs/>
        </w:rPr>
        <w:t xml:space="preserve">Understand the Clinical Presentation and Diagnosis of Chicken Pox:</w:t>
      </w:r>
    </w:p>
    <w:p>
      <w:pPr>
        <w:pStyle w:val="Compact"/>
        <w:numPr>
          <w:ilvl w:val="1"/>
          <w:numId w:val="1006"/>
        </w:numPr>
      </w:pPr>
      <w:r>
        <w:t xml:space="preserve">Recognize the classic symptoms and rash development stages.</w:t>
      </w:r>
    </w:p>
    <w:p>
      <w:pPr>
        <w:pStyle w:val="Compact"/>
        <w:numPr>
          <w:ilvl w:val="1"/>
          <w:numId w:val="1006"/>
        </w:numPr>
      </w:pPr>
      <w:r>
        <w:t xml:space="preserve">Identify appropriate diagnostic techniques for confirmation when needed.</w:t>
      </w:r>
    </w:p>
    <w:p>
      <w:pPr>
        <w:pStyle w:val="Compact"/>
        <w:numPr>
          <w:ilvl w:val="0"/>
          <w:numId w:val="1005"/>
        </w:numPr>
      </w:pPr>
      <w:r>
        <w:rPr>
          <w:b/>
          <w:bCs/>
        </w:rPr>
        <w:t xml:space="preserve">Assess the Importance of Vaccination:</w:t>
      </w:r>
    </w:p>
    <w:p>
      <w:pPr>
        <w:pStyle w:val="Compact"/>
        <w:numPr>
          <w:ilvl w:val="1"/>
          <w:numId w:val="1007"/>
        </w:numPr>
      </w:pPr>
      <w:r>
        <w:t xml:space="preserve">Understand the role of the varicella vaccine in preventing chickenpox.</w:t>
      </w:r>
    </w:p>
    <w:p>
      <w:pPr>
        <w:pStyle w:val="Compact"/>
        <w:numPr>
          <w:ilvl w:val="1"/>
          <w:numId w:val="1007"/>
        </w:numPr>
      </w:pPr>
      <w:r>
        <w:t xml:space="preserve">Discuss strategies for improving vaccine uptake.</w:t>
      </w:r>
    </w:p>
    <w:p>
      <w:pPr>
        <w:pStyle w:val="Compact"/>
        <w:numPr>
          <w:ilvl w:val="0"/>
          <w:numId w:val="1005"/>
        </w:numPr>
      </w:pPr>
      <w:r>
        <w:rPr>
          <w:b/>
          <w:bCs/>
        </w:rPr>
        <w:t xml:space="preserve">Implement Outbreak Management Protocols:</w:t>
      </w:r>
    </w:p>
    <w:p>
      <w:pPr>
        <w:pStyle w:val="Compact"/>
        <w:numPr>
          <w:ilvl w:val="1"/>
          <w:numId w:val="1008"/>
        </w:numPr>
      </w:pPr>
      <w:r>
        <w:t xml:space="preserve">Apply isolation protocols and reinforce hygiene practices.</w:t>
      </w:r>
    </w:p>
    <w:p>
      <w:pPr>
        <w:pStyle w:val="Compact"/>
        <w:numPr>
          <w:ilvl w:val="1"/>
          <w:numId w:val="1008"/>
        </w:numPr>
      </w:pPr>
      <w:r>
        <w:t xml:space="preserve">Conduct contact tracing and provide post-exposure prophylaxis where applicable.</w:t>
      </w:r>
    </w:p>
    <w:p>
      <w:pPr>
        <w:pStyle w:val="Compact"/>
        <w:numPr>
          <w:ilvl w:val="0"/>
          <w:numId w:val="1005"/>
        </w:numPr>
      </w:pPr>
      <w:r>
        <w:rPr>
          <w:b/>
          <w:bCs/>
        </w:rPr>
        <w:t xml:space="preserve">Public Health Education and Advocacy:</w:t>
      </w:r>
    </w:p>
    <w:p>
      <w:pPr>
        <w:pStyle w:val="Compact"/>
        <w:numPr>
          <w:ilvl w:val="1"/>
          <w:numId w:val="1009"/>
        </w:numPr>
      </w:pPr>
      <w:r>
        <w:t xml:space="preserve">Educate the community on chickenpox symptoms, transmission, and prevention.</w:t>
      </w:r>
    </w:p>
    <w:p>
      <w:pPr>
        <w:pStyle w:val="Compact"/>
        <w:numPr>
          <w:ilvl w:val="1"/>
          <w:numId w:val="1009"/>
        </w:numPr>
      </w:pPr>
      <w:r>
        <w:t xml:space="preserve">Advocate for vaccination and inform about the risks of vaccine hesitancy.</w:t>
      </w:r>
    </w:p>
    <w:bookmarkEnd w:id="32"/>
    <w:bookmarkStart w:id="35" w:name="actions-and-outcomes"/>
    <w:p>
      <w:pPr>
        <w:pStyle w:val="Heading2"/>
      </w:pPr>
      <w:r>
        <w:t xml:space="preserve">Actions and Outcomes</w:t>
      </w:r>
    </w:p>
    <w:bookmarkStart w:id="33" w:name="actions-taken"/>
    <w:p>
      <w:pPr>
        <w:pStyle w:val="Heading3"/>
      </w:pPr>
      <w:r>
        <w:t xml:space="preserve">Actions Taken</w:t>
      </w:r>
    </w:p>
    <w:p>
      <w:pPr>
        <w:pStyle w:val="Compact"/>
        <w:numPr>
          <w:ilvl w:val="0"/>
          <w:numId w:val="1010"/>
        </w:numPr>
      </w:pPr>
      <w:r>
        <w:rPr>
          <w:b/>
          <w:bCs/>
        </w:rPr>
        <w:t xml:space="preserve">Isolation and Infection Control:</w:t>
      </w:r>
    </w:p>
    <w:p>
      <w:pPr>
        <w:pStyle w:val="Compact"/>
        <w:numPr>
          <w:ilvl w:val="1"/>
          <w:numId w:val="1011"/>
        </w:numPr>
      </w:pPr>
      <w:r>
        <w:t xml:space="preserve">Kevin and the subsequent cases were isolated until the lesions crusted over to prevent further spread.</w:t>
      </w:r>
    </w:p>
    <w:p>
      <w:pPr>
        <w:pStyle w:val="Compact"/>
        <w:numPr>
          <w:ilvl w:val="1"/>
          <w:numId w:val="1011"/>
        </w:numPr>
      </w:pPr>
      <w:r>
        <w:t xml:space="preserve">Enhanced hygiene practices, including hand hygiene and surface disinfection, were implemented at the school.</w:t>
      </w:r>
    </w:p>
    <w:p>
      <w:pPr>
        <w:pStyle w:val="Compact"/>
        <w:numPr>
          <w:ilvl w:val="0"/>
          <w:numId w:val="1010"/>
        </w:numPr>
      </w:pPr>
      <w:r>
        <w:rPr>
          <w:b/>
          <w:bCs/>
        </w:rPr>
        <w:t xml:space="preserve">Vaccination Campaign and Education:</w:t>
      </w:r>
    </w:p>
    <w:p>
      <w:pPr>
        <w:pStyle w:val="Compact"/>
        <w:numPr>
          <w:ilvl w:val="1"/>
          <w:numId w:val="1012"/>
        </w:numPr>
      </w:pPr>
      <w:r>
        <w:t xml:space="preserve">A catch-up vaccination campaign for varicella was organized at the school.</w:t>
      </w:r>
    </w:p>
    <w:p>
      <w:pPr>
        <w:pStyle w:val="Compact"/>
        <w:numPr>
          <w:ilvl w:val="1"/>
          <w:numId w:val="1012"/>
        </w:numPr>
      </w:pPr>
      <w:r>
        <w:t xml:space="preserve">Educational sessions for parents and school staff highlighted the importance of the varicella vaccine and addressed vaccine-related concerns.</w:t>
      </w:r>
    </w:p>
    <w:bookmarkEnd w:id="33"/>
    <w:bookmarkStart w:id="34" w:name="outcomes"/>
    <w:p>
      <w:pPr>
        <w:pStyle w:val="Heading3"/>
      </w:pPr>
      <w:r>
        <w:t xml:space="preserve">Outcomes</w:t>
      </w:r>
    </w:p>
    <w:p>
      <w:pPr>
        <w:pStyle w:val="Compact"/>
        <w:numPr>
          <w:ilvl w:val="0"/>
          <w:numId w:val="1013"/>
        </w:numPr>
      </w:pPr>
      <w:r>
        <w:t xml:space="preserve">The spread of chickenpox was contained, with no new cases reported after the control measures were put into place.</w:t>
      </w:r>
    </w:p>
    <w:p>
      <w:pPr>
        <w:pStyle w:val="Compact"/>
        <w:numPr>
          <w:ilvl w:val="0"/>
          <w:numId w:val="1013"/>
        </w:numPr>
      </w:pPr>
      <w:r>
        <w:t xml:space="preserve">A noticeable increase in varicella vaccination coverage at Kevin’s school and the surrounding community.</w:t>
      </w:r>
    </w:p>
    <w:p>
      <w:pPr>
        <w:pStyle w:val="Compact"/>
        <w:numPr>
          <w:ilvl w:val="0"/>
          <w:numId w:val="1013"/>
        </w:numPr>
      </w:pPr>
      <w:r>
        <w:t xml:space="preserve">Improved awareness about chickenpox transmission and prevention among parents, children, and school staff.</w:t>
      </w:r>
    </w:p>
    <w:bookmarkEnd w:id="34"/>
    <w:bookmarkEnd w:id="35"/>
    <w:bookmarkStart w:id="36"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6"/>
    <w:bookmarkStart w:id="37" w:name="discussion-questions"/>
    <w:p>
      <w:pPr>
        <w:pStyle w:val="Heading2"/>
      </w:pPr>
      <w:r>
        <w:t xml:space="preserve">Discussion Questions</w:t>
      </w:r>
    </w:p>
    <w:p>
      <w:pPr>
        <w:pStyle w:val="Compact"/>
        <w:numPr>
          <w:ilvl w:val="0"/>
          <w:numId w:val="1014"/>
        </w:numPr>
      </w:pPr>
      <w:r>
        <w:rPr>
          <w:b/>
          <w:bCs/>
        </w:rPr>
        <w:t xml:space="preserve">Clinical and Diagnostic:</w:t>
      </w:r>
    </w:p>
    <w:p>
      <w:pPr>
        <w:pStyle w:val="Compact"/>
        <w:numPr>
          <w:ilvl w:val="1"/>
          <w:numId w:val="1015"/>
        </w:numPr>
      </w:pPr>
      <w:r>
        <w:t xml:space="preserve">What are the key clinical features that should raise suspicion for chickenpox in a pediatric patient?</w:t>
      </w:r>
    </w:p>
    <w:p>
      <w:pPr>
        <w:pStyle w:val="Compact"/>
        <w:numPr>
          <w:ilvl w:val="1"/>
          <w:numId w:val="1015"/>
        </w:numPr>
      </w:pPr>
      <w:r>
        <w:t xml:space="preserve">When should laboratory tests be employed to confirm a diagnosis of chickenpox?</w:t>
      </w:r>
    </w:p>
    <w:p>
      <w:pPr>
        <w:pStyle w:val="Compact"/>
        <w:numPr>
          <w:ilvl w:val="0"/>
          <w:numId w:val="1014"/>
        </w:numPr>
      </w:pPr>
      <w:r>
        <w:rPr>
          <w:b/>
          <w:bCs/>
        </w:rPr>
        <w:t xml:space="preserve">Vaccination Strategies:</w:t>
      </w:r>
    </w:p>
    <w:p>
      <w:pPr>
        <w:pStyle w:val="Compact"/>
        <w:numPr>
          <w:ilvl w:val="1"/>
          <w:numId w:val="1016"/>
        </w:numPr>
      </w:pPr>
      <w:r>
        <w:t xml:space="preserve">What are the most effective strategies to address vaccine hesitancy among parents?</w:t>
      </w:r>
    </w:p>
    <w:p>
      <w:pPr>
        <w:pStyle w:val="Compact"/>
        <w:numPr>
          <w:ilvl w:val="1"/>
          <w:numId w:val="1016"/>
        </w:numPr>
      </w:pPr>
      <w:r>
        <w:t xml:space="preserve">How can school-based vaccination programs contribute to higher overall vaccination rates?</w:t>
      </w:r>
    </w:p>
    <w:p>
      <w:pPr>
        <w:pStyle w:val="Compact"/>
        <w:numPr>
          <w:ilvl w:val="0"/>
          <w:numId w:val="1014"/>
        </w:numPr>
      </w:pPr>
      <w:r>
        <w:rPr>
          <w:b/>
          <w:bCs/>
        </w:rPr>
        <w:t xml:space="preserve">Outbreak Management:</w:t>
      </w:r>
    </w:p>
    <w:p>
      <w:pPr>
        <w:pStyle w:val="Compact"/>
        <w:numPr>
          <w:ilvl w:val="1"/>
          <w:numId w:val="1017"/>
        </w:numPr>
      </w:pPr>
      <w:r>
        <w:t xml:space="preserve">What are the critical steps in managing a chickenpox outbreak in a school setting?</w:t>
      </w:r>
    </w:p>
    <w:p>
      <w:pPr>
        <w:pStyle w:val="Compact"/>
        <w:numPr>
          <w:ilvl w:val="1"/>
          <w:numId w:val="1017"/>
        </w:numPr>
      </w:pPr>
      <w:r>
        <w:t xml:space="preserve">How can schools, healthcare providers, and public health authorities collaborate effectively during an outbreak?</w:t>
      </w:r>
    </w:p>
    <w:p>
      <w:pPr>
        <w:pStyle w:val="Compact"/>
        <w:numPr>
          <w:ilvl w:val="0"/>
          <w:numId w:val="1014"/>
        </w:numPr>
      </w:pPr>
      <w:r>
        <w:rPr>
          <w:b/>
          <w:bCs/>
        </w:rPr>
        <w:t xml:space="preserve">Public Health Education:</w:t>
      </w:r>
    </w:p>
    <w:p>
      <w:pPr>
        <w:pStyle w:val="Compact"/>
        <w:numPr>
          <w:ilvl w:val="1"/>
          <w:numId w:val="1018"/>
        </w:numPr>
      </w:pPr>
      <w:r>
        <w:t xml:space="preserve">What methods can be used to educate communities about the importance of the varicella vaccine?</w:t>
      </w:r>
    </w:p>
    <w:p>
      <w:pPr>
        <w:pStyle w:val="Compact"/>
        <w:numPr>
          <w:ilvl w:val="1"/>
          <w:numId w:val="1018"/>
        </w:numPr>
      </w:pPr>
      <w:r>
        <w:t xml:space="preserve">How can public health nurses advocate for higher vaccination rates and dispel myths about vaccines?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_rels/footnotes.xml.rels><?xml version="1.0" encoding="UTF-8"?><Relationships xmlns="http://schemas.openxmlformats.org/package/2006/relationships"><Relationship Type="http://schemas.openxmlformats.org/officeDocument/2006/relationships/hyperlink" Id="rId21" Target="chickenpox.docx" TargetMode="External" /><Relationship Type="http://schemas.openxmlformats.org/officeDocument/2006/relationships/hyperlink" Id="rId20" Target="chickenpo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2024-06-12T19:16:03Z</dcterms:created>
  <dcterms:modified xsi:type="dcterms:W3CDTF">2024-06-12T19:16:03Z</dcterms:modified>
</cp:coreProperties>
</file>

<file path=docProps/custom.xml><?xml version="1.0" encoding="utf-8"?>
<Properties xmlns="http://schemas.openxmlformats.org/officeDocument/2006/custom-properties" xmlns:vt="http://schemas.openxmlformats.org/officeDocument/2006/docPropsVTypes"/>
</file>