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lyme-case-summary"/>
    <w:p>
      <w:pPr>
        <w:pStyle w:val="Heading1"/>
      </w:pPr>
      <w:r>
        <w:t xml:space="preserve">Lyme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r>
        <w:t xml:space="preserve"> </w:t>
      </w:r>
      <w:r>
        <w:t xml:space="preserve">Lyme disease is an infectious illness caused by the bacterium</w:t>
      </w:r>
      <w:r>
        <w:t xml:space="preserve"> </w:t>
      </w:r>
      <w:r>
        <w:rPr>
          <w:i/>
          <w:iCs/>
        </w:rPr>
        <w:t xml:space="preserve">Borrelia burgdorferi</w:t>
      </w:r>
      <w:r>
        <w:t xml:space="preserve">. It is primarily transmitted to humans through the bite of infected black-legged ticks, commonly known as deer ticks (</w:t>
      </w:r>
      <w:r>
        <w:rPr>
          <w:i/>
          <w:iCs/>
        </w:rPr>
        <w:t xml:space="preserve">Ixodes scapularis</w:t>
      </w:r>
      <w:r>
        <w:t xml:space="preserve">).</w:t>
      </w:r>
    </w:p>
    <w:p>
      <w:pPr>
        <w:pStyle w:val="BodyText"/>
      </w:pPr>
      <w:r>
        <w:rPr>
          <w:b/>
          <w:bCs/>
        </w:rPr>
        <w:t xml:space="preserve">Epidemiology</w:t>
      </w:r>
      <w:r>
        <w:t xml:space="preserve"> </w:t>
      </w:r>
      <w:r>
        <w:t xml:space="preserve">Lyme disease is most prevalent in the northeastern, mid-Atlantic, and north-central United States. Areas with dense forests and high deer populations are hotbeds for Lyme disease transmission. The incidence has been increasing over the years, with tens of thousands of cases reported annually in the United States.</w:t>
      </w:r>
    </w:p>
    <w:p>
      <w:pPr>
        <w:pStyle w:val="BodyText"/>
      </w:pPr>
      <w:r>
        <w:rPr>
          <w:b/>
          <w:bCs/>
        </w:rPr>
        <w:t xml:space="preserve">Transmission</w:t>
      </w:r>
      <w:r>
        <w:t xml:space="preserve"> </w:t>
      </w:r>
      <w:r>
        <w:t xml:space="preserve">The primary mode of transmission is through the bite of an infected black-legged tick. Ticks attach to the skin and must remain attached for 36 to 48 hours to effectively transmit</w:t>
      </w:r>
      <w:r>
        <w:t xml:space="preserve"> </w:t>
      </w:r>
      <w:r>
        <w:rPr>
          <w:i/>
          <w:iCs/>
        </w:rPr>
        <w:t xml:space="preserve">Borrelia burgdorferi</w:t>
      </w:r>
      <w:r>
        <w:t xml:space="preserve">. Ticks are most active during the warmer months when people are more likely to be outside.</w:t>
      </w:r>
    </w:p>
    <w:bookmarkEnd w:id="22"/>
    <w:bookmarkStart w:id="24" w:name="case-details"/>
    <w:p>
      <w:pPr>
        <w:pStyle w:val="Heading2"/>
      </w:pPr>
      <w:r>
        <w:t xml:space="preserve">Case Details</w:t>
      </w:r>
    </w:p>
    <w:p>
      <w:pPr>
        <w:pStyle w:val="FirstParagraph"/>
      </w:pPr>
      <w:r>
        <w:rPr>
          <w:b/>
          <w:bCs/>
        </w:rPr>
        <w:t xml:space="preserve">Demographics</w:t>
      </w:r>
    </w:p>
    <w:p>
      <w:pPr>
        <w:numPr>
          <w:ilvl w:val="0"/>
          <w:numId w:val="1002"/>
        </w:numPr>
      </w:pPr>
      <w:r>
        <w:rPr>
          <w:b/>
          <w:bCs/>
        </w:rPr>
        <w:t xml:space="preserve">Age:</w:t>
      </w:r>
      <w:r>
        <w:t xml:space="preserve"> </w:t>
      </w:r>
      <w:r>
        <w:t xml:space="preserve">Can affect individuals of all ages</w:t>
      </w:r>
    </w:p>
    <w:p>
      <w:pPr>
        <w:numPr>
          <w:ilvl w:val="0"/>
          <w:numId w:val="1002"/>
        </w:numPr>
      </w:pPr>
      <w:r>
        <w:rPr>
          <w:b/>
          <w:bCs/>
        </w:rPr>
        <w:t xml:space="preserve">Gender:</w:t>
      </w:r>
      <w:r>
        <w:t xml:space="preserve"> </w:t>
      </w:r>
      <w:r>
        <w:t xml:space="preserve">Both males and females, though slightly more common in males</w:t>
      </w:r>
    </w:p>
    <w:p>
      <w:pPr>
        <w:numPr>
          <w:ilvl w:val="0"/>
          <w:numId w:val="1002"/>
        </w:numPr>
      </w:pPr>
      <w:r>
        <w:rPr>
          <w:b/>
          <w:bCs/>
        </w:rPr>
        <w:t xml:space="preserve">Location:</w:t>
      </w:r>
      <w:r>
        <w:t xml:space="preserve"> </w:t>
      </w:r>
      <w:r>
        <w:t xml:space="preserve">Particularly prevalent in rural and suburban areas with high incidence of tick populations.</w:t>
      </w:r>
    </w:p>
    <w:p>
      <w:pPr>
        <w:pStyle w:val="FirstParagraph"/>
      </w:pPr>
      <w:r>
        <w:rPr>
          <w:b/>
          <w:bCs/>
        </w:rPr>
        <w:t xml:space="preserve">Symptoms</w:t>
      </w:r>
    </w:p>
    <w:p>
      <w:pPr>
        <w:pStyle w:val="BodyText"/>
      </w:pPr>
      <w:r>
        <w:t xml:space="preserve">Symptoms can be divided into early and later stages:</w:t>
      </w:r>
    </w:p>
    <w:p>
      <w:pPr>
        <w:numPr>
          <w:ilvl w:val="0"/>
          <w:numId w:val="1003"/>
        </w:numPr>
      </w:pPr>
      <w:r>
        <w:rPr>
          <w:b/>
          <w:bCs/>
        </w:rPr>
        <w:t xml:space="preserve">Early localized stage (3-30 days post bite):</w:t>
      </w:r>
    </w:p>
    <w:p>
      <w:pPr>
        <w:numPr>
          <w:ilvl w:val="1"/>
          <w:numId w:val="1004"/>
        </w:numPr>
      </w:pPr>
      <w:r>
        <w:t xml:space="preserve">Erythema migrans (EM) rash, often resembling a</w:t>
      </w:r>
      <w:r>
        <w:t xml:space="preserve"> </w:t>
      </w:r>
      <w:r>
        <w:t xml:space="preserve">“</w:t>
      </w:r>
      <w:r>
        <w:t xml:space="preserve">bull’s eye</w:t>
      </w:r>
      <w:r>
        <w:t xml:space="preserve">”</w:t>
      </w:r>
    </w:p>
    <w:p>
      <w:pPr>
        <w:numPr>
          <w:ilvl w:val="1"/>
          <w:numId w:val="1004"/>
        </w:numPr>
      </w:pPr>
      <w:r>
        <w:t xml:space="preserve">Fever, chills, headache, muscle and joint aches</w:t>
      </w:r>
    </w:p>
    <w:p>
      <w:pPr>
        <w:numPr>
          <w:ilvl w:val="0"/>
          <w:numId w:val="1003"/>
        </w:numPr>
      </w:pPr>
      <w:r>
        <w:rPr>
          <w:b/>
          <w:bCs/>
        </w:rPr>
        <w:t xml:space="preserve">Early disseminated stage (days to weeks post bite):</w:t>
      </w:r>
    </w:p>
    <w:p>
      <w:pPr>
        <w:numPr>
          <w:ilvl w:val="1"/>
          <w:numId w:val="1005"/>
        </w:numPr>
      </w:pPr>
      <w:r>
        <w:t xml:space="preserve">Additional EM rashes on other areas of the body</w:t>
      </w:r>
    </w:p>
    <w:p>
      <w:pPr>
        <w:numPr>
          <w:ilvl w:val="1"/>
          <w:numId w:val="1005"/>
        </w:numPr>
      </w:pPr>
      <w:r>
        <w:t xml:space="preserve">Facial or Bell’s palsy</w:t>
      </w:r>
    </w:p>
    <w:p>
      <w:pPr>
        <w:numPr>
          <w:ilvl w:val="1"/>
          <w:numId w:val="1005"/>
        </w:numPr>
      </w:pPr>
      <w:r>
        <w:t xml:space="preserve">Inflammatory arthritis</w:t>
      </w:r>
    </w:p>
    <w:p>
      <w:pPr>
        <w:numPr>
          <w:ilvl w:val="0"/>
          <w:numId w:val="1003"/>
        </w:numPr>
      </w:pPr>
      <w:r>
        <w:rPr>
          <w:b/>
          <w:bCs/>
        </w:rPr>
        <w:t xml:space="preserve">Late disseminated stage (months to years post bite):</w:t>
      </w:r>
    </w:p>
    <w:p>
      <w:pPr>
        <w:numPr>
          <w:ilvl w:val="1"/>
          <w:numId w:val="1006"/>
        </w:numPr>
      </w:pPr>
      <w:r>
        <w:t xml:space="preserve">Arthritis, particularly in large joints like the knee</w:t>
      </w:r>
    </w:p>
    <w:p>
      <w:pPr>
        <w:numPr>
          <w:ilvl w:val="1"/>
          <w:numId w:val="1006"/>
        </w:numPr>
      </w:pPr>
      <w:r>
        <w:t xml:space="preserve">Neurological symptoms such as meningitis or encephalopathy</w:t>
      </w:r>
    </w:p>
    <w:p>
      <w:pPr>
        <w:pStyle w:val="FirstParagraph"/>
      </w:pPr>
      <w:r>
        <w:rPr>
          <w:b/>
          <w:bCs/>
        </w:rPr>
        <w:t xml:space="preserve">Testing</w:t>
      </w:r>
    </w:p>
    <w:p>
      <w:pPr>
        <w:numPr>
          <w:ilvl w:val="0"/>
          <w:numId w:val="1007"/>
        </w:numPr>
      </w:pPr>
      <w:r>
        <w:rPr>
          <w:b/>
          <w:bCs/>
        </w:rPr>
        <w:t xml:space="preserve">Serological Tests:</w:t>
      </w:r>
      <w:r>
        <w:t xml:space="preserve"> </w:t>
      </w:r>
      <w:r>
        <w:t xml:space="preserve">Enzyme-linked immunosorbent assay (ELISA) followed by Western blot for confirmation</w:t>
      </w:r>
    </w:p>
    <w:p>
      <w:pPr>
        <w:numPr>
          <w:ilvl w:val="0"/>
          <w:numId w:val="1007"/>
        </w:numPr>
      </w:pPr>
      <w:r>
        <w:rPr>
          <w:b/>
          <w:bCs/>
        </w:rPr>
        <w:t xml:space="preserve">Clinical Diagnosis:</w:t>
      </w:r>
      <w:r>
        <w:t xml:space="preserve"> </w:t>
      </w:r>
      <w:r>
        <w:t xml:space="preserve">Based on symptoms and history of tick exposure. erythema migrans is pathognomonic for Lyme.</w:t>
      </w:r>
    </w:p>
    <w:p>
      <w:pPr>
        <w:numPr>
          <w:ilvl w:val="0"/>
          <w:numId w:val="1007"/>
        </w:numPr>
      </w:pPr>
      <w:r>
        <w:rPr>
          <w:b/>
          <w:bCs/>
        </w:rPr>
        <w:t xml:space="preserve">Additional:</w:t>
      </w:r>
      <w:r>
        <w:t xml:space="preserve"> </w:t>
      </w:r>
      <w:r>
        <w:t xml:space="preserve">PCR testing or culture of tissue samples in rare, complex cases</w:t>
      </w:r>
    </w:p>
    <w:bookmarkStart w:id="23" w:name="subsequent-cases"/>
    <w:p>
      <w:pPr>
        <w:pStyle w:val="Heading3"/>
      </w:pPr>
      <w:r>
        <w:t xml:space="preserve">Subsequent Cases</w:t>
      </w:r>
    </w:p>
    <w:p>
      <w:pPr>
        <w:pStyle w:val="FirstParagraph"/>
      </w:pPr>
      <w:r>
        <w:t xml:space="preserve">Interventions to reduce subsequent cases may include community awareness campaigns, tick control measures, and encouragement of early testing and treatment. Case tracking can help to understand the pattern and be proactive in high-risk areas.</w:t>
      </w:r>
    </w:p>
    <w:bookmarkEnd w:id="23"/>
    <w:bookmarkEnd w:id="24"/>
    <w:bookmarkStart w:id="26" w:name="learning-objectives"/>
    <w:p>
      <w:pPr>
        <w:pStyle w:val="Heading2"/>
      </w:pPr>
      <w:r>
        <w:t xml:space="preserve">Learning Objectives</w:t>
      </w:r>
    </w:p>
    <w:p>
      <w:pPr>
        <w:pStyle w:val="Compact"/>
        <w:numPr>
          <w:ilvl w:val="0"/>
          <w:numId w:val="1008"/>
        </w:numPr>
      </w:pPr>
      <w:r>
        <w:t xml:space="preserve">Understand the etiological agent and transmission vectors of Lyme disease.</w:t>
      </w:r>
    </w:p>
    <w:p>
      <w:pPr>
        <w:pStyle w:val="Compact"/>
        <w:numPr>
          <w:ilvl w:val="0"/>
          <w:numId w:val="1008"/>
        </w:numPr>
      </w:pPr>
      <w:r>
        <w:t xml:space="preserve">Identify the epidemiological trends and high-risk populations.</w:t>
      </w:r>
    </w:p>
    <w:p>
      <w:pPr>
        <w:pStyle w:val="Compact"/>
        <w:numPr>
          <w:ilvl w:val="0"/>
          <w:numId w:val="1008"/>
        </w:numPr>
      </w:pPr>
      <w:r>
        <w:t xml:space="preserve">Recognize early and late-stage symptoms for prompt diagnosis.</w:t>
      </w:r>
    </w:p>
    <w:p>
      <w:pPr>
        <w:pStyle w:val="Compact"/>
        <w:numPr>
          <w:ilvl w:val="0"/>
          <w:numId w:val="1008"/>
        </w:numPr>
      </w:pPr>
      <w:r>
        <w:t xml:space="preserve">Comprehend the testing methods and interpret results for accurate diagnosis.</w:t>
      </w:r>
    </w:p>
    <w:p>
      <w:pPr>
        <w:pStyle w:val="Compact"/>
        <w:numPr>
          <w:ilvl w:val="0"/>
          <w:numId w:val="1008"/>
        </w:numPr>
      </w:pPr>
      <w:r>
        <w:t xml:space="preserve">Develop strategies for prevention and awareness in the community.</w:t>
      </w:r>
    </w:p>
    <w:bookmarkStart w:id="25" w:name="actions-and-outcomes"/>
    <w:p>
      <w:pPr>
        <w:pStyle w:val="Heading3"/>
      </w:pPr>
      <w:r>
        <w:t xml:space="preserve">Actions and Outcomes</w:t>
      </w:r>
    </w:p>
    <w:p>
      <w:pPr>
        <w:pStyle w:val="FirstParagraph"/>
      </w:pPr>
      <w:r>
        <w:rPr>
          <w:b/>
          <w:bCs/>
        </w:rPr>
        <w:t xml:space="preserve">Actions:</w:t>
      </w:r>
    </w:p>
    <w:p>
      <w:pPr>
        <w:numPr>
          <w:ilvl w:val="0"/>
          <w:numId w:val="1009"/>
        </w:numPr>
      </w:pPr>
      <w:r>
        <w:t xml:space="preserve">Conducted educational seminars for local healthcare providers and community leaders.</w:t>
      </w:r>
    </w:p>
    <w:p>
      <w:pPr>
        <w:numPr>
          <w:ilvl w:val="0"/>
          <w:numId w:val="1009"/>
        </w:numPr>
      </w:pPr>
      <w:r>
        <w:t xml:space="preserve">Distributed informational pamphlets regarding tick prevention and Lyme disease symptoms.</w:t>
      </w:r>
    </w:p>
    <w:p>
      <w:pPr>
        <w:numPr>
          <w:ilvl w:val="0"/>
          <w:numId w:val="1009"/>
        </w:numPr>
      </w:pPr>
      <w:r>
        <w:t xml:space="preserve">Set up free screening clinics for early detection.</w:t>
      </w:r>
    </w:p>
    <w:p>
      <w:pPr>
        <w:pStyle w:val="FirstParagraph"/>
      </w:pPr>
      <w:r>
        <w:rPr>
          <w:b/>
          <w:bCs/>
        </w:rPr>
        <w:t xml:space="preserve">Outcomes:</w:t>
      </w:r>
    </w:p>
    <w:p>
      <w:pPr>
        <w:numPr>
          <w:ilvl w:val="0"/>
          <w:numId w:val="1010"/>
        </w:numPr>
      </w:pPr>
      <w:r>
        <w:t xml:space="preserve">Increased surveillance and better reporting of Lyme cases.</w:t>
      </w:r>
    </w:p>
    <w:p>
      <w:pPr>
        <w:numPr>
          <w:ilvl w:val="0"/>
          <w:numId w:val="1010"/>
        </w:numPr>
      </w:pPr>
      <w:r>
        <w:t xml:space="preserve">A well-educated community with reduced incidence of misdiagnosis.</w:t>
      </w:r>
    </w:p>
    <w:p>
      <w:pPr>
        <w:numPr>
          <w:ilvl w:val="0"/>
          <w:numId w:val="1010"/>
        </w:numPr>
      </w:pPr>
      <w:r>
        <w:t xml:space="preserve">Early detection and treatment leading to reduced complications.</w:t>
      </w:r>
    </w:p>
    <w:bookmarkEnd w:id="25"/>
    <w:bookmarkEnd w:id="26"/>
    <w:bookmarkStart w:id="27" w:name="reflection"/>
    <w:p>
      <w:pPr>
        <w:pStyle w:val="Heading2"/>
      </w:pPr>
      <w:r>
        <w:t xml:space="preserve">Reflection</w:t>
      </w:r>
    </w:p>
    <w:p>
      <w:pPr>
        <w:pStyle w:val="FirstParagraph"/>
      </w:pPr>
      <w:r>
        <w:t xml:space="preserve">Reflecting on this case, key takeaways include the importance of comprehensive education on prevention and early recognition. Community engagement and continuous education for healthcare workers can substantially reduce the burden of Lyme disease. Early intervention remains critical to mitigating the long-term impacts on affected individuals.</w:t>
      </w:r>
    </w:p>
    <w:bookmarkEnd w:id="27"/>
    <w:bookmarkStart w:id="28" w:name="discussion-questions"/>
    <w:p>
      <w:pPr>
        <w:pStyle w:val="Heading2"/>
      </w:pPr>
      <w:r>
        <w:t xml:space="preserve">Discussion Questions</w:t>
      </w:r>
    </w:p>
    <w:p>
      <w:pPr>
        <w:pStyle w:val="Compact"/>
        <w:numPr>
          <w:ilvl w:val="0"/>
          <w:numId w:val="1011"/>
        </w:numPr>
      </w:pPr>
      <w:r>
        <w:t xml:space="preserve">What are the most effective community-based strategies for preventing Lyme disease?</w:t>
      </w:r>
    </w:p>
    <w:p>
      <w:pPr>
        <w:pStyle w:val="Compact"/>
        <w:numPr>
          <w:ilvl w:val="0"/>
          <w:numId w:val="1011"/>
        </w:numPr>
      </w:pPr>
      <w:r>
        <w:t xml:space="preserve">How can public health nurses collaborate with other sectors to increase awareness and reduce incidence?</w:t>
      </w:r>
    </w:p>
    <w:p>
      <w:pPr>
        <w:pStyle w:val="Compact"/>
        <w:numPr>
          <w:ilvl w:val="0"/>
          <w:numId w:val="1011"/>
        </w:numPr>
      </w:pPr>
      <w:r>
        <w:t xml:space="preserve">What are the challenges in diagnosing Lyme disease in the early stages, and how can these be overcome?</w:t>
      </w:r>
    </w:p>
    <w:p>
      <w:pPr>
        <w:pStyle w:val="Compact"/>
        <w:numPr>
          <w:ilvl w:val="0"/>
          <w:numId w:val="1011"/>
        </w:numPr>
      </w:pPr>
      <w:r>
        <w:t xml:space="preserve">How can we improve tick control measures in endemic areas without causing environmental harm?</w:t>
      </w:r>
    </w:p>
    <w:p>
      <w:pPr>
        <w:pStyle w:val="FirstParagraph"/>
      </w:pPr>
      <w:r>
        <w:t xml:space="preserve">By answering these questions, public health nurses can develop a multi-faceted approach to addressing Lyme disease effectively within their communities.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yme3.docx" TargetMode="External" /><Relationship Type="http://schemas.openxmlformats.org/officeDocument/2006/relationships/hyperlink" Id="rId20" Target="lyme3.pdf" TargetMode="External" /></Relationships>
</file>

<file path=word/_rels/footnotes.xml.rels><?xml version="1.0" encoding="UTF-8"?><Relationships xmlns="http://schemas.openxmlformats.org/package/2006/relationships"><Relationship Type="http://schemas.openxmlformats.org/officeDocument/2006/relationships/hyperlink" Id="rId21" Target="lyme3.docx" TargetMode="External" /><Relationship Type="http://schemas.openxmlformats.org/officeDocument/2006/relationships/hyperlink" Id="rId20" Target="lyme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2024-06-27T17:41:32Z</dcterms:created>
  <dcterms:modified xsi:type="dcterms:W3CDTF">2024-06-27T17:41:32Z</dcterms:modified>
</cp:coreProperties>
</file>

<file path=docProps/custom.xml><?xml version="1.0" encoding="utf-8"?>
<Properties xmlns="http://schemas.openxmlformats.org/officeDocument/2006/custom-properties" xmlns:vt="http://schemas.openxmlformats.org/officeDocument/2006/docPropsVTypes"/>
</file>